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74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-7620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FIBROGEN,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40"/>
              <w:spacing w:after="0"/>
              <w:rPr>
                <w:sz w:val="20"/>
                <w:szCs w:val="20"/>
                <w:color w:val="auto"/>
              </w:rPr>
            </w:pPr>
            <w:r>
              <w:rPr>
                <w:rFonts w:ascii="Arial" w:cs="Arial" w:eastAsia="Arial" w:hAnsi="Arial"/>
                <w:sz w:val="18"/>
                <w:szCs w:val="18"/>
                <w:b w:val="1"/>
                <w:bCs w:val="1"/>
                <w:color w:val="auto"/>
              </w:rPr>
              <w:t>77-0357827</w:t>
            </w:r>
          </w:p>
        </w:tc>
      </w:tr>
      <w:tr>
        <w:trPr>
          <w:trHeight w:val="149"/>
        </w:trPr>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90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409 Illinois Street</w:t>
            </w:r>
          </w:p>
        </w:tc>
        <w:tc>
          <w:tcPr>
            <w:tcW w:w="5100" w:type="dxa"/>
            <w:vAlign w:val="bottom"/>
          </w:tcPr>
          <w:p>
            <w:pPr>
              <w:spacing w:after="0"/>
              <w:rPr>
                <w:sz w:val="24"/>
                <w:szCs w:val="24"/>
                <w:color w:val="auto"/>
              </w:rPr>
            </w:pPr>
          </w:p>
        </w:tc>
      </w:tr>
      <w:tr>
        <w:trPr>
          <w:trHeight w:val="21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San Francisco, CA</w:t>
            </w:r>
          </w:p>
        </w:tc>
        <w:tc>
          <w:tcPr>
            <w:tcW w:w="5100" w:type="dxa"/>
            <w:vAlign w:val="bottom"/>
          </w:tcPr>
          <w:p>
            <w:pPr>
              <w:jc w:val="right"/>
              <w:ind w:right="260"/>
              <w:spacing w:after="0"/>
              <w:rPr>
                <w:sz w:val="20"/>
                <w:szCs w:val="20"/>
                <w:color w:val="auto"/>
              </w:rPr>
            </w:pPr>
            <w:r>
              <w:rPr>
                <w:rFonts w:ascii="Arial" w:cs="Arial" w:eastAsia="Arial" w:hAnsi="Arial"/>
                <w:sz w:val="18"/>
                <w:szCs w:val="18"/>
                <w:b w:val="1"/>
                <w:bCs w:val="1"/>
                <w:color w:val="auto"/>
              </w:rPr>
              <w:t>94158</w:t>
            </w:r>
          </w:p>
        </w:tc>
      </w:tr>
      <w:tr>
        <w:trPr>
          <w:trHeight w:val="186"/>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500" w:type="dxa"/>
            <w:vAlign w:val="bottom"/>
          </w:tcPr>
          <w:p>
            <w:pPr>
              <w:spacing w:after="0"/>
              <w:rPr>
                <w:sz w:val="24"/>
                <w:szCs w:val="24"/>
                <w:color w:val="auto"/>
              </w:rPr>
            </w:pPr>
          </w:p>
        </w:tc>
        <w:tc>
          <w:tcPr>
            <w:tcW w:w="5100" w:type="dxa"/>
            <w:vAlign w:val="bottom"/>
          </w:tcPr>
          <w:p>
            <w:pPr>
              <w:jc w:val="right"/>
              <w:ind w:right="2820"/>
              <w:spacing w:after="0"/>
              <w:rPr>
                <w:sz w:val="20"/>
                <w:szCs w:val="20"/>
                <w:color w:val="auto"/>
              </w:rPr>
            </w:pPr>
            <w:r>
              <w:rPr>
                <w:rFonts w:ascii="Arial" w:cs="Arial" w:eastAsia="Arial" w:hAnsi="Arial"/>
                <w:sz w:val="18"/>
                <w:szCs w:val="18"/>
                <w:b w:val="1"/>
                <w:bCs w:val="1"/>
                <w:color w:val="auto"/>
              </w:rPr>
              <w:t>(415) 978-1200</w:t>
            </w:r>
          </w:p>
        </w:tc>
      </w:tr>
      <w:tr>
        <w:trPr>
          <w:trHeight w:val="186"/>
        </w:trPr>
        <w:tc>
          <w:tcPr>
            <w:tcW w:w="2500" w:type="dxa"/>
            <w:vAlign w:val="bottom"/>
          </w:tcPr>
          <w:p>
            <w:pPr>
              <w:spacing w:after="0"/>
              <w:rPr>
                <w:sz w:val="16"/>
                <w:szCs w:val="16"/>
                <w:color w:val="auto"/>
              </w:rPr>
            </w:pPr>
          </w:p>
        </w:tc>
        <w:tc>
          <w:tcPr>
            <w:tcW w:w="5100" w:type="dxa"/>
            <w:vAlign w:val="bottom"/>
          </w:tcPr>
          <w:p>
            <w:pPr>
              <w:jc w:val="center"/>
              <w:ind w:right="1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40" w:type="dxa"/>
            <w:vAlign w:val="bottom"/>
          </w:tcPr>
          <w:p>
            <w:pPr>
              <w:ind w:left="220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8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October 31, 2018 was 84,978,056.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682625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960" w:type="dxa"/>
            <w:vAlign w:val="bottom"/>
            <w:gridSpan w:val="6"/>
            <w:vMerge w:val="restart"/>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6"/>
            <w:vMerge w:val="continue"/>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5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2018 and December 31, 2017 (Unaudited)</w:t>
              </w:r>
            </w:hyperlink>
          </w:p>
        </w:tc>
        <w:tc>
          <w:tcPr>
            <w:tcW w:w="256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for the Three and Nine Months Ended September 30, 2018 and 2017 (Unaudited)</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Nine Months Ended September 30, 2018 and 2017</w:t>
              </w:r>
            </w:hyperlink>
          </w:p>
        </w:tc>
        <w:tc>
          <w:tcPr>
            <w:tcW w:w="1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w:t>
              </w:r>
            </w:hyperlink>
          </w:p>
        </w:tc>
        <w:tc>
          <w:tcPr>
            <w:tcW w:w="8960" w:type="dxa"/>
            <w:vAlign w:val="bottom"/>
            <w:gridSpan w:val="18"/>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2018 and 2017 (Unaudited)</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8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c>
          <w:tcPr>
            <w:tcW w:w="1220" w:type="dxa"/>
            <w:vAlign w:val="bottom"/>
            <w:gridSpan w:val="3"/>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2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2"/>
          </w:tcPr>
          <w:p>
            <w:pPr>
              <w:jc w:val="center"/>
              <w:ind w:right="412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80" w:type="dxa"/>
            <w:vAlign w:val="bottom"/>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7"/>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720" w:type="dxa"/>
            <w:vAlign w:val="bottom"/>
            <w:gridSpan w:val="16"/>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Unregistered Sales of Equity Securities and Use of Proceeds</w:t>
              </w:r>
            </w:hyperlink>
          </w:p>
        </w:tc>
        <w:tc>
          <w:tcPr>
            <w:tcW w:w="5700" w:type="dxa"/>
            <w:vAlign w:val="bottom"/>
            <w:gridSpan w:val="10"/>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Defaults Upon Senior Securities</w:t>
              </w:r>
            </w:hyperlink>
          </w:p>
        </w:tc>
        <w:tc>
          <w:tcPr>
            <w:tcW w:w="7720" w:type="dxa"/>
            <w:vAlign w:val="bottom"/>
            <w:gridSpan w:val="1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Mine Safety Disclosures</w:t>
              </w:r>
            </w:hyperlink>
          </w:p>
        </w:tc>
        <w:tc>
          <w:tcPr>
            <w:tcW w:w="8280" w:type="dxa"/>
            <w:vAlign w:val="bottom"/>
            <w:gridSpan w:val="1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2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874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gridSpan w:val="2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420" w:type="dxa"/>
            <w:vAlign w:val="bottom"/>
            <w:gridSpan w:val="12"/>
          </w:tcPr>
          <w:p>
            <w:pPr>
              <w:jc w:val="right"/>
              <w:ind w:right="34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FIBROGEN, INC.</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September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566,722</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86,009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($19,434 and $4,004 from a related party)</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Long-term investments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40,602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855,641</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898,650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Accrued liabilities ($353 and $272 to a related party)</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52,598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100,426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Long-term portion of lease financing obligations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97,323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obligations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Deferred rent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360"/>
              <w:spacing w:after="0"/>
              <w:rPr>
                <w:sz w:val="20"/>
                <w:szCs w:val="20"/>
                <w:color w:val="auto"/>
              </w:rPr>
            </w:pPr>
            <w:r>
              <w:rPr>
                <w:rFonts w:ascii="Arial" w:cs="Arial" w:eastAsia="Arial" w:hAnsi="Arial"/>
                <w:sz w:val="18"/>
                <w:szCs w:val="18"/>
                <w:color w:val="auto"/>
              </w:rPr>
              <w:t>and outstanding at September 30, 2018 and December 31, 2017</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225,000 shares authorized at September 30, 2018</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December 31, 2017; 84,847 and 82,498 shares issued and outstanding at</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September 30, 2018 and December 31, 2017</w:t>
            </w: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1,209,813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1,160,094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(2,570)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(736,780)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(630,657)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471,311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528,467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8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490,582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8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855,641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(Note 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License revenue (includes $0, $0,</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360"/>
              <w:spacing w:after="0"/>
              <w:rPr>
                <w:sz w:val="20"/>
                <w:szCs w:val="20"/>
                <w:color w:val="auto"/>
              </w:rPr>
            </w:pPr>
            <w:r>
              <w:rPr>
                <w:rFonts w:ascii="Arial" w:cs="Arial" w:eastAsia="Arial" w:hAnsi="Arial"/>
                <w:sz w:val="18"/>
                <w:szCs w:val="18"/>
                <w:color w:val="auto"/>
              </w:rPr>
              <w:t>$14,323 and $0 from a related party)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9,933</w:t>
            </w:r>
          </w:p>
        </w:tc>
        <w:tc>
          <w:tcPr>
            <w:tcW w:w="1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14,323</w:t>
            </w:r>
          </w:p>
        </w:tc>
        <w:tc>
          <w:tcPr>
            <w:tcW w:w="30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Development and other revenue (includes $5,131, $5,322,</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$16,448 and $15,106 from a related party)</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90,580</w:t>
            </w:r>
          </w:p>
        </w:tc>
        <w:tc>
          <w:tcPr>
            <w:tcW w:w="3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104,903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165,555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45,961</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211,516</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(106,613)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(2,739)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(2,769)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(8,257)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and other, net</w:t>
            </w: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(42,432)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(24,402)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(107,074)</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(42,556)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(24,459)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(107,373)</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(0.50)</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Weighted average number of common shares used to calculate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84,508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75,891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83,713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5"/>
              </w:rPr>
              <w:t>Three Months Ended September 30,</w:t>
            </w:r>
          </w:p>
        </w:tc>
        <w:tc>
          <w:tcPr>
            <w:tcW w:w="180" w:type="dxa"/>
            <w:vAlign w:val="bottom"/>
          </w:tcPr>
          <w:p>
            <w:pPr>
              <w:spacing w:after="0"/>
              <w:rPr>
                <w:sz w:val="14"/>
                <w:szCs w:val="14"/>
                <w:color w:val="auto"/>
              </w:rPr>
            </w:pPr>
          </w:p>
        </w:tc>
        <w:tc>
          <w:tcPr>
            <w:tcW w:w="26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56"/>
        </w:trPr>
        <w:tc>
          <w:tcPr>
            <w:tcW w:w="56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r>
      <w:tr>
        <w:trPr>
          <w:trHeight w:val="156"/>
        </w:trPr>
        <w:tc>
          <w:tcPr>
            <w:tcW w:w="5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(Note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(Note 1)</w:t>
            </w:r>
          </w:p>
        </w:tc>
        <w:tc>
          <w:tcPr>
            <w:tcW w:w="120" w:type="dxa"/>
            <w:vAlign w:val="bottom"/>
          </w:tcPr>
          <w:p>
            <w:pPr>
              <w:spacing w:after="0"/>
              <w:rPr>
                <w:sz w:val="13"/>
                <w:szCs w:val="13"/>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(42,556)</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(24,459)</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(107,373)</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(86,981)</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(1,827)</w:t>
            </w: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on investments, net of tax effect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ind w:left="500"/>
              <w:spacing w:after="0"/>
              <w:rPr>
                <w:sz w:val="20"/>
                <w:szCs w:val="20"/>
                <w:color w:val="auto"/>
              </w:rPr>
            </w:pPr>
            <w:r>
              <w:rPr>
                <w:rFonts w:ascii="Arial" w:cs="Arial" w:eastAsia="Arial" w:hAnsi="Arial"/>
                <w:sz w:val="18"/>
                <w:szCs w:val="18"/>
                <w:color w:val="auto"/>
              </w:rPr>
              <w:t>Reclassification from accumulated other comprehensive loss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09"/>
        </w:trPr>
        <w:tc>
          <w:tcPr>
            <w:tcW w:w="56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change in unrealized gain on available-for-sale</w:t>
            </w: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660" w:type="dxa"/>
            <w:vAlign w:val="bottom"/>
            <w:shd w:val="clear" w:color="auto" w:fill="CFF0FC"/>
          </w:tcPr>
          <w:p>
            <w:pPr>
              <w:ind w:left="88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CFF0FC"/>
          </w:tcPr>
          <w:p>
            <w:pPr>
              <w:spacing w:after="0"/>
              <w:rPr>
                <w:sz w:val="20"/>
                <w:szCs w:val="20"/>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FF0FC"/>
            </w:tcBorders>
          </w:tcPr>
          <w:p>
            <w:pPr>
              <w:spacing w:after="0"/>
              <w:rPr>
                <w:sz w:val="19"/>
                <w:szCs w:val="19"/>
                <w:color w:val="auto"/>
              </w:rPr>
            </w:pP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(42,515)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(106,898)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(87,630)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380" w:type="dxa"/>
            <w:vAlign w:val="bottom"/>
            <w:tcBorders>
              <w:bottom w:val="single" w:sz="8" w:color="auto"/>
            </w:tcBorders>
            <w:gridSpan w:val="4"/>
          </w:tcPr>
          <w:p>
            <w:pPr>
              <w:jc w:val="right"/>
              <w:ind w:right="246"/>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Borders>
              <w:bottom w:val="single" w:sz="8" w:color="auto"/>
            </w:tcBorders>
          </w:tcPr>
          <w:p>
            <w:pPr>
              <w:jc w:val="right"/>
              <w:ind w:right="86"/>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(Note 1)</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440" w:type="dxa"/>
            <w:vAlign w:val="bottom"/>
            <w:gridSpan w:val="2"/>
          </w:tcPr>
          <w:p>
            <w:pPr>
              <w:jc w:val="right"/>
              <w:ind w:right="100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(107,373)</w:t>
            </w:r>
          </w:p>
        </w:tc>
        <w:tc>
          <w:tcPr>
            <w:tcW w:w="1240" w:type="dxa"/>
            <w:vAlign w:val="bottom"/>
          </w:tcPr>
          <w:p>
            <w:pPr>
              <w:jc w:val="right"/>
              <w:ind w:right="108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(86,981)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4,693</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premium on investments</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Unrealized loss (gain) on short-term investments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1,103</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Loss (gain) on disposal of property and equipment</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38,432</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Realized foreign currency gain</w:t>
            </w:r>
          </w:p>
        </w:tc>
        <w:tc>
          <w:tcPr>
            <w:tcW w:w="1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(1,074)</w:t>
            </w:r>
          </w:p>
        </w:tc>
        <w:tc>
          <w:tcPr>
            <w:tcW w:w="12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Realized gain on sales of available-for-sale securities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(87)</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(14,735)</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(13,180)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1,935</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1,350</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4,622</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Accrued liabilities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(9,885)</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19,660</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rPr>
              <w:t>Lease financing liability</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liabilities</w:t>
            </w:r>
          </w:p>
        </w:tc>
        <w:tc>
          <w:tcPr>
            <w:tcW w:w="128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2,008</w:t>
            </w:r>
          </w:p>
        </w:tc>
        <w:tc>
          <w:tcPr>
            <w:tcW w:w="3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Pr>
          <w:p>
            <w:pPr>
              <w:ind w:left="480"/>
              <w:spacing w:after="0"/>
              <w:rPr>
                <w:sz w:val="20"/>
                <w:szCs w:val="20"/>
                <w:color w:val="auto"/>
              </w:rPr>
            </w:pPr>
            <w:r>
              <w:rPr>
                <w:rFonts w:ascii="Arial" w:cs="Arial" w:eastAsia="Arial" w:hAnsi="Arial"/>
                <w:sz w:val="16"/>
                <w:szCs w:val="16"/>
                <w:color w:val="auto"/>
              </w:rPr>
              <w:t>Net cash used in operating activities</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(58,679)</w:t>
            </w:r>
          </w:p>
        </w:tc>
        <w:tc>
          <w:tcPr>
            <w:tcW w:w="12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(65,327)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(4,852)</w:t>
            </w:r>
          </w:p>
        </w:tc>
        <w:tc>
          <w:tcPr>
            <w:tcW w:w="1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(4,992)</w:t>
            </w: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Proceeds from sale of property and equipment</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Purchases of available-for-sale securities</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(110,156)</w:t>
            </w:r>
          </w:p>
        </w:tc>
        <w:tc>
          <w:tcPr>
            <w:tcW w:w="1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Proceeds from sales of available-for-sale securities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8,167</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21,109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securities</w:t>
            </w:r>
          </w:p>
        </w:tc>
        <w:tc>
          <w:tcPr>
            <w:tcW w:w="128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47,390</w:t>
            </w:r>
          </w:p>
        </w:tc>
        <w:tc>
          <w:tcPr>
            <w:tcW w:w="3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Pr>
          <w:p>
            <w:pPr>
              <w:ind w:left="480"/>
              <w:spacing w:after="0"/>
              <w:rPr>
                <w:sz w:val="20"/>
                <w:szCs w:val="20"/>
                <w:color w:val="auto"/>
              </w:rPr>
            </w:pPr>
            <w:r>
              <w:rPr>
                <w:rFonts w:ascii="Arial" w:cs="Arial" w:eastAsia="Arial" w:hAnsi="Arial"/>
                <w:sz w:val="16"/>
                <w:szCs w:val="16"/>
                <w:color w:val="auto"/>
              </w:rPr>
              <w:t>Net cash provided by investing activities</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(59,267)</w:t>
            </w:r>
          </w:p>
        </w:tc>
        <w:tc>
          <w:tcPr>
            <w:tcW w:w="1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49,869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00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Borrowings under capital lease obligations</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Repayments of lease liability</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(302)</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follow-on offerings, net of underwriting discounts and</w:t>
            </w:r>
          </w:p>
        </w:tc>
        <w:tc>
          <w:tcPr>
            <w:tcW w:w="1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commission costs</w:t>
            </w:r>
          </w:p>
        </w:tc>
        <w:tc>
          <w:tcPr>
            <w:tcW w:w="1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471,205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(13,288)</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(5,970)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w:t>
            </w:r>
          </w:p>
        </w:tc>
        <w:tc>
          <w:tcPr>
            <w:tcW w:w="1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24,598</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Payments of deferred offering costs</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12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11,057</w:t>
            </w:r>
          </w:p>
        </w:tc>
        <w:tc>
          <w:tcPr>
            <w:tcW w:w="3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493,059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20" w:type="dxa"/>
            <w:vAlign w:val="bottom"/>
            <w:gridSpan w:val="2"/>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(47)</w:t>
            </w:r>
          </w:p>
        </w:tc>
        <w:tc>
          <w:tcPr>
            <w:tcW w:w="12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and cash equivalents</w:t>
            </w:r>
          </w:p>
        </w:tc>
        <w:tc>
          <w:tcPr>
            <w:tcW w:w="1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(106,936)</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477,591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spacing w:after="0"/>
              <w:rPr>
                <w:sz w:val="20"/>
                <w:szCs w:val="20"/>
                <w:color w:val="auto"/>
              </w:rPr>
            </w:pPr>
            <w:r>
              <w:rPr>
                <w:rFonts w:ascii="Arial" w:cs="Arial" w:eastAsia="Arial" w:hAnsi="Arial"/>
                <w:sz w:val="16"/>
                <w:szCs w:val="16"/>
                <w:color w:val="auto"/>
              </w:rPr>
              <w:t>Total cash and cash equivalents at beginning of period</w:t>
            </w: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673,658</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cash and cash equivalents at end of period</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ind w:right="10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566,722</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ind w:right="108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651,373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520" w:firstLine="8"/>
        <w:spacing w:after="0" w:line="400" w:lineRule="auto"/>
        <w:tabs>
          <w:tab w:leader="none" w:pos="513"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FibroGen, Inc. (“FibroGen” or the “Company”) was incorporated in 1993 in Delaware and is a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(“HIF-PHs”) in Phase 3 clinical development for the treatment of anemia in chronic kidney disease (“CKD”) and myelodysplastic syndromes (“MDS”). Pamrevlumab, or FG-3019, is the Company’s monoclonal antibody in Phase 2 clinical development for the treatment of idiopathic pulmonary fibrosis (“IPF”), pancreatic cancer and Duchenne muscular dystrophy (“DMD”). The Company is taking a global approach with respect to the development and future commercialization of its product candidates, and this includes development and commercialization in the People’s Republic of China (“China”). The Company is capitalizing on its extensive experience in fibrosis and HIF biology and clinical development to advance a pipeline of innovative medicines for the treatment of anemia, fibrotic disease cancer, corneal blindness and other serious unmet medical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United States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2017 (“2017 Form 10-K”).</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2017 Form 10-K, except for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revenues to date have been generated from its collaboration agreements.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2 “Collaboration Agreements.” Determining the performance obligations within a collaboration agreement often involves significant judgment and is specific to the facts and circumstances contained in each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2 “Collaboration Agreements.”</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revenue recognition purposes, the Company determines that the term of its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and royalties on net sales of licensed products.</w:t>
      </w:r>
    </w:p>
    <w:p>
      <w:pPr>
        <w:spacing w:after="0" w:line="18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Co-development billings resulting from the Company’s research and development efforts, which are reimbursable under its collaboration agreements, are considered variable consideration. Determining the amount of variable consideration from co-development billings requires the Company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its collaboration arrangements.</w:t>
      </w:r>
    </w:p>
    <w:p>
      <w:pPr>
        <w:spacing w:after="0" w:line="18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2 “Collaboration Agreements.”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each performance obligation identified within an arrangement, the Company determines the period over which the promised services are transferred and the performance obligation is satisfied. Service revenue is recognized over time based on progress toward complete satisfaction of the performance obligation. The Company uses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The Company believes this measure of progress provides a faithful depiction of the transfer of services because other measures do not measure as accurately how the Company transfers its performance obligations to its collaboration partners.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Company’s investments consist of available-for-sale debt investments and marketable equity investments. Those investments with maturities less than 12 months are considered short-term investments. Those investments with maturities greater than 12 months are considered long-term investments.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Marketable equity securities are equity securities with readily determinable fair value, and are measured and recorded at fair value. Realized and unrealized gains or losses resulting from changes in value and sale of the Company’s marketable equity investments are recorded in other income (expenses) in the consolidated statement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Revenue Standards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which supersedes the revenue recognition requirements in Accounting Standards Codification (“ASC”) 605,</w:t>
      </w:r>
      <w:r>
        <w:rPr>
          <w:rFonts w:ascii="Arial" w:cs="Arial" w:eastAsia="Arial" w:hAnsi="Arial"/>
          <w:sz w:val="17"/>
          <w:szCs w:val="17"/>
          <w:i w:val="1"/>
          <w:iCs w:val="1"/>
          <w:color w:val="auto"/>
        </w:rPr>
        <w:t xml:space="preserve"> Revenue Recognition</w:t>
      </w:r>
      <w:r>
        <w:rPr>
          <w:rFonts w:ascii="Arial" w:cs="Arial" w:eastAsia="Arial" w:hAnsi="Arial"/>
          <w:sz w:val="17"/>
          <w:szCs w:val="17"/>
          <w:color w:val="auto"/>
        </w:rPr>
        <w:t>. ASU 2014-09 is based on the principle that revenue is recognized to depict the transfer of goods or services to customers in an amount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7"/>
          <w:szCs w:val="17"/>
          <w:i w:val="1"/>
          <w:iCs w:val="1"/>
          <w:color w:val="auto"/>
        </w:rPr>
        <w:t>Revenue from Contracts with Customers (Topic 606): Principal versus Agent Considerations</w:t>
      </w:r>
      <w:r>
        <w:rPr>
          <w:rFonts w:ascii="Arial" w:cs="Arial" w:eastAsia="Arial" w:hAnsi="Arial"/>
          <w:sz w:val="17"/>
          <w:szCs w:val="17"/>
          <w:color w:val="auto"/>
        </w:rPr>
        <w:t xml:space="preserve">; ASU No. 2016-10, </w:t>
      </w:r>
      <w:r>
        <w:rPr>
          <w:rFonts w:ascii="Arial" w:cs="Arial" w:eastAsia="Arial" w:hAnsi="Arial"/>
          <w:sz w:val="17"/>
          <w:szCs w:val="17"/>
          <w:i w:val="1"/>
          <w:iCs w:val="1"/>
          <w:color w:val="auto"/>
        </w:rPr>
        <w:t>Revenue from Contracts with Customers (Topic 606): Identifying Performance Obligations and Licensing</w:t>
      </w:r>
      <w:r>
        <w:rPr>
          <w:rFonts w:ascii="Arial" w:cs="Arial" w:eastAsia="Arial" w:hAnsi="Arial"/>
          <w:sz w:val="17"/>
          <w:szCs w:val="17"/>
          <w:color w:val="auto"/>
        </w:rPr>
        <w:t>; ASU No. 2016-12,</w:t>
      </w:r>
      <w:r>
        <w:rPr>
          <w:rFonts w:ascii="Arial" w:cs="Arial" w:eastAsia="Arial" w:hAnsi="Arial"/>
          <w:sz w:val="17"/>
          <w:szCs w:val="17"/>
          <w:i w:val="1"/>
          <w:iCs w:val="1"/>
          <w:color w:val="auto"/>
        </w:rPr>
        <w:t xml:space="preserve"> Revenue from Contracts with Customers (Topic 606): Narrow-Scope Improvements and Practical Expedients</w:t>
      </w:r>
      <w:r>
        <w:rPr>
          <w:rFonts w:ascii="Arial" w:cs="Arial" w:eastAsia="Arial" w:hAnsi="Arial"/>
          <w:sz w:val="17"/>
          <w:szCs w:val="17"/>
          <w:color w:val="auto"/>
        </w:rPr>
        <w:t>; 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(collectively, the “new revenue standards”).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adopted the new revenue standards as of January 1, 2018 using the full retrospective method, which required the Company to recast the prior reporting period presented in the condensed consolidated financial statements. The primary impact upon adoption of the new revenue standards relates to the manner in which revenue is recognized for co-development billings and milestone payments under the Company’s collaboration arrangements. Under the new revenue standards, both of these elements of consideration are considered variable consideration which requires the Company to make estimates of when co-development billings become due or when achievement of a particular milestone becomes probable. Payments are included in the transaction price when it becomes probable that inclusion would not lead to a significant revenue reversal.</w:t>
      </w:r>
    </w:p>
    <w:p>
      <w:pPr>
        <w:spacing w:after="0" w:line="17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Company has recast its condensed consolidated statement of operations and condensed balance sheet from amounts previously reported due to the adoption of the new revenue standards. The adoption of the new revenue standards had no impact to the Company’s previously reported condensed consolidated statement of cash flows.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Select line items from the Company’s condensed consolidated statement of operations and condensed balance sheet, which reflect the adoption of the new revenue standards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4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2"/>
              </w:rPr>
              <w:t>Nine Months Ended September 30, 2017</w:t>
            </w: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As Previously</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New Revenue</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As Previously</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New Revenue</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Standards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As Recast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Standards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As Recast</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Reported</w:t>
            </w: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Statement of Operations</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License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19,997</w:t>
            </w:r>
          </w:p>
        </w:tc>
        <w:tc>
          <w:tcPr>
            <w:tcW w:w="14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(10,064)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9,933</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60,930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(50,997)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Development and other revenue</w:t>
            </w: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26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(37,737)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(24,459)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(104,081)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(86,981)</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58"/>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As Previously</w:t>
            </w: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New Revenue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Standards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As Recast</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Reported</w:t>
            </w: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7,968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8,702</w:t>
            </w:r>
          </w:p>
        </w:tc>
        <w:tc>
          <w:tcPr>
            <w:tcW w:w="1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(595,945)</w:t>
            </w: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(34,712)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(630,657)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adoption of the new revenue standards resulted in an increase in revenue of $5.3 million and $3.6 million for the years ended December 31, 2017 and 2016, respectively, and an increase in the opening accumulated deficit of $43.7 million as of January 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2016-01</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was effective for the annual reporting period beginning after December 15, 2017 and interim periods within those annual periods. The Company adopted this guidance as of January 1, 2018 using the modified retrospective approach. The impacts to the Company’s accumulated other comprehensive loss and accumulated deficit upon adoption of this guidance are as follows (in thousands):</w:t>
      </w:r>
    </w:p>
    <w:tbl>
      <w:tblPr>
        <w:tblLayout w:type="fixed"/>
        <w:tblInd w:w="11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82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w w:val="99"/>
              </w:rPr>
              <w:t>Accumulated Deficit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Comprehensive Loss</w:t>
            </w:r>
          </w:p>
        </w:tc>
        <w:tc>
          <w:tcPr>
            <w:tcW w:w="16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2017</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80"/>
              </w:rPr>
              <w:t>(1,795)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(630,657)</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Impact of change in accounting principle</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upon adoption of ASU 2016-01</w:t>
            </w:r>
          </w:p>
        </w:tc>
        <w:tc>
          <w:tcPr>
            <w:tcW w:w="180" w:type="dxa"/>
            <w:vAlign w:val="bottom"/>
          </w:tcPr>
          <w:p>
            <w:pPr>
              <w:spacing w:after="0"/>
              <w:rPr>
                <w:sz w:val="20"/>
                <w:szCs w:val="20"/>
                <w:color w:val="auto"/>
              </w:rPr>
            </w:pPr>
          </w:p>
        </w:tc>
        <w:tc>
          <w:tcPr>
            <w:tcW w:w="1900" w:type="dxa"/>
            <w:vAlign w:val="bottom"/>
            <w:gridSpan w:val="2"/>
          </w:tcPr>
          <w:p>
            <w:pPr>
              <w:ind w:left="116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Opening balance as of January 1, 2018</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80"/>
              </w:rPr>
              <w:t>(3,045)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9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adoption of this guidance had no impact to the Company’s condensed consolidated statement of operations or condensed consolidated statement of cash flows for the nine months ended September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2017-09</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This guidance provides guidance about which changes to the terms or conditions of a stock-based payment award require an entity to apply modification accounting in Topic 718. This guidance was effective for annual reporting period beginning after December 15, 2017, including interim periods. The Company adopted this guidance as of January 1, 2018, and the adoption of this guidance had no impact to the Company’s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2016-16</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This guidance requires companies to recognize the income tax effects of intercompany sales or transfer of assets, other than inventory, in the income statement as income tax expense (or benefit) in the period the sale or transfer occurs. The exception to recognizing the income tax effects of intercompany sales or transfer sales or transfer of assets remains in place for intercompany inventory sales and transfers. This guidance was effective for annual reporting period beginning after December 15, 2017, including interim periods. The Company adopted this guidance as of January 1, 2018 using the modified retrospective method. The adoption of this guidance did not result in any recognition of previously unrecognized deferred charges using a modified retrospective method, thus had no impact to the Company’s condensed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This guidance requires capitalizing implementation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The Company is currently evaluating the impact on its consolidated financial statements upon the adoption of this guidance.</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This guidance amends existing fair value measurement disclosure requirements by adding, changing, or removing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does not anticipate a material impact to its consolidated financial statements upon adoption of this guidance.</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The Company will adopt this guidance on January 1, 2019 and does not anticipate a material impact to its consolidated financial statements upon adoption.</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This guidance allows for the reclassification from accumulated other comprehensive income to retained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stranded tax effects arising from the change in the reduction of the United States (“U.S.”) federal statutory income tax rate from 35% to 21%. This guidance is effective for annual reporting period beginning after December 15, 2018, including interim periods, with early adoption permitted. The Company will adopt this guidance on January 1, 2019 and does not anticipate a material reclassification between its accumulated other comprehensive loss and accumulated deficit upon adoption.</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(“ASU 2018-11”), which provides entities the option to initially apply ASU 2016-02 at the adoption date and recognize a cumulative-effect adjustment to the opening balance of retained earnings in the period of adoption. ASU 2016-02 and ASU 2018-11 are effective for the annual reporting period beginning after December 15, 2018, including interim periods within that reporting period. The Company will adopt this guidance as of January 1, 2019 and is currently in the stages of gathering data and assessing the impact of the new lease accounting standard. The Company anticipates that the adoption of this guidance will result in additional assets and liabilities being recorded on its consolidated balance sheet.</w:t>
      </w:r>
    </w:p>
    <w:p>
      <w:pPr>
        <w:spacing w:after="0" w:line="282" w:lineRule="exact"/>
        <w:rPr>
          <w:sz w:val="20"/>
          <w:szCs w:val="20"/>
          <w:color w:val="auto"/>
        </w:rPr>
      </w:pPr>
    </w:p>
    <w:p>
      <w:pPr>
        <w:ind w:right="8840" w:firstLine="8"/>
        <w:spacing w:after="0" w:line="425" w:lineRule="auto"/>
        <w:tabs>
          <w:tab w:leader="none" w:pos="51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which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which amounts were fully received as of July 2016, (ii) up to</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$95.0 million in milestone payments upon achievement of specified regulatory milestone events, and (iii) up to approximately $15.0 million in milestone payments upon the achievement of specified commercial sales milestone.</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second quarter of 2018, Astellas reported positive results from the final phase 3 CKD-dialysis trial of roxadustat in Japan, indicating that Astellas is ready to make an NDA submission for the treatment of anemia with roxadustat in CKD-dialysis patients in 2018. The Company evaluated the regulatory milestone payment associated with NDA submission in Japan based on variable consideration requirements under the current revenue standards and concluded that this milestone became probable of being achieved in the second quarter of 2018. Accordingly, the consideration of $15.0 million associated with this milestone was included in the transaction price and allocated to performance obligations under the Japan Agreement in the second quarter of 2018, of which $14.9 million was recognized as revenue during the second quarter of 2018 from performance obligations satisfied or partially satisfied.</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FibroGen and Astellas are currently negotiating an amendment to the Japan Agreement that will allow Astellas to manufacture roxadustat drug product for commercialization in Japan, and for which FibroGen would continue to manufacture and deliver to Astellas roxadustat active pharmaceutical ingredient (“API”). The commercial terms of the Japan Agreement would remain substantially the same. In the second quarter of 2018, FibroGen delivered roxadustat API to Astellas under a material transfer agreement for Astellas to conduct commercial scale manufacturing validation for roxadustat drug product in anticipation of commercial launch in Japan. The associated consideration of $20.9 million was recorded as deferred revenue because Astellas’ right to use the material was limited as of September 30,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Under the Europe Agreement, the Company is also eligible to receive from Astellas an aggregate of approximately $425.0 million in potential milestone payments, comprised of (i) up to $90.0 million in milestone payments upon achievement of specified clinical and development milestone events, (ii) up to $335.0 million in milestone payments upon achievement of specified regulatory milestone events. Clinical milestone payments of $40.0 million and</w:t>
      </w:r>
    </w:p>
    <w:p>
      <w:pPr>
        <w:spacing w:after="0" w:line="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$50.0 million were received in 2010 and 2012, respectively.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which were fully received in various amounts through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$15.0 million of which was received in 2015 as a result of the finalization of its two audited pre-clinical carcinogenicity study reports, (ii) up to $325.0 million in milestone payments upon achievement of specified regulatory milestone events, (iii) up to $160.0 million in milestone payments related to activity by potential competitors and (iv) up to approximately $325.0 million in milestone payments upon the achievement of specified commercial sales events.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U.S./RoW Agreement, the Company and AstraZeneca shared equally in the development costs of roxadustat not already paid for by Astellas, up to a total of $233.0 million (i.e. the Company’s share of development costs is $116.5 million, which was reached during the fourth quarter of 2015). Development costs incurred by FibroGen during the development period in excess of the $233.0 million (aggregated spend) are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paid upfront, non-contingent and non-refundable payments totaling $28.2 million, which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October 2017, the State Drug Administration in China, now known as the National Medicine Products Administration, accepted the Company’s submitted New Drug Application (“NDA”) for registration of roxadustat for anemia in dialysis-dependent CKD and non-dialysis-dependent CKD (“NDD-CKD”) patients. This NDA submission triggered a $15.0 million milestone payment to the Company by AstraZeneca. The Company evaluated this milestone based on variable consideration requirements under the new revenue standards and concluded that the milestone was probable of being achieved in the third quarter of 2017. Accordingly, consideration associated with this milestone was included in the transaction price and allocated to performance obligations under the China Agreement in the same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Astellas Agreements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each of the Astellas agreements, the Company has evaluated the promised services within the respective arrangements and has identified performance obligations representing those services and bundles of services that are distinct.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2018, the transaction price for the Japan Agreement included $40.1 million of non-contingent upfront payments, $37.5 million of variable consideration related to payments for milestones considered probable of being achieved, and $12.6 million of variable consideration related to co-development billings. The transaction price for the Europe Agreement included $320.0 million of non-contingent upfront payments, $90.0 million of variable consideration related to payments for milestones considered probable of being achieved, and $183.0 million of variable consideration related to co-development billings.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revenue recognition purposes, the Company determined that the term of each collaboration agreement with Astellas begins on the effective date and ends upon the completion of all performance obligations contained in the agreement. The contract term is defined as the period in which parties to the contract have present and enforceable rights and obligations. The Company believes that the requirement to continue funding development for a substantive period of time and loss of product rights, along with non-refundable upfront payments already remitted by Astellas, create significant disincentive for Astellas to exercise its right to terminate the agreements.</w:t>
      </w:r>
    </w:p>
    <w:p>
      <w:pPr>
        <w:spacing w:after="0" w:line="188"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For the Astellas agreements, the Company allocated the transaction price to the various performance obligations based on the relative SSP of each performance obligation, with the exception of co-development billings allocated entirely to co-development services performance obligations.</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the technology license under the Japan Agreement and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480" w:hanging="472"/>
        <w:spacing w:after="0" w:line="269" w:lineRule="auto"/>
        <w:tabs>
          <w:tab w:leader="none" w:pos="48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License to the Company’s technology existing at the effective date of the agreements. </w:t>
      </w:r>
      <w:r>
        <w:rPr>
          <w:rFonts w:ascii="Arial" w:cs="Arial" w:eastAsia="Arial" w:hAnsi="Arial"/>
          <w:sz w:val="17"/>
          <w:szCs w:val="17"/>
          <w:color w:val="auto"/>
        </w:rPr>
        <w:t>For both of the Astellas agreements, the license was delivered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the agreement term. In both cases, the Company concluded at the time of the agreement that its collaboration partner, Astellas, would have the knowledge and capabilities to fully exploit the licenses without the Company’s further involvement. However, the Japan Agreement has contractual limitations that might affect Astellas’ ability to fully exploit the license and therefore, potentially, the conclusion as to whether the license is capable of being distinct. In the Japan Agreement, Astellas does not have the right to manufacture commercial supplies of the drug. In order to determine whether this characteristic of the agreement should lead to a conclusion that the license was not distinct in the context of the agreement, the Company considered the ability of Astellas to benefit from the license together with other resources readily available to Astellas. Finally,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w:t>
      </w:r>
    </w:p>
    <w:p>
      <w:pPr>
        <w:spacing w:after="0" w:line="182" w:lineRule="exact"/>
        <w:rPr>
          <w:rFonts w:ascii="Arial" w:cs="Arial" w:eastAsia="Arial" w:hAnsi="Arial"/>
          <w:sz w:val="17"/>
          <w:szCs w:val="17"/>
          <w:i w:val="1"/>
          <w:iCs w:val="1"/>
          <w:color w:val="auto"/>
        </w:rPr>
      </w:pPr>
    </w:p>
    <w:p>
      <w:pPr>
        <w:ind w:left="480" w:right="60"/>
        <w:spacing w:after="0" w:line="293" w:lineRule="auto"/>
        <w:rPr>
          <w:rFonts w:ascii="Arial" w:cs="Arial" w:eastAsia="Arial" w:hAnsi="Arial"/>
          <w:sz w:val="17"/>
          <w:szCs w:val="17"/>
          <w:i w:val="1"/>
          <w:iCs w:val="1"/>
          <w:color w:val="auto"/>
        </w:rPr>
      </w:pPr>
      <w:r>
        <w:rPr>
          <w:rFonts w:ascii="Arial" w:cs="Arial" w:eastAsia="Arial" w:hAnsi="Arial"/>
          <w:sz w:val="16"/>
          <w:szCs w:val="16"/>
          <w:i w:val="1"/>
          <w:iCs w:val="1"/>
          <w:color w:val="auto"/>
        </w:rPr>
        <w:t xml:space="preserve">Manufacturing rights. </w:t>
      </w:r>
      <w:r>
        <w:rPr>
          <w:rFonts w:ascii="Arial" w:cs="Arial" w:eastAsia="Arial" w:hAnsi="Arial"/>
          <w:sz w:val="16"/>
          <w:szCs w:val="16"/>
          <w:color w:val="auto"/>
        </w:rPr>
        <w:t>In the case of the Japan Agreement, the Company retained manufacturing rights largely because of the way the parties chose for</w:t>
      </w:r>
      <w:r>
        <w:rPr>
          <w:rFonts w:ascii="Arial" w:cs="Arial" w:eastAsia="Arial" w:hAnsi="Arial"/>
          <w:sz w:val="16"/>
          <w:szCs w:val="16"/>
          <w:i w:val="1"/>
          <w:iCs w:val="1"/>
          <w:color w:val="auto"/>
        </w:rPr>
        <w:t xml:space="preserve"> </w:t>
      </w:r>
      <w:r>
        <w:rPr>
          <w:rFonts w:ascii="Arial" w:cs="Arial" w:eastAsia="Arial" w:hAnsi="Arial"/>
          <w:sz w:val="16"/>
          <w:szCs w:val="16"/>
          <w:color w:val="auto"/>
        </w:rPr>
        <w:t>FibroGen to be compensated under the agreement. At the time the agreement was signed, the Company believed that it was more advantageous upon commercialization to have a transfer price revenue model in place as opposed to a traditional sales-based model. The manufacturing process does not require specialized knowledge or expertise uniquely held by FibroGen, and notwithstanding contractual restrictions, Astellas could employ manufacturing services from readily available third parties in order to benefit from the license. Therefore, along with the foregoing paragraph, the Company determined that the license in Japan is a distinct performance obligation despite the retention of manufacturing rights by the Company.</w:t>
      </w:r>
    </w:p>
    <w:p>
      <w:pPr>
        <w:spacing w:after="0" w:line="165" w:lineRule="exact"/>
        <w:rPr>
          <w:sz w:val="20"/>
          <w:szCs w:val="20"/>
          <w:color w:val="auto"/>
        </w:rPr>
      </w:pPr>
    </w:p>
    <w:p>
      <w:pPr>
        <w:ind w:left="480" w:right="560"/>
        <w:spacing w:after="0" w:line="342" w:lineRule="auto"/>
        <w:rPr>
          <w:sz w:val="20"/>
          <w:szCs w:val="20"/>
          <w:color w:val="auto"/>
        </w:rPr>
      </w:pPr>
      <w:r>
        <w:rPr>
          <w:rFonts w:ascii="Arial" w:cs="Arial" w:eastAsia="Arial" w:hAnsi="Arial"/>
          <w:sz w:val="16"/>
          <w:szCs w:val="16"/>
          <w:color w:val="auto"/>
        </w:rPr>
        <w:t>In summary, the Company concludes that item (1) represents a performance obligation. The portion of the transaction price allocated to this performance obligation based on a relative SSP basis is recognized as revenue in its entirety at the point in time the license transfers to Astellas.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60" w:right="120" w:hanging="452"/>
        <w:spacing w:after="0" w:line="290" w:lineRule="auto"/>
        <w:tabs>
          <w:tab w:leader="none" w:pos="4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(Europe Agreement). </w:t>
      </w:r>
      <w:r>
        <w:rPr>
          <w:rFonts w:ascii="Arial" w:cs="Arial" w:eastAsia="Arial" w:hAnsi="Arial"/>
          <w:sz w:val="16"/>
          <w:szCs w:val="16"/>
          <w:color w:val="auto"/>
        </w:rPr>
        <w:t>This promise relates to co-development services that were reasonably expected to be performed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and out-of-pocket expenses incurred relative to total expected costs to be incurred. The measure of progress is updated each reporting period. Co-development services are expected to continue over the development period which is currently estimated to continue through the end of 2019. There was no provision for co-development services in the Japan Agreement.</w:t>
      </w:r>
    </w:p>
    <w:p>
      <w:pPr>
        <w:spacing w:after="0" w:line="166" w:lineRule="exact"/>
        <w:rPr>
          <w:rFonts w:ascii="Arial" w:cs="Arial" w:eastAsia="Arial" w:hAnsi="Arial"/>
          <w:sz w:val="16"/>
          <w:szCs w:val="16"/>
          <w:i w:val="1"/>
          <w:iCs w:val="1"/>
          <w:color w:val="auto"/>
        </w:rPr>
      </w:pPr>
    </w:p>
    <w:p>
      <w:pPr>
        <w:ind w:left="480" w:right="560" w:hanging="472"/>
        <w:spacing w:after="0" w:line="277" w:lineRule="auto"/>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License to the Company’s technology developed during the term of the agreement and development (referred to as “when and if available”) and information sharing services. </w:t>
      </w:r>
      <w:r>
        <w:rPr>
          <w:rFonts w:ascii="Arial" w:cs="Arial" w:eastAsia="Arial" w:hAnsi="Arial"/>
          <w:sz w:val="18"/>
          <w:szCs w:val="18"/>
          <w:color w:val="auto"/>
        </w:rPr>
        <w:t>These promises are generally satisfied throughout the term of the agreements.</w:t>
      </w:r>
    </w:p>
    <w:p>
      <w:pPr>
        <w:spacing w:after="0" w:line="170" w:lineRule="exact"/>
        <w:rPr>
          <w:rFonts w:ascii="Arial" w:cs="Arial" w:eastAsia="Arial" w:hAnsi="Arial"/>
          <w:sz w:val="18"/>
          <w:szCs w:val="18"/>
          <w:i w:val="1"/>
          <w:iCs w:val="1"/>
          <w:color w:val="auto"/>
        </w:rPr>
      </w:pPr>
    </w:p>
    <w:p>
      <w:pPr>
        <w:ind w:left="480" w:right="100" w:hanging="472"/>
        <w:spacing w:after="0" w:line="277" w:lineRule="auto"/>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programs during the development period, or pre-commercialization period.</w:t>
      </w:r>
    </w:p>
    <w:p>
      <w:pPr>
        <w:spacing w:after="0" w:line="170" w:lineRule="exact"/>
        <w:rPr>
          <w:rFonts w:ascii="Arial" w:cs="Arial" w:eastAsia="Arial" w:hAnsi="Arial"/>
          <w:sz w:val="18"/>
          <w:szCs w:val="18"/>
          <w:i w:val="1"/>
          <w:iCs w:val="1"/>
          <w:color w:val="auto"/>
        </w:rPr>
      </w:pPr>
    </w:p>
    <w:p>
      <w:pPr>
        <w:ind w:left="480" w:hanging="472"/>
        <w:spacing w:after="0"/>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service</w:t>
      </w:r>
      <w:r>
        <w:rPr>
          <w:rFonts w:ascii="Arial" w:cs="Arial" w:eastAsia="Arial" w:hAnsi="Arial"/>
          <w:sz w:val="18"/>
          <w:szCs w:val="18"/>
          <w:color w:val="auto"/>
        </w:rPr>
        <w:t>. This promise is satisfied throughout the course of the agreements as meetings are attended.</w:t>
      </w:r>
    </w:p>
    <w:p>
      <w:pPr>
        <w:spacing w:after="0" w:line="225" w:lineRule="exact"/>
        <w:rPr>
          <w:rFonts w:ascii="Arial" w:cs="Arial" w:eastAsia="Arial" w:hAnsi="Arial"/>
          <w:sz w:val="18"/>
          <w:szCs w:val="18"/>
          <w:i w:val="1"/>
          <w:iCs w:val="1"/>
          <w:color w:val="auto"/>
        </w:rPr>
      </w:pPr>
    </w:p>
    <w:p>
      <w:pPr>
        <w:ind w:left="480" w:right="180" w:firstLine="4"/>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Items (3)-(5) are bundled into a single performance obligation which is distinct given the fact that all are highly interrelated during the development period (pre-commercial phase of development) such that satisfying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72" w:lineRule="exact"/>
        <w:rPr>
          <w:rFonts w:ascii="Arial" w:cs="Arial" w:eastAsia="Arial" w:hAnsi="Arial"/>
          <w:sz w:val="18"/>
          <w:szCs w:val="18"/>
          <w:i w:val="1"/>
          <w:iCs w:val="1"/>
          <w:color w:val="auto"/>
        </w:rPr>
      </w:pPr>
    </w:p>
    <w:p>
      <w:pPr>
        <w:ind w:left="480" w:right="100" w:hanging="472"/>
        <w:spacing w:after="0" w:line="259" w:lineRule="auto"/>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promised service is distinct as services are not interrelated with any of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 To date, no such revenue has been recognized.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AstraZeneca Agreements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evaluated whether the U.S./RoW Agreement and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The key points the Company considered in reaching this conclusion are as follows:</w:t>
      </w:r>
    </w:p>
    <w:p>
      <w:pPr>
        <w:spacing w:after="0" w:line="39" w:lineRule="exact"/>
        <w:rPr>
          <w:sz w:val="20"/>
          <w:szCs w:val="20"/>
          <w:color w:val="auto"/>
        </w:rPr>
      </w:pPr>
    </w:p>
    <w:p>
      <w:pPr>
        <w:ind w:left="380" w:right="920" w:hanging="37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the two agreements were largely negotiated separately, those negotiations proceeded concurrently, and were intended to be completed contemporaneously, presuming AstraZeneca decided to proceed with licenses in all regions available.</w:t>
      </w:r>
    </w:p>
    <w:p>
      <w:pPr>
        <w:spacing w:after="0" w:line="170" w:lineRule="exact"/>
        <w:rPr>
          <w:rFonts w:ascii="Arial" w:cs="Arial" w:eastAsia="Arial" w:hAnsi="Arial"/>
          <w:sz w:val="18"/>
          <w:szCs w:val="18"/>
          <w:color w:val="auto"/>
        </w:rPr>
      </w:pPr>
    </w:p>
    <w:p>
      <w:pPr>
        <w:ind w:left="380" w:right="140" w:hanging="372"/>
        <w:spacing w:after="0" w:line="26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Throughout negotiations for both agreements, the Company and the counterparties understood and considered the possibility that one arrangement may be executed without the execution of the other arrangement. However, the preference for the Company and the counterparties during the negotiations was to execute both arrangements concurrently.</w:t>
      </w:r>
    </w:p>
    <w:p>
      <w:pPr>
        <w:spacing w:after="0" w:line="181" w:lineRule="exact"/>
        <w:rPr>
          <w:rFonts w:ascii="Arial" w:cs="Arial" w:eastAsia="Arial" w:hAnsi="Arial"/>
          <w:sz w:val="18"/>
          <w:szCs w:val="18"/>
          <w:color w:val="auto"/>
        </w:rPr>
      </w:pPr>
    </w:p>
    <w:p>
      <w:pPr>
        <w:ind w:left="380" w:right="40" w:hanging="372"/>
        <w:spacing w:after="0" w:line="26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two agreements were executed as separate agreements because different development, regulatory and commercial approaches required certain terms of the agreements to be structured differently, rather than because the Company or the counterparties considered the agreements to be fundamentally separate negotiations.</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Accordingly, as the agreements are being accounted for as a single arrangement, upfront and other non-contingent consideration received and to be received has been and will be pooled together and allocated to each of the performance obligations in both the U.S./RoW Agreement and China Agreement based on their relative SSPs.</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For each of the AstraZeneca agreements, the Company has evaluated the promised services within the respective arrangements and has identified performance obligations representing those services and bundled services that are distinct.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September 30, 2018, the transaction price for the U.S./RoW Agreement and China Agreement included $402.2 million of non-contingent upfront payments, $30.0 million of variable consideration related to payments for milestones considered probable of being achieved, and $669.7 million of variable consideration related to co-development billings.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AstraZeneca agreements, the Company allocated the transaction price to the various performance obligations based on the relative SSP of each performance obligation, with the exception of co-development billings. Co-development billings under the U.S./RoW Agreement were allocated entirely to the U.S./RoW co-development services performance obligation, and co-development billings under the China Agreement were allocated entirely to the combined performance obligation under the China Agreement.</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revenue recognition purposes, the Company determined that the term of its collaboration agreements with AstraZeneca begin on the effective date and ends upon the completion of all performance obligations contained in the agreements. The contract term is defined as the period in which parties to the contract have present and enforceable rights and obligations. The Company believes that the requirement to continue funding development for a substantive period of time and the loss of product rights, along with non-refundable upfront payments already remitted by AstraZeneca, represent substantive termination penalties that create significant disincentive for AstraZeneca to exercise its right to terminate the agreement.</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 the technology license under the AstraZeneca U.S./RoW Agreement, SSP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480" w:right="20" w:hanging="472"/>
        <w:spacing w:after="0" w:line="271" w:lineRule="auto"/>
        <w:tabs>
          <w:tab w:leader="none" w:pos="4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License to the Company’s technology existing at the effective date of the agreements. </w:t>
      </w:r>
      <w:r>
        <w:rPr>
          <w:rFonts w:ascii="Arial" w:cs="Arial" w:eastAsia="Arial" w:hAnsi="Arial"/>
          <w:sz w:val="17"/>
          <w:szCs w:val="17"/>
          <w:color w:val="auto"/>
        </w:rPr>
        <w:t>For the U.S./RoW Agreement, the license was delivered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of the agreement term. The Company concluded that AstraZeneca has the knowledge and capabilities to fully exploit the license under the U.S./RoW Agreement without the Company’s further involvement. Finally, the Company considered the fact that at the time of delivery of the license, the development services were beyond the preclinical development phase and any remaining development work would not be expected to result in any significant modification or customization to the licensed technology. As such, the development services are separately identifiable from the licensed technology, indicating that the license is a distinct performance obligation. Therefore, the Company has concluded that the license is distinct and represents a performance obligation. The portion of the transaction price allocated to this performance obligation based on a relative SSP basis is recognized as revenue in its entirety at the point in time the license transfers to AstraZeneca.</w:t>
      </w:r>
    </w:p>
    <w:p>
      <w:pPr>
        <w:spacing w:after="0" w:line="178" w:lineRule="exact"/>
        <w:rPr>
          <w:rFonts w:ascii="Arial" w:cs="Arial" w:eastAsia="Arial" w:hAnsi="Arial"/>
          <w:sz w:val="17"/>
          <w:szCs w:val="17"/>
          <w:i w:val="1"/>
          <w:iCs w:val="1"/>
          <w:color w:val="auto"/>
        </w:rPr>
      </w:pPr>
    </w:p>
    <w:p>
      <w:pPr>
        <w:ind w:left="480" w:right="20" w:hanging="472"/>
        <w:spacing w:after="0" w:line="291" w:lineRule="auto"/>
        <w:tabs>
          <w:tab w:leader="none" w:pos="48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w:t>
      </w:r>
      <w:r>
        <w:rPr>
          <w:rFonts w:ascii="Arial" w:cs="Arial" w:eastAsia="Arial" w:hAnsi="Arial"/>
          <w:sz w:val="16"/>
          <w:szCs w:val="16"/>
          <w:color w:val="auto"/>
        </w:rPr>
        <w:t>This promise relates to co-development services that were reasonably expected to be performed by the Company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the collaboration agreement was signed and is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Co-development services are expected to continue over the development period which is estimated to continue through the end of 2020.</w:t>
      </w:r>
    </w:p>
    <w:p>
      <w:pPr>
        <w:spacing w:after="0" w:line="167" w:lineRule="exact"/>
        <w:rPr>
          <w:rFonts w:ascii="Arial" w:cs="Arial" w:eastAsia="Arial" w:hAnsi="Arial"/>
          <w:sz w:val="16"/>
          <w:szCs w:val="16"/>
          <w:i w:val="1"/>
          <w:iCs w:val="1"/>
          <w:color w:val="auto"/>
        </w:rPr>
      </w:pPr>
    </w:p>
    <w:p>
      <w:pPr>
        <w:ind w:left="480" w:right="40" w:hanging="472"/>
        <w:spacing w:after="0" w:line="277" w:lineRule="auto"/>
        <w:tabs>
          <w:tab w:leader="none" w:pos="4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programs during the development period, or pre-commercialization period.</w:t>
      </w:r>
    </w:p>
    <w:p>
      <w:pPr>
        <w:spacing w:after="0" w:line="170" w:lineRule="exact"/>
        <w:rPr>
          <w:rFonts w:ascii="Arial" w:cs="Arial" w:eastAsia="Arial" w:hAnsi="Arial"/>
          <w:sz w:val="18"/>
          <w:szCs w:val="18"/>
          <w:i w:val="1"/>
          <w:iCs w:val="1"/>
          <w:color w:val="auto"/>
        </w:rPr>
      </w:pPr>
    </w:p>
    <w:p>
      <w:pPr>
        <w:ind w:left="480" w:hanging="472"/>
        <w:spacing w:after="0"/>
        <w:tabs>
          <w:tab w:leader="none" w:pos="48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Information sharing and committee service. </w:t>
      </w:r>
      <w:r>
        <w:rPr>
          <w:rFonts w:ascii="Arial" w:cs="Arial" w:eastAsia="Arial" w:hAnsi="Arial"/>
          <w:sz w:val="17"/>
          <w:szCs w:val="17"/>
          <w:color w:val="auto"/>
        </w:rPr>
        <w:t>These promises are satisfied throughout the course of the agreement as services are provided.</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80" w:right="180"/>
        <w:spacing w:after="0" w:line="276" w:lineRule="auto"/>
        <w:rPr>
          <w:sz w:val="20"/>
          <w:szCs w:val="20"/>
          <w:color w:val="auto"/>
        </w:rPr>
      </w:pPr>
      <w:r>
        <w:rPr>
          <w:rFonts w:ascii="Arial" w:cs="Arial" w:eastAsia="Arial" w:hAnsi="Arial"/>
          <w:sz w:val="17"/>
          <w:szCs w:val="17"/>
          <w:color w:val="auto"/>
        </w:rPr>
        <w:t>Items (3)-(4) are bundled into a single performance obligation which is distinct given the fact that all are highly interrelated during the development period (pre-commercial phase of development) such that delivering them independently is not practicable. Revenue is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The measure of progress is updated each reporting period.</w:t>
      </w:r>
    </w:p>
    <w:p>
      <w:pPr>
        <w:spacing w:after="0" w:line="173" w:lineRule="exact"/>
        <w:rPr>
          <w:sz w:val="20"/>
          <w:szCs w:val="20"/>
          <w:color w:val="auto"/>
        </w:rPr>
      </w:pPr>
    </w:p>
    <w:p>
      <w:pPr>
        <w:ind w:left="480" w:right="60" w:hanging="472"/>
        <w:spacing w:after="0" w:line="259" w:lineRule="auto"/>
        <w:tabs>
          <w:tab w:leader="none" w:pos="4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 is distinct as services are not interrelated with any of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received for commercial supplies of products represent sales-based royalties related predominately to the license of intellectual property under the agreement. Revenue is recognized as supplies are shipped for commercial use during the commercialization period. To date, no such revenue has been recognized.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obligation that were analyzed, along with their general timing of satisfaction and recognition as revenue, are as follows:</w:t>
      </w:r>
    </w:p>
    <w:p>
      <w:pPr>
        <w:spacing w:after="0" w:line="117" w:lineRule="exact"/>
        <w:rPr>
          <w:sz w:val="20"/>
          <w:szCs w:val="20"/>
          <w:color w:val="auto"/>
        </w:rPr>
      </w:pPr>
    </w:p>
    <w:p>
      <w:pPr>
        <w:ind w:left="520" w:hanging="512"/>
        <w:spacing w:after="0" w:line="273"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License to the Company’s technology existing at the effective date of the agreement. </w:t>
      </w:r>
      <w:r>
        <w:rPr>
          <w:rFonts w:ascii="Arial" w:cs="Arial" w:eastAsia="Arial" w:hAnsi="Arial"/>
          <w:sz w:val="17"/>
          <w:szCs w:val="17"/>
          <w:color w:val="auto"/>
        </w:rPr>
        <w:t>The license was delivered at the beginning of the agreement term.</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the China Agreement with AstraZeneca has contractual limitations that might affect AstraZeneca’s ability to fully exploit the license and therefore, potentially, the conclusion as to whether the license is distinct in the context of the agreement. In the China Agreement, AstraZeneca does not have the right to manufacture commercial supplies of the drug. In order to determine whether this characteristic of the arrangement should lead to a conclusion that the license was not distinct in the context of the agreement, the Company considered the ability of AstraZeneca to benefit from the license on its own or together with other resources readily available to AstraZeneca.</w:t>
      </w:r>
    </w:p>
    <w:p>
      <w:pPr>
        <w:spacing w:after="0" w:line="17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Due to certain regulatory restrictions in China, manufacturing services of commercial drug product in China are not readily available to AstraZeneca or any other parties. Therefore, AstraZeneca cannot benefit from the license on its own or together with other readily available resources. Accordingly, all the promises identified, including co-development services, under the China Agreement have been bundled into a single performance obligation and amounts of the transaction price allocable to this performance obligation are deferred until control of the manufactured commercial drug product has begun to transfer to AstraZeneca. Upon commencement of the transfer of control to commercial drug product, revenue would be recognized in a pattern consistent with estimated deliveries of the commercial drug product.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table below summarizes the accounting treatment for the various performance obligations pursuant to each of the Astellas and AstraZeneca agreements. License amounts identified below are included in the “License revenue” line item in the condensed consolidated statements of operations. All other elements identified below are included in the “Development and other revenue” line item in the condensed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3860" w:type="dxa"/>
            <w:vAlign w:val="bottom"/>
            <w:gridSpan w:val="3"/>
            <w:vMerge w:val="continue"/>
          </w:tcPr>
          <w:p>
            <w:pPr>
              <w:spacing w:after="0"/>
              <w:rPr>
                <w:sz w:val="13"/>
                <w:szCs w:val="13"/>
                <w:color w:val="auto"/>
              </w:rPr>
            </w:pPr>
          </w:p>
        </w:tc>
        <w:tc>
          <w:tcPr>
            <w:tcW w:w="92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2017 *</w:t>
            </w: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2017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6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14,323</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Development revenue</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474</w:t>
            </w:r>
          </w:p>
        </w:tc>
        <w:tc>
          <w:tcPr>
            <w:tcW w:w="12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517</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2,065</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90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Japan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September 30, 2018</w:t>
            </w:r>
          </w:p>
        </w:tc>
        <w:tc>
          <w:tcPr>
            <w:tcW w:w="2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8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74,089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87,661</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88,047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true-up relating to prior periods resulting from changes to estimated variable consideration was immaterial in the quarter ended September 30, 2018. The remainder of the transaction price related to the Japan Agreement includes $2.1 million of variable consideration from estimated future co-development billing and is expected to be recognized over the remaining development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2940" w:type="dxa"/>
            <w:vAlign w:val="bottom"/>
            <w:gridSpan w:val="5"/>
          </w:tcPr>
          <w:p>
            <w:pPr>
              <w:jc w:val="right"/>
              <w:ind w:right="276"/>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1500" w:type="dxa"/>
            <w:vAlign w:val="bottom"/>
            <w:gridSpan w:val="2"/>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2017 *</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2017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Development revenue</w:t>
            </w:r>
          </w:p>
        </w:tc>
        <w:tc>
          <w:tcPr>
            <w:tcW w:w="10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4,658</w:t>
            </w:r>
          </w:p>
        </w:tc>
        <w:tc>
          <w:tcPr>
            <w:tcW w:w="3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4,805</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14,384</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690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Agreement, along with any associated deferred revenue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Europe Agreement</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September 30, 2018</w:t>
            </w:r>
          </w:p>
        </w:tc>
        <w:tc>
          <w:tcPr>
            <w:tcW w:w="2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2018</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9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370,481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370,481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9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198,717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203,067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9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569,198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573,548</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revenue recognized under the Europe Agreement in the quarter ended September 30, 2018 included a decrease in revenue of $0.1 million as true-up relating to prior periods resulting from changes to estimated variable consideration in the current period. The remainder of the transaction price related to the Europe Agreement includes $19.4 million of variable consideration from estimated future co-development billing and is expected to be recognized over the remaining development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1500" w:type="dxa"/>
            <w:vAlign w:val="bottom"/>
            <w:gridSpan w:val="2"/>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 *</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 China</w:t>
            </w:r>
          </w:p>
        </w:tc>
        <w:tc>
          <w:tcPr>
            <w:tcW w:w="354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Development revenue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23,895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25,295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74,096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U.S./RoW Agreement and China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Deferred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220" w:type="dxa"/>
            <w:vAlign w:val="bottom"/>
          </w:tcPr>
          <w:p>
            <w:pPr>
              <w:spacing w:after="0"/>
              <w:rPr>
                <w:sz w:val="14"/>
                <w:szCs w:val="14"/>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September 30, 2018</w:t>
            </w:r>
          </w:p>
        </w:tc>
        <w:tc>
          <w:tcPr>
            <w:tcW w:w="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8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286,216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377,765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406,928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Total license and development revenue</w:t>
            </w:r>
          </w:p>
        </w:tc>
        <w:tc>
          <w:tcPr>
            <w:tcW w:w="84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663,981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revenue recognized under the U.S./RoW Agreement in the quarter ended September 30, 2018 included a decrease in revenue of $0.1 million as true-up relating to prior periods resulting from changes to estimated variable consideration in the current period. The remainder of the transaction price related to the U.S./RoW Agreement and China Agreement includes $223.7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all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 term portion of deferred revenue represents amounts to be recognized after one year through the end of the non-contingent performance period of the underlying performance obligations.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September 30, 2018</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5"/>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6,009</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10,446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495,131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495,131</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deposits</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109,933</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109,933</w:t>
            </w:r>
          </w:p>
        </w:tc>
        <w:tc>
          <w:tcPr>
            <w:tcW w:w="120" w:type="dxa"/>
            <w:vAlign w:val="bottom"/>
            <w:shd w:val="clear" w:color="auto" w:fill="CFF0FC"/>
          </w:tcPr>
          <w:p>
            <w:pPr>
              <w:spacing w:after="0"/>
              <w:rPr>
                <w:sz w:val="19"/>
                <w:szCs w:val="19"/>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505,800</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115,942</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621,742</w:t>
            </w:r>
          </w:p>
        </w:tc>
        <w:tc>
          <w:tcPr>
            <w:tcW w:w="1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December 31, 2017</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5"/>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18,402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569,942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569,942</w:t>
            </w:r>
          </w:p>
        </w:tc>
        <w:tc>
          <w:tcPr>
            <w:tcW w:w="120" w:type="dxa"/>
            <w:vAlign w:val="bottom"/>
          </w:tcPr>
          <w:p>
            <w:pPr>
              <w:spacing w:after="0"/>
              <w:rPr>
                <w:sz w:val="19"/>
                <w:szCs w:val="19"/>
                <w:color w:val="auto"/>
              </w:rPr>
            </w:pPr>
          </w:p>
        </w:tc>
      </w:tr>
      <w:tr>
        <w:trPr>
          <w:trHeight w:val="223"/>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588,565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642,508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3"/>
              </w:rPr>
              <w:t>September 30, 2018</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98,209</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98,209</w:t>
            </w:r>
          </w:p>
        </w:tc>
        <w:tc>
          <w:tcPr>
            <w:tcW w:w="100" w:type="dxa"/>
            <w:vAlign w:val="bottom"/>
            <w:tcBorders>
              <w:top w:val="single" w:sz="8" w:color="CFF0FC"/>
            </w:tcBorders>
            <w:shd w:val="clear" w:color="auto" w:fill="CFF0FC"/>
          </w:tcPr>
          <w:p>
            <w:pPr>
              <w:spacing w:after="0"/>
              <w:rPr>
                <w:sz w:val="19"/>
                <w:szCs w:val="19"/>
                <w:color w:val="auto"/>
              </w:rPr>
            </w:pPr>
          </w:p>
        </w:tc>
      </w:tr>
      <w:tr>
        <w:trPr>
          <w:trHeight w:val="392"/>
        </w:trPr>
        <w:tc>
          <w:tcPr>
            <w:tcW w:w="4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December 31, 2017</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8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98,476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98,476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fair values of the Company’s financial liabilities were derived by using an income approach, which required Level 3 inputs such as discounted estimated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5900" w:type="dxa"/>
            <w:vAlign w:val="bottom"/>
            <w:gridSpan w:val="2"/>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24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September 30, 2018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71,591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103,716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495,131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569,942</w:t>
            </w:r>
          </w:p>
        </w:tc>
        <w:tc>
          <w:tcPr>
            <w:tcW w:w="80" w:type="dxa"/>
            <w:vAlign w:val="bottom"/>
            <w:tcBorders>
              <w:bottom w:val="single" w:sz="8" w:color="CFF0FC"/>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566,722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673,658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September 30, 2018 and December 31, 2017, a total of $25.5 million and $32.3 million, respectively, of the Company’s cash and cash equivalents were held outside of the U.S. in its foreign subsidiaries to be used primarily for its China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Company’s investments consist of available-for-sale debt investments and marketable equity investments. The amortized cost, gross unrealized holding gains or losses, and fair value of the Company’s available-for-sale investments by major investments type are summarized in the tables below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jc w:val="right"/>
              <w:ind w:right="1320"/>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2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8"/>
              </w:rPr>
              <w:t>Holding Losses</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109,933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126,535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53,985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17,249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September 30, 2018, all of the available-for-sale investments had contractual maturities within one year. The Company periodically reviews its available-for-sale investments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and nine months ended September 30, 2018 and 2017, the Company did not recognize any other-than-temporary impairment loss.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22,606</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18,810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Property taxes and other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was allocated to research and development and general and administrative expense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8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w:t>
            </w:r>
          </w:p>
        </w:tc>
        <w:tc>
          <w:tcPr>
            <w:tcW w:w="3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15,703</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14,323</w:t>
            </w:r>
          </w:p>
        </w:tc>
        <w:tc>
          <w:tcPr>
            <w:tcW w:w="3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9,628</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27,608</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estimate the fair value of stock options granted and purchases under the Company’s 2014 Employee Share Purchase Plan (“ESPP”)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using the Black-Scholes option valuation model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w w:val="99"/>
              </w:rPr>
              <w:t>Three Months Ended September 30,</w:t>
            </w: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35.99</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32.37</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0.5 - 2.0</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47.3 - 72.8  %</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52.8 - 76.0  %</w:t>
            </w: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47.3 - 75.3  %</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52.8 - 77.2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1.0 - 2.6  %</w:t>
            </w:r>
          </w:p>
        </w:tc>
        <w:tc>
          <w:tcPr>
            <w:tcW w:w="320" w:type="dxa"/>
            <w:vAlign w:val="bottom"/>
          </w:tcPr>
          <w:p>
            <w:pPr>
              <w:spacing w:after="0"/>
              <w:rPr>
                <w:sz w:val="19"/>
                <w:szCs w:val="19"/>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0.6 - 1.3  %</w:t>
            </w:r>
          </w:p>
        </w:tc>
        <w:tc>
          <w:tcPr>
            <w:tcW w:w="30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0.8 - 2.6  %</w:t>
            </w:r>
          </w:p>
        </w:tc>
        <w:tc>
          <w:tcPr>
            <w:tcW w:w="320" w:type="dxa"/>
            <w:vAlign w:val="bottom"/>
          </w:tcPr>
          <w:p>
            <w:pPr>
              <w:spacing w:after="0"/>
              <w:rPr>
                <w:sz w:val="19"/>
                <w:szCs w:val="19"/>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0.5 - 1.3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20.10</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15.27</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three and nine months ended September 30, 2018 and 2017 were due to foreign taxes.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and expected continuing net loss, the Company has established and continues to maintain a full valuation allowance against its deferred tax assets as it does not currently believe that realization of those assets is more likely than not.</w:t>
      </w:r>
    </w:p>
    <w:p>
      <w:pPr>
        <w:spacing w:after="0" w:line="326"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$5.1 million and $5.3 million during the three months ended September 30, 2018 and 2017, respectively, and $30.8 million and $15.1 million during the nine months ended September 30, 2018 and 2017, respectively. The related party revenue for the nine months ended September 30, 2018 included $14.9 million of a $15.0 million regulatory milestone under the Japan Agreement that was included in the transaction price during the second quarter of 2018. See Note 2 and below for details. The related party revenue was recast for the three and nine months ended September 30, 2017 as a result of adoption of the new revenue standards. See Note 1 for details.</w:t>
      </w:r>
    </w:p>
    <w:p>
      <w:pPr>
        <w:spacing w:after="0" w:line="19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 recorded expense related to collaboration agreements with Astellas of $0.4 million and $0.2 million during the three months ended September 30, 2018 and 2017, respectively, and $1.1 million and $0.8 million during the nine months ended September 30, 2018 and 2017, respectively.</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September 30, 2018 and December 31, 2017, accounts receivable from Astellas were $19.4 million and $4.0 million, respectively, and amounts due to Astellas were $0.4 million and $0.3 million, respectively. The accounts receivable from Astellas as of June 30, 2018 included $20.9 million related to a sale of roxadustat API to Astellas during the second quarter of 2018, which was received during the three months ended September 30, 2018. The sale was made pursuant to a material transfer agreement in anticipation of the execution of an amendment to the Japan Agreement allowing Astellas to manufacture roxadustat drug product, which is expected to be finalized in the fourth quarter of 2018. The sale enables Astellas to conduct the commercial scale manufacturing validation for roxadustat drug product in anticipation of commercial launch in Japan. The associated consideration was recorded as deferred revenue because Astellas’ right to use the material was limited as of September 30, 2018.</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2017 filed with the SEC on February 27,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were incorporated in 1993 in Delaware and are a biopharmaceutical company discovering and developing first-in-class therapeutics. Roxadustat (FG-4592), our most advanced product candidate, is an oral small molecule inhibitor of hypoxia inducible factor (“HIF”) prolyl hydroxylase (“HIF-PH”) activity in Phase 3 clinical development for the treatment of anemia in chronic kidney disease (“CKD”) and myelodysplastic syndromes (“MDS”). Pamrevlumab (FG-3019), a human monoclonal antibody that inhibits the activity of connective tissue growth factor (“CTGF”) is in Phase 2 clinical development for the treatment of idiopathic pulmonary fibrosis (“IPF”), pancreatic cancer, and Duchenne muscular dystrophy (“DMD”). We are taking a global approach to the development and future commercialization of our product candidates, and this includes development and commercialization in the People’s Republic of China (“China”). We are capitalizing on our extensive experience in fibrosis and HIF biology and clinical development to advance a pipeline of innovative medicines for the treatment of anemia, fibrotic disease cancer, corneal blindness and other serious unmet medical needs.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1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 *</w:t>
            </w:r>
          </w:p>
        </w:tc>
        <w:tc>
          <w:tcPr>
            <w:tcW w:w="58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73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2017 *</w:t>
            </w:r>
          </w:p>
        </w:tc>
        <w:tc>
          <w:tcPr>
            <w:tcW w:w="100" w:type="dxa"/>
            <w:vAlign w:val="bottom"/>
          </w:tcPr>
          <w:p>
            <w:pPr>
              <w:spacing w:after="0"/>
              <w:rPr>
                <w:sz w:val="13"/>
                <w:szCs w:val="13"/>
                <w:color w:val="auto"/>
              </w:rPr>
            </w:pPr>
          </w:p>
        </w:tc>
      </w:tr>
      <w:tr>
        <w:trPr>
          <w:trHeight w:val="156"/>
        </w:trPr>
        <w:tc>
          <w:tcPr>
            <w:tcW w:w="4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720" w:type="dxa"/>
            <w:vAlign w:val="bottom"/>
            <w:gridSpan w:val="6"/>
          </w:tcPr>
          <w:p>
            <w:pPr>
              <w:jc w:val="right"/>
              <w:ind w:right="577"/>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Revenue</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29,027</w:t>
            </w:r>
          </w:p>
        </w:tc>
        <w:tc>
          <w:tcPr>
            <w:tcW w:w="1100" w:type="dxa"/>
            <w:vAlign w:val="bottom"/>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40,550</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104,903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100,260</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FF0FC"/>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71,799</w:t>
            </w:r>
          </w:p>
        </w:tc>
        <w:tc>
          <w:tcPr>
            <w:tcW w:w="110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63,289</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211,516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181,957</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(42,556)</w:t>
            </w:r>
          </w:p>
        </w:tc>
        <w:tc>
          <w:tcPr>
            <w:tcW w:w="1100" w:type="dxa"/>
            <w:vAlign w:val="bottom"/>
          </w:tcPr>
          <w:p>
            <w:pPr>
              <w:jc w:val="right"/>
              <w:ind w:right="85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(24,459)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(107,373)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(86,981)</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980" w:type="dxa"/>
            <w:vAlign w:val="bottom"/>
            <w:shd w:val="clear" w:color="auto" w:fill="CFF0FC"/>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10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(0.32)</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r>
      <w:tr>
        <w:trPr>
          <w:trHeight w:val="459"/>
        </w:trPr>
        <w:tc>
          <w:tcPr>
            <w:tcW w:w="4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277"/>
              <w:spacing w:after="0"/>
              <w:rPr>
                <w:sz w:val="20"/>
                <w:szCs w:val="20"/>
                <w:color w:val="auto"/>
              </w:rPr>
            </w:pPr>
            <w:r>
              <w:rPr>
                <w:rFonts w:ascii="Arial" w:cs="Arial" w:eastAsia="Arial" w:hAnsi="Arial"/>
                <w:sz w:val="14"/>
                <w:szCs w:val="14"/>
                <w:b w:val="1"/>
                <w:bCs w:val="1"/>
                <w:color w:val="auto"/>
                <w:w w:val="93"/>
              </w:rPr>
              <w:t>September 30, 2018</w:t>
            </w:r>
          </w:p>
        </w:tc>
        <w:tc>
          <w:tcPr>
            <w:tcW w:w="22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2017</w:t>
            </w:r>
          </w:p>
        </w:tc>
      </w:tr>
      <w:tr>
        <w:trPr>
          <w:trHeight w:val="156"/>
        </w:trPr>
        <w:tc>
          <w:tcPr>
            <w:tcW w:w="4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300" w:type="dxa"/>
            <w:vAlign w:val="bottom"/>
            <w:tcBorders>
              <w:top w:val="single" w:sz="8" w:color="auto"/>
            </w:tcBorders>
            <w:gridSpan w:val="3"/>
          </w:tcPr>
          <w:p>
            <w:pPr>
              <w:jc w:val="right"/>
              <w:ind w:right="121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566,722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673,658</w:t>
            </w: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126,611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72,566</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23,187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8,452</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revenue for the three months ended September 30, 2018 decreased compared to the same period a year ago primarily due to the revenue related to a $15.0 million regulatory milestone recognized in prior year period. In October 2017, then the China Food and Drug Administration (now known as the National Medicine Products Administration (“NMPA”)) accepted our New Drug Application (“NDA”) for registration of roxadustat for anemia in DD CKD and NDD-CKD patients. This NDA submission triggered a $15.0 million milestone payment to FibroGen by AstraZeneca, which became probable of being achieved and therefore partially recognized as revenue under the new revenue standards during the third quarter of 2017.</w:t>
      </w:r>
    </w:p>
    <w:p>
      <w:pPr>
        <w:spacing w:after="0" w:line="1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revenue for the nine months ended September 30, 2018 increased compared to the same period a year ago primarily related to the recognition of $14.9 million of a $15.0 million regulatory milestone associated with NDA submission in Japan under the collaboration agreement with Astellas for roxadustat for the treatment of anemia in Japan (“Japan Agreement”) that was included in the transaction price during the second quarter of 2018 when this milestone became probable of being achieved, as compared to the above mentioned partial recognition of a $15.0 million regulatory milestone in the prior year period.</w:t>
      </w:r>
    </w:p>
    <w:p>
      <w:pPr>
        <w:spacing w:after="0" w:line="15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Operating expenses for the three and nine months ended September 30, 2018 increased compared to the same periods a year ago primarily due to higher stock-based compensation due to the cumulative impact of stock option grant activities, higher drug development expenses associated with drug substance manufacturing activities related to pamrevlumab, and higher employee-related expenses resulting from higher average compensation level and higher headcount, partially offset by lower clinical trial activities related to roxadustat and pamrevlumab. Operating expenses for nine months ended September 30, 2018 were also impacted by higher facility related expenses relative to the prior period in which our property taxes were reduced as a result of a final settlement we obtained related to historical property tax payments.</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three months ended September 30, 2018, we had a net loss of $42.6 million, or net loss per basic and diluted share of $0.50, as compared to a net loss of $24.5 million for the same period a year ago, due to an decrease in revenue and an increase in operating expenses. During the nine months ended September 30, 2018, we had a net loss of $107.4 million, or net loss per basic and diluted share of $1.28, as compared to a net loss of $87.0 million for the same period a year ago, due to an increase in operating expenses, partially offset by an increase in revenue.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and cash equivalents, investments and accounts receivable totaled $716.5 million at September 30, 2018, a decrease of $38.2 million from December 31, 2017, primarily due to the cash used in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Roxadustat, the most advanced HIF-PH inhibitor in clinical development, acts by stimulating the body’s natural pathway of erythropoiesis, or red blood cell production. We, along with our collaboration partners, Astellas Pharma Inc. (“Astellas”) and AstraZeneca AB (“AstraZeneca”), are nearing completion of a global Phase 3 program to support regulatory approvals of roxadustat in the United States (“U.S.”), Europe, Japan, and China for anemia in both dialysis-dependent CKD (“DD-CKD”) patients and non-dialysis-dependent CKD (“NDD-CKD”) patients. These Phase 3 programs are studying multiple patient populations, including incident dialysis patients and stable dialysis patients in which roxadustat is compared to epoetin alfa, as well as non-dialysis patients in which roxadustat is compared to placebo.</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our U.S. and European CKD anemia programs, we have completed treatment of all Phase 3 patients (other than for a European reimbursement study), and expect to report topline individual study results in the fourth quarter of 2018, subject to adequate progress in our MACE adjudication procedures, and report pooled safety data prior to the submission of the NDA for roxadustat in the first half of 2019. In the third quarter of 2018, Astellas announced positive topline results for its ALPS study, a global Phase 3 trial of roxadustat in CKD anemia patients not on dialysis. Astellas has also completed its Phase 3 study in DD-CKD comparing roxadustat to darbepoetin or epoetin alfa.</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China, the NMPA continues to review our NDA submission for the registration of roxadustat to treat anemia for DD-CKD patients and NDD-CKD patients. While there is no fixed regulatory timeline for an NDA approval decision, we currently anticipate a market approval decision for our NDA in China by year-end for anemia in DD-CKD patients. We expect a decision regarding whether anemia in NDD-CKD will be added to the label in the first half of 2019 after the clinical site inspections have been completed for NDD-CKD.</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Japan, Astellas has reported positive results from four of its six Phase 3 anemia studies and has filed an NDA for roxadustat in anemia associated with DD-CKD. This NDA triggered a $15 million milestone payment from Astellas. Astellas has also completed one of its two Phase 3 NDD-CKD studies in Japan.</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Astellas presented results from two of its four DD-CKD studies at ASN Kidney Week 2018. In the 303 patient double-blind Phase 3 hemodialysis study, treatment with oral roxadustat was as effective as darbepoetin alfa in maintaining hemoglobin levels within the target range of 10.0–12.0 g/dL in hemodialysis patients previously treated with erythropoiesis-stimulating agents (“ESAs”). The average hemoglobin levels at Weeks 18–24 was 11.00 (± 0.60) g/dL and</w:t>
      </w:r>
    </w:p>
    <w:p>
      <w:pPr>
        <w:ind w:right="40"/>
        <w:spacing w:after="0" w:line="269" w:lineRule="auto"/>
        <w:rPr>
          <w:sz w:val="20"/>
          <w:szCs w:val="20"/>
          <w:color w:val="auto"/>
        </w:rPr>
      </w:pPr>
      <w:r>
        <w:rPr>
          <w:rFonts w:ascii="Arial" w:cs="Arial" w:eastAsia="Arial" w:hAnsi="Arial"/>
          <w:sz w:val="17"/>
          <w:szCs w:val="17"/>
          <w:color w:val="auto"/>
        </w:rPr>
        <w:t>10.95 (± 0.63) g/dL in the roxadustat and darbepoetin alfa groups, respectively; the difference between the groups was 0.05 (95% CI: -0.10, ± 0.20) g/dL. The maintenance rate of target hemoglobin levels (10.0–12.0 g/dL) during Weeks 18–24 was 79.3% and 83.4% in the roxadustat and darbepoetin alfa groups, respectively; the difference between the 2 groups was -4.1% (95% CI: -13.6, ± 5.3). Among patients with at least one hemoglobin value during Weeks 18–24, the maintenance rate was 95.2% and 91.3% in the roxadustat and darbepoetin alfa groups, respectively; the difference between the 2 groups was 3.9% (95% CI: -2.9, ± 10.7). Roxadustat was well tolerated with a safety profile similar to that of darbepoetin alfa and consistent with previous reports. The proportions of patients who reported TEAEs were similar in the roxadustat and darbepoetin alfa groups. There was no increased risk of ophthalmological abnormalities, including retinal hemorrhages, observed in patients treated with roxadustat compared to darbepoetin alfa.</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Astellas’s 56 patient open-label Phase 3 peritoneal dialysis (“PD”) study in Japan, roxadustat was effective in achieving and maintaining hemoglobin levels within the target range of 10.0-12.0 g/dL at Weeks 18-24. This open-label trial treated two groups of patients with roxadustat: patients not previously treated with ESAs (“ESA-Naïve”) and patients previously treated with ESAs (“ESA-Conversion”). The hemoglobin maintenance rate was 92.3% (95% CI: 64.0-99.8) for ESA-Naïve patients and 74.4% (95% CI: 58.8-86.5) for ESA-Conversion patients. Maintenance rates of patients with at least one hemoglobin value</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Weeks 18-24 were 92.3% (95% CI: 64.0-99.8; ESA-Naïve) and 86.5% (95% CI: 71.2-95.5; ESA-Conversion). The mean of average hemoglobin levels at Weeks 18-24 was 11.05 g/dL (± 0.62) for ESA-Naïve patients and 10.93 g/dL (± 0.61) for ESA-Conversion patients. The mean change in average hemoglobin at Weeks 18-24 from baseline was 1.69 g/dL (± 1.05) for ESA-Naïve patients; and 0.14 g/dL (± 0.76) for ESA-Conversion patients. All iron parameters remained clinically stable despite robust erythropoiesis and without the need for IV iron supplementation, and hepcidin decreased in a manner consistent with previous Phase 2 and Phase 3 studies of roxadustat. Roxadustat was well tolerated with no safety concerns.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Pamrevlumab is our human monoclonal antibody that inhibits the activity of CTGF, a central mediator and critical common element in the progression of fibrotic and fibro-proliferative diseases. We are currently conducting Phase 2 trials in pancreatic cancer and DMD and we have completed our Phase 2 trial in IPF. In the U.S., pamrevlumab has received orphan drug designation for IPF and Fast Track designation for the treatment of both IPF patients and patients with locally advanced unresectable pancreatic cancer from the U.S. Food and Drug Administration (“FDA”).</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plan to begin enrolling a double-blind placebo controlled Phase 3 trial of pamrevlumab as a neoadjuvant therapy for pancreatic cancer in the first quarter of 2019. We intend to enroll approximately 260 patients, randomized 1:1 to receive either pamrevlumab, in combination with gemcitabine and nab-paclitaxel, or chemotherapy with placebo.</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also plan to begin enrolling our double-blind, placebo-controlled Phase 3 trial of pamrevlumab in approximately 500 IPF patients in the first quarter of 2019. This study is powered to meet the FDA requirement of a highly statistically-significant result in the primary efficacy endpoint of change from baseline in forced vital capacity (FVC).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DMD, all 21 non-ambulatory patients from our fully enrolled Phase 2 trial will have completed one year of study in March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June 2005, we entered into the Japan Agreement with Astellas for roxadustat for the treatment of anemia in Japan.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4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share responsibility with Astellas for clinical development activities required for the United States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September 30, 2018 totals $472.6 million. During the second quarter of 2018, Astellas reported positive results from the final Phase 3 CKD-dialysis trial of roxadustat in Japan, indicating that Astellas will be ready to make an NDA submission for the treatment of anemia with roxadustat in CKD-dialysis patients in 2018. We evaluated the regulatory milestone payment associated with NDA submission in Japan based on variable consideration requirements under the current revenue standards and concluded that this milestone became probable of being achieved in the second quarter of 2018. Accordingly, the consideration of $15.0 million associated with this milestone was included in the transaction price and allocated to performance obligations under the Japan Agreement in the second quarter of 2018. Additionally, under these agreements, Astellas pays 100% of the commercialization costs in its territories. Astellas will pay us a transfer price, based on net sales, in the low 20% range for our manufacture and delivery of roxadustat.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FibroGen and Astellas are currently negotiating an amendment to the Japan Agreement that will allow Astellas to manufacture roxadustat drug product for commercialization in Japan, and for which FibroGen would continue to manufacture and deliver to Astellas roxadustat API. The commercial terms of the Japan Agreement would remain substantially the same. In the second quarter of 2018, FibroGen delivered roxadustat API to Astellas under a material transfer agreement for Astellas to conduct commercial scale manufacturing validation for roxadustat drug product in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September 30, 2018, Astellas had separate investments of $80.5 million in the equity of FibroGen,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Now that we have reached the $116.5 million cap on our initial funding obligations (during which time we shared 50% of the joint initial development costs), all development and commercialization costs for roxadustat for the treatment of anemia in CKD in the U.S., Europe, Japan and all other markets outside of China have been paid by Astellas and AstraZeneca since reaching the cap.</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September 30, 2018 totals $432.2 million.</w:t>
      </w:r>
    </w:p>
    <w:p>
      <w:pPr>
        <w:spacing w:after="0" w:line="1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September 2016, AstraZeneca approved the protocol related to the development of roxadustat for the treatment of anemia in patients with MDS, for which we have received approval from the NMPA for our clinical trial application in China for a Phase 2/3 trial and acceptance of our IND from the FDA for a Phase 3 trial in the U.S. As a result, for revenue recognition purposes, during the third quarter of 2016, we extended the estimated joint development service period for the AstraZeneca agreements from the end of 2018 to the end of 2020, to allow for development of MDS.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Collaboration Agreements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cash consideration received through September 30, 2018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55"/>
              <w:spacing w:after="0"/>
              <w:rPr>
                <w:sz w:val="20"/>
                <w:szCs w:val="20"/>
                <w:color w:val="auto"/>
              </w:rPr>
            </w:pPr>
            <w:r>
              <w:rPr>
                <w:rFonts w:ascii="Arial" w:cs="Arial" w:eastAsia="Arial" w:hAnsi="Arial"/>
                <w:sz w:val="14"/>
                <w:szCs w:val="14"/>
                <w:b w:val="1"/>
                <w:bCs w:val="1"/>
                <w:color w:val="auto"/>
                <w:w w:val="93"/>
              </w:rPr>
              <w:t>Cash</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1"/>
              </w:rPr>
              <w:t>Received Through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Potential</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Potential</w:t>
            </w:r>
          </w:p>
        </w:tc>
      </w:tr>
      <w:tr>
        <w:trPr>
          <w:trHeight w:val="171"/>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September 30, 2018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0"/>
              </w:rPr>
              <w:t>Cash Payments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Cash Payments</w:t>
            </w:r>
          </w:p>
        </w:tc>
      </w:tr>
      <w:tr>
        <w:trPr>
          <w:trHeight w:val="156"/>
        </w:trPr>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center"/>
              <w:ind w:right="21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11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62,593</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110,000</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472,593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445,000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389,000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333,500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1,193,500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r>
      <w:tr>
        <w:trPr>
          <w:trHeight w:val="223"/>
        </w:trPr>
        <w:tc>
          <w:tcPr>
            <w:tcW w:w="2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904,793</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1,638,500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2017 *</w:t>
            </w:r>
          </w:p>
        </w:tc>
        <w:tc>
          <w:tcPr>
            <w:tcW w:w="2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 *</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gridSpan w:val="4"/>
          </w:tcPr>
          <w:p>
            <w:pPr>
              <w:jc w:val="right"/>
              <w:ind w:right="279"/>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9,933</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(9,933)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(100)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14,323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9,933</w:t>
            </w:r>
          </w:p>
        </w:tc>
        <w:tc>
          <w:tcPr>
            <w:tcW w:w="26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4,390</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(1,590)</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90,580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40,550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(11,523</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 %</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104,903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100,260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80" w:firstLine="8"/>
        <w:spacing w:after="0" w:line="563" w:lineRule="auto"/>
        <w:tabs>
          <w:tab w:leader="none" w:pos="473"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Recast to reflect the adoption of the new revenue standards. See Note 1 to the condensed consolidated financial statements. Our revenue to date has been generated substantially from our collaboration agreements with Astellas and AstraZeneca.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1209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64"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Development revenue include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ranging from 36 to 89 months, based on a proportional performance method. Other revenues consist of sales of research and development material and have been included with Development and other revenue in the condensed consolidated statements of operations, as they have not been material for any of the years presented.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have not generated any revenues based on the sale of FDA or NMPA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4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Total revenue decreased $11.5 million, or 28% for the three months ended September 30, 2018, and increased $4.6 million, or 5% for the nine months ended September 30, 2018, compared to the same periods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4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 *</w:t>
            </w:r>
          </w:p>
        </w:tc>
        <w:tc>
          <w:tcPr>
            <w:tcW w:w="2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 *</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60"/>
              <w:spacing w:after="0"/>
              <w:rPr>
                <w:sz w:val="20"/>
                <w:szCs w:val="20"/>
                <w:color w:val="auto"/>
              </w:rPr>
            </w:pPr>
            <w:r>
              <w:rPr>
                <w:rFonts w:ascii="Arial" w:cs="Arial" w:eastAsia="Arial" w:hAnsi="Arial"/>
                <w:sz w:val="18"/>
                <w:szCs w:val="18"/>
                <w:color w:val="auto"/>
              </w:rPr>
              <w:t>Astellas</w:t>
            </w:r>
          </w:p>
        </w:tc>
        <w:tc>
          <w:tcPr>
            <w:tcW w:w="660" w:type="dxa"/>
            <w:vAlign w:val="bottom"/>
            <w:gridSpan w:val="2"/>
          </w:tcPr>
          <w:p>
            <w:pPr>
              <w:jc w:val="right"/>
              <w:ind w:right="384"/>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14,323</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14,323</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(9,933)</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 %</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(9,933)</w:t>
            </w:r>
          </w:p>
        </w:tc>
        <w:tc>
          <w:tcPr>
            <w:tcW w:w="8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3160" w:type="dxa"/>
            <w:vAlign w:val="bottom"/>
          </w:tcPr>
          <w:p>
            <w:pPr>
              <w:ind w:left="500"/>
              <w:spacing w:after="0"/>
              <w:rPr>
                <w:sz w:val="20"/>
                <w:szCs w:val="20"/>
                <w:color w:val="auto"/>
              </w:rPr>
            </w:pPr>
            <w:r>
              <w:rPr>
                <w:rFonts w:ascii="Arial" w:cs="Arial" w:eastAsia="Arial" w:hAnsi="Arial"/>
                <w:sz w:val="18"/>
                <w:szCs w:val="18"/>
                <w:color w:val="auto"/>
                <w:w w:val="91"/>
              </w:rPr>
              <w:t>Total license and milestone revenue</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40" w:hanging="732"/>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License revenue for the nine months ended September 2018 was related to a $15.0 million regulatory milestone associated with Astellas’ expected NDA submission in Japan that was included in the transaction price during the second quarter of 2018 when this milestone became probable of being achieved. Of this amount, $14.3 million was allocated to license revenue and recognized during the second quarter of 2018.</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License revenue for the three and nine months ended September 30, 2017 was related to a $15.0 million regulatory milestone payment to FibroGen by AstraZeneca. In October 2017, the NMPA accepted our NDA for registration of roxadustat for anemia in DD CKD and NDD-CKD patients. This NDA submission triggered a $15.0 million milestone payment, which became probable of being achieved and therefore partially recognized as revenue under the new revenue standards during the third quarter of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w w:val="98"/>
              </w:rPr>
              <w:t>2017 *</w:t>
            </w:r>
          </w:p>
        </w:tc>
        <w:tc>
          <w:tcPr>
            <w:tcW w:w="2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2017 *</w:t>
            </w:r>
          </w:p>
        </w:tc>
        <w:tc>
          <w:tcPr>
            <w:tcW w:w="24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4"/>
          </w:tcPr>
          <w:p>
            <w:pPr>
              <w:jc w:val="right"/>
              <w:ind w:right="237"/>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Astellas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5,322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16,449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15,106</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1,343</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(1,400)</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74,096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(1,122)</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300" w:type="dxa"/>
            <w:vAlign w:val="bottom"/>
          </w:tcPr>
          <w:p>
            <w:pPr>
              <w:ind w:left="500"/>
              <w:spacing w:after="0"/>
              <w:rPr>
                <w:sz w:val="20"/>
                <w:szCs w:val="20"/>
                <w:color w:val="auto"/>
              </w:rPr>
            </w:pPr>
            <w:r>
              <w:rPr>
                <w:rFonts w:ascii="Arial" w:cs="Arial" w:eastAsia="Arial" w:hAnsi="Arial"/>
                <w:sz w:val="18"/>
                <w:szCs w:val="18"/>
                <w:color w:val="auto"/>
              </w:rPr>
              <w:t>Total development revenue</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29,027</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30,617</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(1,590)</w:t>
            </w:r>
          </w:p>
        </w:tc>
        <w:tc>
          <w:tcPr>
            <w:tcW w:w="3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 %</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90,545</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90,324</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Pr>
          <w:p>
            <w:pPr>
              <w:ind w:left="500"/>
              <w:spacing w:after="0"/>
              <w:rPr>
                <w:sz w:val="20"/>
                <w:szCs w:val="20"/>
                <w:color w:val="auto"/>
              </w:rPr>
            </w:pPr>
            <w:r>
              <w:rPr>
                <w:rFonts w:ascii="Arial" w:cs="Arial" w:eastAsia="Arial" w:hAnsi="Arial"/>
                <w:sz w:val="18"/>
                <w:szCs w:val="18"/>
                <w:color w:val="auto"/>
                <w:w w:val="92"/>
              </w:rPr>
              <w:t>Total development and other revenue</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30,617</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90,580</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90,327</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40" w:hanging="732"/>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Recast to reflect the adoption of the new revenue standards. See Note 1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Development revenue recognized under our collaboration agreements with AstraZeneca decreased $1.4 million, or 6% for the three month period, and decreased $1.1 million, or 1% for the nine month period, primarily due to a decrease in co-development billings related to the development of roxadustat.</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Development revenue recognized under our collaboration agreements with Astellas increased $1.3 million, or 9% for the nine month period primarily due to the allocated revenue related to the above mentioned $15.0 million associated with the regulatory milestone of NDA submission in Japan in the second quarter of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56,443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50,336</w:t>
            </w:r>
          </w:p>
        </w:tc>
        <w:tc>
          <w:tcPr>
            <w:tcW w:w="4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60" w:type="dxa"/>
            <w:vAlign w:val="bottom"/>
          </w:tcPr>
          <w:p>
            <w:pPr>
              <w:ind w:left="140"/>
              <w:spacing w:after="0"/>
              <w:rPr>
                <w:sz w:val="20"/>
                <w:szCs w:val="20"/>
                <w:color w:val="auto"/>
              </w:rPr>
            </w:pPr>
            <w:r>
              <w:rPr>
                <w:rFonts w:ascii="Arial" w:cs="Arial" w:eastAsia="Arial" w:hAnsi="Arial"/>
                <w:sz w:val="18"/>
                <w:szCs w:val="18"/>
                <w:color w:val="auto"/>
                <w:w w:val="88"/>
              </w:rPr>
              <w:t>6,107</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165,555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144,049</w:t>
            </w:r>
          </w:p>
        </w:tc>
        <w:tc>
          <w:tcPr>
            <w:tcW w:w="24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21,506</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2,403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45,961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71,799</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63,289</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8,510</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211,516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181,957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29,559</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operating expenses increased $8.5 million, or 13%, for the three months ended September 30, 2018, and increased $29.6 million, or 16%, compared to the same periods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three and nine months ended September 30, 2018 and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6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9"/>
              </w:rPr>
              <w:t>Phase of Development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Roxadustat</w:t>
            </w:r>
          </w:p>
        </w:tc>
        <w:tc>
          <w:tcPr>
            <w:tcW w:w="1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Phase 3</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0"/>
              </w:rPr>
              <w:t>34,308</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32,493</w:t>
            </w:r>
          </w:p>
        </w:tc>
        <w:tc>
          <w:tcPr>
            <w:tcW w:w="600" w:type="dxa"/>
            <w:vAlign w:val="bottom"/>
            <w:tcBorders>
              <w:top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104,700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92,595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Pamrevlumab</w:t>
            </w:r>
          </w:p>
        </w:tc>
        <w:tc>
          <w:tcPr>
            <w:tcW w:w="1660" w:type="dxa"/>
            <w:vAlign w:val="bottom"/>
            <w:gridSpan w:val="3"/>
          </w:tcPr>
          <w:p>
            <w:pPr>
              <w:ind w:left="140"/>
              <w:spacing w:after="0"/>
              <w:rPr>
                <w:sz w:val="20"/>
                <w:szCs w:val="20"/>
                <w:color w:val="auto"/>
              </w:rPr>
            </w:pPr>
            <w:r>
              <w:rPr>
                <w:rFonts w:ascii="Arial" w:cs="Arial" w:eastAsia="Arial" w:hAnsi="Arial"/>
                <w:sz w:val="18"/>
                <w:szCs w:val="18"/>
                <w:color w:val="auto"/>
              </w:rPr>
              <w:t>Phase 2</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16,125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12,230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42,754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FG-5200</w:t>
            </w:r>
          </w:p>
        </w:tc>
        <w:tc>
          <w:tcPr>
            <w:tcW w:w="1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Preclinical</w:t>
            </w: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9"/>
              </w:rPr>
              <w:t>Other research and development expenses</w:t>
            </w:r>
          </w:p>
        </w:tc>
        <w:tc>
          <w:tcPr>
            <w:tcW w:w="14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95"/>
              </w:rPr>
              <w:t>Total research and development expenses</w:t>
            </w:r>
          </w:p>
        </w:tc>
        <w:tc>
          <w:tcPr>
            <w:tcW w:w="1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56,443</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50,336</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165,555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increased $6.1 million, or 12%, for the three months ended September 30, 2018, compared to the same period a year ago. The increase was primarily due to increases in drug development expenses of $2.9 million, stock-based compensation expense of $2.9 million, and employee-related costs of $2.1 million, partially offset by a decrease in clinical trials costs of $2.8 million. Drug development expenses increased primarily due to higher drug substance manufacturing activities related to pamrevlumab. Stock-based compensation expense increased due to the cumulative impact of stock option grant activities. Employee-related costs increased due to higher headcount and higher average compensation level. Clinical trial costs decreased as a result of the completion of Phase 3 trials for roxadustat and the Phase 2 trials for pamrevlumab. We expect development expenses to increase as we begin Phase 3 trials for pamrevlumab.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Research and development expenses increased $21.5 million, or 15%, for the nine months ended September 30, 2018, compared to the same period a year ago. The increase was primarily due to increases in employee-related costs of $8.9 million, drug development expenses of $6.9 million, stock-based compensation expense of $6.7 million, allocated facility related expense of $5.2 million, and outside services of $1.6 million, partially offset by a decrease in clinical trials costs of $8.4 million. Employee-related costs increased due to higher headcount, higher average compensation level, and increased seminar and conference costs. Drug development expenses increased primarily due to higher drug substance manufacturing activities related to pamrevlumab. Stock-based compensation expense increased due to the cumulative impact of stock option grant activities. Facility related expenses, as part of the allocated overhead costs, was higher relative to the prior period in which our property taxes were reduced as a result of a final settlement we obtained related to historical property tax payments. Outside services costs increased due to higher scientific contract work related to roxadustat and other HIF-PH inhibitors. Clinical trial costs decreased as a result of nearing completion of Phase 3 trials for roxadustat and Phase 2 trials for pamrevlumab. We expect development expenses to increase as we begin Phase 3 trials for pamrevlumab.</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 and administrative expenses increased $2.4 million, or 19%, for the three months ended September 30, 2018, compared to the same period a year ago, primarily due to increases in stock-based compensation expense of $1.8 million and employee-related costs of $0.5 million. Stock-based compensation expense increased due to cumulative impact of stock option grant activities. Employee-related costs increased due to higher average compensation level and higher headcount.</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General and administrative expenses increased $8.1 million, or 21%, for the nine months ended September 30, 2018, compared to the same period a year ago, primarily due to increases in stock-based compensation expense of $4.2 million, employee-related costs of $2.5 million, and facility related expense of $1.3 million. Stock-based compensation expense increased due to cumulative impact of stock option grant activities. Employee-related costs increased due to higher average compensation level and higher headcount. Facility related expenses, as part of the allocated overhead costs, was higher relative to the prior period in which our property taxes were reduced as a result of a final settlement we obtained related to historical property tax payments.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89"/>
              </w:rPr>
              <w:t>Change</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6"/>
          </w:tcPr>
          <w:p>
            <w:pPr>
              <w:jc w:val="right"/>
              <w:ind w:right="52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(2,769)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(7,901)</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7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178  %</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7,796</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2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expense includes payments made for imputed interest related to the facility lease financing obligations for our leased facilities in San Francisco and China, as well as interest related to the Technology Development Center of the Republic of Finland product development obligations. Interest expense remained flat for the three months ended September 30, 2018. Interest expense increased $0.4 million, or 5%, for the nine months ended September 30, 2018, compared to the same period a year ago, primarily due to a reduction in the imputed interest resulting from the government rent subsidy received by FibroGen China in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Interest income and other, net increased $2.0 million, or 178%, for the three months ended September 30, 2018, and increased $5.0 million, or 180%, for the nine months ended September 30, 2018 compared to the same periods a year ago primarily due to higher interest earned on our cash, cash equivalents and investments associated with the higher average balances, and realized foreign currency gain during the current year periods. The increases for the nine month period was partially offset by the unrealized loss on our marketable equity investments during the current year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5"/>
              </w:rPr>
              <w:t>Three Months Ended 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56"/>
        </w:trPr>
        <w:tc>
          <w:tcPr>
            <w:tcW w:w="3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 *</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 *</w:t>
            </w:r>
          </w:p>
        </w:tc>
        <w:tc>
          <w:tcPr>
            <w:tcW w:w="240" w:type="dxa"/>
            <w:vAlign w:val="bottom"/>
          </w:tcPr>
          <w:p>
            <w:pPr>
              <w:spacing w:after="0"/>
              <w:rPr>
                <w:sz w:val="13"/>
                <w:szCs w:val="13"/>
                <w:color w:val="auto"/>
              </w:rPr>
            </w:pPr>
          </w:p>
        </w:tc>
      </w:tr>
      <w:tr>
        <w:trPr>
          <w:trHeight w:val="156"/>
        </w:trPr>
        <w:tc>
          <w:tcPr>
            <w:tcW w:w="3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gridSpan w:val="5"/>
          </w:tcPr>
          <w:p>
            <w:pPr>
              <w:jc w:val="right"/>
              <w:ind w:right="917"/>
              <w:spacing w:after="0" w:line="155"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(42,432)</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(24,402)</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(107,074)</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(86,815)</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217"/>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97"/>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9"/>
                <w:szCs w:val="19"/>
                <w:color w:val="auto"/>
              </w:rPr>
            </w:pPr>
          </w:p>
        </w:tc>
      </w:tr>
      <w:tr>
        <w:trPr>
          <w:trHeight w:val="230"/>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148" w:lineRule="exact"/>
        <w:rPr>
          <w:sz w:val="20"/>
          <w:szCs w:val="20"/>
          <w:color w:val="auto"/>
        </w:rPr>
      </w:pPr>
    </w:p>
    <w:p>
      <w:pPr>
        <w:ind w:right="1740" w:firstLine="8"/>
        <w:spacing w:after="0" w:line="563" w:lineRule="auto"/>
        <w:tabs>
          <w:tab w:leader="none" w:pos="738"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Recast to reflect the adoption of the new revenue standards. See Note 1 to the condensed consolidated financial statements. The provisions for income taxes for the three and nine months ended September 30, 2018 and 2017 were due to foreign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1209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ind w:right="180"/>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certain collaboration agreements involving license payments, milestones and reimbursement for development services.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September 30, 2018, we had cash and cash equivalents of $566.7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September 30, 2018, we had short-term and long-term investments of $86.0 million and $40.6 million, respectively. As of September 30, 2018, a total of $25.5 million of our cash and cash equivalents was held outside of the U.S. in our foreign subsidiaries to be used primarily for our China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anticipated cash requirements for at least the next 12 months from the date of this Quarterly Report on Form 10-Q. However, our liquidity assumptions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over time, and we could utilize our available financial resources sooner than we currently expect. In addition, we may elect to raise additional funds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time through equity, equity-linked or debt financing arrangements. Our forecast of the period of time through which our financial resources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adequate to support our operations is a forward-looking statement and involves risks and uncertainties, and actual results could vary as a result of a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We have based this estimate on assumptions that may prove to be wrong, and we could utilize our available capital resources sooner than we currently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 Our future capital requirements and the adequacy of available funds will depend on many factors, including those set forth under Part II, Item 1A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or at all. If we raise additional funds by issuing equity or equity-linked securities, the ownership of our existing stockholders will be diluted. If we raise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financing by the incurrence of indebtedness, we will be subject to increased fixed payment obligations and could also be subject to restrictive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covenants, such as limitations on our ability to incur additional debt, and other operating restrictions that could adversely impact our ability to conduct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If we are unable to obtain needed additional funds, we will have to reduce our operating expenses, which would impair our growth prospects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could otherwise negatively impact our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set forth below:</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(58,679)</w:t>
            </w:r>
          </w:p>
        </w:tc>
        <w:tc>
          <w:tcPr>
            <w:tcW w:w="52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(65,327)</w:t>
            </w: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(59,267)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493,059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24"/>
        </w:trPr>
        <w:tc>
          <w:tcPr>
            <w:tcW w:w="2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Net decrease in cash and cash equivalents</w:t>
            </w:r>
          </w:p>
        </w:tc>
        <w:tc>
          <w:tcPr>
            <w:tcW w:w="7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477,591</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0</wp:posOffset>
            </wp:positionV>
            <wp:extent cx="18783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-130175</wp:posOffset>
            </wp:positionV>
            <wp:extent cx="1878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9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Net cash used in operating activities was $58.7 million for the nine months ended September 30, 2018 and consisted primarily of net loss of $107.4 million adjusted for non-cash items of $43.7 million and a net increase in operating assets and liabilities of $5.0 million. The significant non-cash items included stock-based compensation expense of $38.4 million, depreciation expense of $4.7 million, unrealized loss on our marketable equity investments of $1.1 million, and realized foreign currency gain of $1.1 million. The significant items in the changes in operating assets and liabilities included increases resulting from deferred revenue of $19.7 million, accounts payable of $4.6 million, prepaid expenses and other current assets of $1.9 million, and other assets of $1.4 million, partially offset by decreases resulting from accounts receivable of $14.7 million and accrued liabilities of $9.9 million. The changes in deferred revenue were primarily related to a sale of roxadustat API to Astellas during the second quarter of 2018. The sale was made pursuant to a material transfer agreement in anticipation of the execution of an amendment to the Japan Agreement. The associated consideration was recorded as deferred revenue as of September 30, 2018 as control of the product had not fully transferred to Astellas as of September 30, 2018. The changes in accrued liabilities and accounts payable were primarily driven by clinical trial activities and the timing of payments. The change in prepaid expenses and other current assets was primarily driven by the timing of invoicing and payments. The change in other assets was primarily related to a cash refund for value added tax received by FibroGen China during the third quarter of 2018. The change in accounts receivable was related to the timing of the receipt of upfront payments and recognition of revenues under our collaboration agreements with Astellas and AstraZeneca.</w:t>
      </w:r>
    </w:p>
    <w:p>
      <w:pPr>
        <w:spacing w:after="0" w:line="17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Net cash used in operating activities was $65.3 million for the nine months ended September 30, 2017 and consisted primarily of net loss of $87.0 million adjusted for non-cash items of $33.6 million and a net decrease in operating assets and liabilities of $11.9 million. The significant non-cash items included stock-based compensation expense of $27.6 million, depreciation expense of $4.6 million and amortization of premium on investments of $1.5 million. The significant items in the changes in operating assets and liabilities included decreases resulting from accounts receivable of $13.2 million and other assets of $1.7 million, partially offset by an increase resulted from deferred revenue of $2.0 million. The changes in deferred revenue and accounts receivable were related to the timing of the receipt of upfront payments and recognition of revenues under our collaboration agreements with Astellas and AstraZeneca. The change in other assets was primarily driven by the payment during the 2017 period for the land use right fee for the commercial active pharmaceutical ingredients manufacturing facility that we are establishing in China.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used in investing activities was $59.3 million for the nine months ended September 30, 2018 and consisted of cash used in purchases of available-for-sale securities of $110.2 million and purchases of property and equipment of $4.9 million, partially offset by proceeds from maturities of available-for-sale securities of $47.4 million and sales of available-for-sale securities of $8.2 million.</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cash provided by investing activities was $49.9 million for the nine months ended September 30, 2017 and consisted of proceeds from maturities of available-for-sale securities of $33.8 million and sales of available-for-sale securities of $21.1 million, partially offset by cash used in purchases of property and equipment of $5.0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and repayments of our lease liability.</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Net cash provided by financing activities was $11.1 million for the nine months ended September 30, 2018 and consisted primarily of $24.6 million of proceeds from the issuance of common stock upon exercise of stock options and purchases under ESPP, partially offset by $13.3 million of cash paid for payroll taxes on restricted stock unit releases.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financing activities was $493.1 million for the nine months ended September 30, 2017 and consisted primarily of $471.2 million of total proceeds from follow-on offerings in April and August of 2017, net of underwriting discounts and commission costs, $28.6 million of proceeds from the issuance of common stock upon exercise of stock options and purchases under ESPP, partially offset by $6.0 million of cash paid for payroll taxes on restricted stock unit releases.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During the three and nine months ended September 30, 2018,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There have been no material changes in our critical accounting policies, estimates and judgments during the three and nine months ended September 30, 2018 compared with the disclosures in Part II, Item 7 of our Annual Report on Form 10-K for the year ended December 31, 2017, except for the following: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collaboration agreements include multiple performance obligations comprised of promised services, or bundles of services, that are distinct. Services that are not distinct are combined with other services in the agreement until they form a distinct bundle of services. Our process for identifying performance obligations and an enumeration of each obligation for each agreement is outlined in Note 2 “Collaboration Agreements” to our condensed consolidated financial statements. Determining the performance obligations within a collaboration agreement often involves significant judgment and is specific to the facts and circumstances contained in each agreement.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identified the following material promises under our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details in Note 2 “Collaboration Agreements” to our condensed consolidated financial statements.</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revenue recognition purposes, we determine that the term of our collaboration agreements begin on the effective date and ends upon the completion of all performance obligations contained in the agreements. In each agreement, the contract term is defined as the period in which parties to the contract have present and enforceable rights and obligations. We believe that the existence of what it considers to be substantive termination penalties on the part of the counterparty create sufficient incentive for the counterparty to avoid exercising its right to terminate the agreement unless in exceptionally rare situations.</w:t>
      </w:r>
    </w:p>
    <w:p>
      <w:pPr>
        <w:spacing w:after="0" w:line="15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we expect to be entitled for satisfying all performance obligations within the agreement. Our collaboration agreements include payments to us of one or more of the following: non-refundable upfront license fees; co-development billings; development, regulatory, and commercial milestone payments; and royalties on net sales of licensed products.</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Upfront license fees are non-contingent and non-refundable in nature and are included in the transaction price at the point when the license fees become due to us.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Co-development billings resulting from our research and development efforts, which are reimbursable under our collaboration agreements, are considered variable consideration. Determining the amount of variable consideration from co-development billings requires us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us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 payments are therefore included in the transaction price when achievement of the milestone becomes probable.</w:t>
      </w:r>
    </w:p>
    <w:p>
      <w:pPr>
        <w:spacing w:after="0" w:line="18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arrangements that include sales-based royalties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our collaboration arrangements.</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we separately sell the products and services. If an SSP is not directly observable, then we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Significant judgment may be required in determining whether a performance obligation is distinct, determining the amount of variable consideration to be included in the transaction price, and estimating the SSP of each performance obligation. An enumeration of our significant judgments is outlined in Note 2 “Collaboration Agreements” to our consolidated condensed financial statements.</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each performance obligation identified within an arrangement, we determine the period over which the promised services are transferred and the performance obligation is satisfied. Service revenue is recognized over time based on progress toward complete satisfaction of the performance obligation. We use an input method to measure progress toward the satisfaction of co-development services and certain other related performance obligations, which is based on costs of labor hours or full time equivalents and out-of-pocket expenses incurred relative to total expected costs to be incurred. We believe this measure of progress provides a faithful depiction of the transfer of services because other measures do not measure as accurately how we transfer our performance obligations to our collaboration partners.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which supersedes the revenue recognition requirements in Accounting Standards Codification (“ASC”)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ASU 2014-09 is based on the principle that revenue is recognized to depict the transfer of goods or services to customers in an amount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(collectively, the “new revenue standards”). Under ASC 606, we recognize revenue when our customer obtains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promised goods or services, in an amount that reflects the consideration which we expect to receive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adopted the new revenue standards as of January 1, 2018 using the full retrospective method, which required us to recast the prior reporting period presented in the condensed consolidated financial statements. The primary impact upon adoption of the new revenue standards relates to the manner in which revenue is recognized for co-development billings and milestone payments under our collaboration arrangements. Under the new revenue standards, both of these elements of consideration are considered variable consideration which requires us to make estimates of when co-development billings become due or when achievement of a particular milestone becomes probable. Payments are included in the transaction price when it becomes probable that inclusion would not lead to a significant revenue reversal. We have recast our condensed consolidated statement of operations and condensed balance sheet from amounts previously reported due to the adoption of the new revenue standards, which resulted in increases in revenue of $13.3 million and $17.1 million for the three and nine months ended September 30, 2017, respectively. The adoption of the new revenue standards resulted in an increase in revenue of $5.3 million and $3.6 million for the years ended December 31, 2017 and 2016, respectively, and an increase in the opening accumulated deficit of $43.7 million as of January 1, 2016. The adoption of the new revenue standards had no impact to our previously reported condensed consolidated statement of cash flows. Refer to Note 1 to the condensed consolidated financial statements for details.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was effective for the annual reporting period beginning after December 15, 2017 and interim periods within those annual periods. We adopted this guidance as of January 1, 2018 using the modified retrospective approach, which resulted in a cumulative-effect adjustment of $1.3 million as a decrease in accumulated deficit on January 1, 2018, and an increase in accumulated other comprehensive loss. The adoption of this guidance had no impact to our condensed consolidated statement of operations or condensed consolidated statement of cash flows for the nine months ended September 30, 2018. Refer to Note 1 to the condensed consolidated financial statements for details.</w:t>
      </w:r>
    </w:p>
    <w:p>
      <w:pPr>
        <w:spacing w:after="0" w:line="19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This guidance provides guidance about which changes to the terms or conditions of a stock-based payment award require an entity to apply modification accounting in Topic 718. This guidance was effective for annual reporting period beginning after December 15, 2017, including interim periods. We adopted this guidance as of January 1, 2018, and the adoption of this guidance had no impact to our condensed consolidated financial statements.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This guidance requires companies to recognize the income tax effects of intercompany sales or transfer of assets, other than inventory, in the income statement as income tax expense (or benefit) in the period the sale or transfer occurs. The exception to recognizing the income tax effects of intercompany sales or transfer sales or transfer of assets remains in place for intercompany inventory sales and transfers. This guidance was effective for annual reporting period beginning after December 15, 2017, including interim periods. We adopted this guidance as of January 1, 2018 using the modified retrospective method. The adoption of this guidance did not result in any recognition of previously unrecognized deferred charges using a modified retrospective method, thus had no impact to our condensed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This guidance requires capitalizing implementation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We are currently evaluating the impact on its consolidated financial statements upon the adoption of this guidance.</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This guidance amends existing fair value measurement disclosure requirements by adding, changing, or removing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do not anticipate a material impact to its consolidated financial statements upon adoption of this guidance.</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We will adopt this guidance on January 1, 2019 and do not anticipate a material impact to our consolidated financial statements upon adoption.</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Reclassification of Certain Tax effects from</w:t>
      </w:r>
      <w:r>
        <w:rPr>
          <w:rFonts w:ascii="Arial" w:cs="Arial" w:eastAsia="Arial" w:hAnsi="Arial"/>
          <w:sz w:val="16"/>
          <w:szCs w:val="16"/>
          <w:color w:val="auto"/>
        </w:rPr>
        <w:t xml:space="preserve">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This guidance allows for the reclassification from accumulated other comprehensive income to retained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stranded tax effects arising from the change in the reduction of the U.S. federal statutory income tax rate from 35% to 21%. This guidance is effective for annual reporting period beginning after December 15, 2018, including interim periods, with early adoption permitted. We will adopt this guidance on January 1, 2019 and do not anticipate a material reclassification between our accumulated other comprehensive loss and accumulated deficit upon adoption.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provides entities the option to initially apply ASU 2016-02 at the adoption date and recognize a cumulative-effect adjustment to the opening balance of retained earnings in the period of adoption. ASU 2016-02 and ASU 2018-11 are effective for annual reporting periods beginning after December 15, 2018, including interim periods within that reporting period. We will adopt this guidance as of January 1, 2019 and are currently in the stages of gathering data and assessing the impact of the new lease accounting standard. We anticipate that the adoption of this guidance will result in additional assets and liabilities being recorded on our consolidated balance sheet.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controls and procedures as of the end of the period covered by this Quarterly Report on Form 10-Q. Disclosure controls and procedures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13a-15(e) and 15d-15(e) under the Exchange Act) are designed to provide reasonable assurance that information required to be disclosed by 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reports that it files or submits under the Exchange Act is recorded, processed, summarized and reported, within the time periods specified in the SEC’s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and forms and that such information is accumulated and communicated to the company’s management, including its Chief Executive Officer and Chief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as appropriate to allow timely decisions regarding required disclosure.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September 30, 2018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2018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 clinical-stage biopharmaceutical company with two lead product candidates in clinical development, roxadustat in anemia in chronic kidney disease (“CKD”) and myelodysplastic syndromes (“MDS”), and pamrevlumab (FG-3019) in idiopathic pulmonary fibrosis (“IPF”), pancreatic cancer and Duchenne muscular dystrophy (“DMD”).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each year since our inception. We have not generated any significant revenue based on product sales to date. We continue to incur significant research and development and other expenses related to our ongoing operations. Our net loss for the years ended December 31, 2017, 2016, and 2015, recast from amounts previously reported due to the adoption of the new revenue standards, were approximately $120.9 million, $58.1 million, and $94.2 million, respectively. As of September 30, 2018, we had an accumulated deficit of $736.8 million. As of September 30, 2018, we had capital resources consisting of cash, cash equivalents and short-term investments of $652.7 million plus $40.6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more than 8,000 patients for our U.S. and European programs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pamrevlumab, that are not subject to reimbursement from our collaboration partners;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9" w:lineRule="exact"/>
        <w:rPr>
          <w:sz w:val="20"/>
          <w:szCs w:val="20"/>
          <w:color w:val="auto"/>
        </w:rPr>
      </w:pPr>
    </w:p>
    <w:p>
      <w:pPr>
        <w:ind w:right="2580"/>
        <w:spacing w:after="0" w:line="483" w:lineRule="auto"/>
        <w:rPr>
          <w:sz w:val="20"/>
          <w:szCs w:val="20"/>
          <w:color w:val="auto"/>
        </w:rPr>
      </w:pPr>
      <w:r>
        <w:rPr>
          <w:rFonts w:ascii="Arial" w:cs="Arial" w:eastAsia="Arial" w:hAnsi="Arial"/>
          <w:sz w:val="16"/>
          <w:szCs w:val="16"/>
          <w:b w:val="1"/>
          <w:bCs w:val="1"/>
          <w:i w:val="1"/>
          <w:iCs w:val="1"/>
          <w:color w:val="auto"/>
        </w:rPr>
        <w:t xml:space="preserve">All of our recent revenue has been earned from collaboration partners for our product candidates under development.* </w:t>
      </w:r>
      <w:r>
        <w:rPr>
          <w:rFonts w:ascii="Arial" w:cs="Arial" w:eastAsia="Arial" w:hAnsi="Arial"/>
          <w:sz w:val="16"/>
          <w:szCs w:val="16"/>
          <w:color w:val="auto"/>
        </w:rPr>
        <w:t>Substantially all of our revenues recognized in recent years have been from our collaboration partners.</w:t>
      </w:r>
    </w:p>
    <w:p>
      <w:pPr>
        <w:spacing w:after="0" w:line="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roxadustat, and our second compound in development, pamrevlumab.</w:t>
      </w:r>
    </w:p>
    <w:p>
      <w:pPr>
        <w:spacing w:after="0" w:line="14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more than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New Drug Application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other lead product candidate, pamrevlumab, is currently in clinical development for IPF, pancreatic cancer and DMD.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DMD,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right="340" w:hanging="519"/>
        <w:spacing w:after="0" w:line="31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timely initiation and completion of our Phase 2 clinical trials for pamrevlumab, including in IPF, pancreatic cancer and DMD;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demonstrate the safety and efficacy of our product candidates to the satisfaction of the relevant regulatory authorities;</w:t>
      </w:r>
    </w:p>
    <w:p>
      <w:pPr>
        <w:spacing w:after="0" w:line="128" w:lineRule="exact"/>
        <w:rPr>
          <w:rFonts w:ascii="Arial" w:cs="Arial" w:eastAsia="Arial" w:hAnsi="Arial"/>
          <w:sz w:val="17"/>
          <w:szCs w:val="17"/>
          <w:color w:val="auto"/>
        </w:rPr>
      </w:pPr>
    </w:p>
    <w:p>
      <w:pPr>
        <w:ind w:left="1040" w:right="5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3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40" w:right="6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pamrevlumab will never receive regulatory approval in any country. Regulatory authorities may take actions or impose requirements that delay, limit or deny approval of roxadustat or pamrevlumab for many reasons, including, among others:</w:t>
      </w:r>
    </w:p>
    <w:p>
      <w:pPr>
        <w:spacing w:after="0" w:line="73" w:lineRule="exact"/>
        <w:rPr>
          <w:sz w:val="20"/>
          <w:szCs w:val="20"/>
          <w:color w:val="auto"/>
        </w:rPr>
      </w:pPr>
    </w:p>
    <w:p>
      <w:pPr>
        <w:ind w:left="1040" w:right="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40" w:lineRule="exact"/>
        <w:rPr>
          <w:rFonts w:ascii="Arial" w:cs="Arial" w:eastAsia="Arial" w:hAnsi="Arial"/>
          <w:sz w:val="16"/>
          <w:szCs w:val="16"/>
          <w:color w:val="auto"/>
        </w:rPr>
      </w:pPr>
    </w:p>
    <w:p>
      <w:pPr>
        <w:ind w:left="1040" w:right="3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7" w:lineRule="exact"/>
        <w:rPr>
          <w:rFonts w:ascii="Arial" w:cs="Arial" w:eastAsia="Arial" w:hAnsi="Arial"/>
          <w:sz w:val="18"/>
          <w:szCs w:val="18"/>
          <w:color w:val="auto"/>
        </w:rPr>
      </w:pPr>
    </w:p>
    <w:p>
      <w:pPr>
        <w:ind w:left="1040" w:right="280" w:hanging="519"/>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conducted a limited number of Phase 2 clinical trials with pamrevlumab. We have conducted a randomized placebo-controlled study in 103 IPF patients with sub-studies in an additional 57 IPF patients comparing pamrevlumab to one of two standards of care, an open-label Phase 2 dose escalation study of pamrevlumab for IPF in 89 patients and a randomized double-blind placebo controlled study for liver fibrosis in subjects with hepatitis B, and we are currently conducting an open-label randomized, active-control, neoadjuvant Phase 2 trial in pancreatic cancer combining pamrevlumab with nab-paclitaxel plus gemcitabine in 37 patients. We cannot be sure that the results we have received to date from these trials will be substantiated in larger, well-controlled Phase 3 clinical trials, that larger trials will demonstrate the safety and efficacy of pamrevlumab for these or other indications, that further studies will provide benefits over existing approved products or that new safety issues will not be uncovered in further trials. In addition, while we believe that the limited animal and human studies conducted to date suggest that pamrevlumab has the potential to arrest or reverse fibrosis and reduce tumor mass in some patients or diseases, we cannot be sure that these results will be indicative of the effects of pamrevlumab in larger human trials. In addition, the IPF and pancreatic cancer patient populations are extremely ill and routinely experience SAEs, including death, which may be attributed to pamrevlumab in a manner that negatively impacts the safety profile of our product candidate. If the additional clinical trials that we are planning or are currently conducting for pamrevlumab do not show favorable efficacy results or result in safety concerns, or if we do not meet our clinical endpoints with statistical significance, or demonstrate an acceptable risk-benefit profile, we may be prevented from or delayed in obtaining regulatory approval for pamrevlumab in one or both of these indications.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information to the FDA. While we have not seen similar safety concerns involving roxadustat to date, our Phase 2 clinical trials have involved a relatively small number of patients exposed to roxadustat for a relatively short period of time compared to the Phase 3 clinical trials that we are conducting, and only a fraction of the patients in the Phase 2 clinical trials were randomized to placebo. Accordingly, the Phase 2 clinical trials that we have conducted may not have uncovered safety issues, even if they exist. Some of the safety concerns associated with the treatment of patients with anemia in CKD using erythropoiesis stimulating agents (“ESAs”) did not emerge for many years until placebo-controlled studies had been conducted in large numbers of patients. And while the data monitoring committee for our global Phase 3 anemia trials has consistently determined that our trials should continue without modification to the protocol, safety issues may still be discovered upon review of unblinded data when studies are completed.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Phase 3 trials include a major adverse cardiac event (“MACE”) safety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Phase 3 clinical trials may identify unanticipated safety concerns in the patient population under study. The FDA has also informed us that the MACE endpoint will need to be evaluated separately for our Phase 3 trials in non-dialysis dependent (“NDD”)-CKD patients and our Phase 3 trials in dialysis dependent (“DD”)-CKD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we cannot be sure that the potential advantages we believe roxadustat may have for treatment of patients with anemia in CKD, as compared to the use of ESAs, will be substantiated by our larger U.S. and European Phase 3 clinical trials, or that we will be able to include a discussion of such advantages in our labeling should we obtain approval. We believe that roxadustat may have certain benefits as compared to ESAs based on the data from our Phase 2 clinical trials and China Phase 3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clinical trials to date,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hemoglobin levels have not been fully elucidated. While we believe that the issues giving rise to these concerns with ESAs are likely due to factors other than the hemoglobin levels achieved, we cannot be certain that roxadustat will not be associated with similar, or more severe, safety concerns.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Phase 3 clinical trials in roxadustat or Phase 2 clinical trials in pamrevlumab will need to be redesigned based on interim results, be able to achieve sufficient enrollment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0"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Our Development Program for Roxadustat</w:t>
      </w:r>
      <w:r>
        <w:rPr>
          <w:rFonts w:ascii="Arial" w:cs="Arial" w:eastAsia="Arial" w:hAnsi="Arial"/>
          <w:sz w:val="16"/>
          <w:szCs w:val="16"/>
          <w:color w:val="auto"/>
        </w:rPr>
        <w:t>” and “</w:t>
      </w:r>
      <w:r>
        <w:rPr>
          <w:rFonts w:ascii="Arial" w:cs="Arial" w:eastAsia="Arial" w:hAnsi="Arial"/>
          <w:sz w:val="16"/>
          <w:szCs w:val="16"/>
          <w:i w:val="1"/>
          <w:iCs w:val="1"/>
          <w:color w:val="auto"/>
        </w:rPr>
        <w:t>Business — Pamrevlumab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of Fibrosis and Cancer</w:t>
      </w:r>
      <w:r>
        <w:rPr>
          <w:rFonts w:ascii="Arial" w:cs="Arial" w:eastAsia="Arial" w:hAnsi="Arial"/>
          <w:sz w:val="16"/>
          <w:szCs w:val="16"/>
          <w:color w:val="auto"/>
        </w:rPr>
        <w:t>” for a discussion of the adverse events and SAEs that have emerged in clinical trials of roxadustat and pamrevlumab.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sufficient quantities of our product candidates, or at sufficient quality, we may experience delays in development, regulatory approval, launch or commercialization.</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not yet entered into any commercial supply agreements with third-party manufacturers. We have limited experience manufacturing, or managing third parties in manufacturing any of our product candidates in the volumes that are expected to be necessary to support large-scale clinical trials and sales. In addition, we have limited experience forecasting or coordinating forecasting supply for launch or commercialization, which is a complex process involving our third-party manufacturers and for roxadustat our collaboration partners. We may not be able to sufficiently forecast supplies for commercial launch, or do so in a timely manner and our efforts to establish these manufacturing capabilities may not meet our requirements as to quantities, scale-up, yield, cost, potency or quality in compliance with cGMP.</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and commercial supply. If we are unable to forecast, order or manufacture sufficient quantities of roxadustat or pamrevlumab on a timely basis, it may delay our development, launch or commercialization in some or all indications we are currently pursuing. For example, prior to agreement with regulatory authorities on the scope of our Phase 3 IPF trial design, there is uncertainty as to whether our supply plans will meet our clinical requirements in a timely manner. Any delay or interruption in the supply of our product candidates or products could have a material adverse effect on our business and operations.</w:t>
      </w:r>
    </w:p>
    <w:p>
      <w:pPr>
        <w:spacing w:after="0" w:line="16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73" w:lineRule="exact"/>
        <w:rPr>
          <w:sz w:val="20"/>
          <w:szCs w:val="20"/>
          <w:color w:val="auto"/>
        </w:rPr>
      </w:pPr>
    </w:p>
    <w:p>
      <w:pPr>
        <w:ind w:left="1040" w:right="7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Arial" w:cs="Arial" w:eastAsia="Arial" w:hAnsi="Arial"/>
          <w:sz w:val="18"/>
          <w:szCs w:val="18"/>
          <w:i w:val="1"/>
          <w:iCs w:val="1"/>
          <w:color w:val="auto"/>
        </w:rPr>
        <w:t>Business — Roxadustat for the Treatment of Anemia in Chronic Kidney Disease — Limitations of the Current Standard of Care for Anemia in CKD</w:t>
      </w:r>
      <w:r>
        <w:rPr>
          <w:rFonts w:ascii="Arial" w:cs="Arial" w:eastAsia="Arial" w:hAnsi="Arial"/>
          <w:sz w:val="18"/>
          <w:szCs w:val="18"/>
          <w:color w:val="auto"/>
        </w:rPr>
        <w:t>”.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hemoglobin targets and other warnings that derive from the lack of clarity regarding the basis for the safety issues associated with ESAs, even if our Phase 3 clinical trials do not themselves raise safety concerns.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As an organization, we have not successfully commercialized any drug product and have only completed a Phase 3 clinical trial in China. Therefore, we may not be able to efficiently execute our development and commercialization plans.*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currently conducting Phase 2 clinical trials for pamrevlumab and plan on initiating Phase 3 clinical trials for pamrevlumab in the future. We have initiated Phase 3 clinical trials of roxadustat. The conduct of Phase 3 clinical trials and the submission of a successful NDA is a complicated process. As an organization, we have not completed a Phase 3 clinical trial before outside of China, have limited experience in preparing, submitting and prosecuting regulatory filings, and have not received approval for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in March 2016, the State Drug Administration, now known as the National Medicine Products Administration (“NMPA”)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However, we cannot assure you that upon inspection by a regulatory authority, such regulatory authority will determine that any of our clinical trials comply with GCP requirements or that our results will be deemed authentic or may be used in support of our regulatory submissions.</w:t>
      </w:r>
    </w:p>
    <w:p>
      <w:pPr>
        <w:spacing w:after="0" w:line="286"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roxadustat is approved and launched commercially, competing drugs are expected to include ESAs, particularly in those patient segments where ESAs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used. Currently available ESAs include epoetin alfa (EPOGEN </w:t>
      </w:r>
      <w:r>
        <w:rPr>
          <w:rFonts w:ascii="Arial" w:cs="Arial" w:eastAsia="Arial" w:hAnsi="Arial"/>
          <w:sz w:val="14"/>
          <w:szCs w:val="14"/>
          <w:color w:val="auto"/>
        </w:rPr>
        <w:t>®</w:t>
      </w:r>
      <w:r>
        <w:rPr>
          <w:rFonts w:ascii="Arial" w:cs="Arial" w:eastAsia="Arial" w:hAnsi="Arial"/>
          <w:sz w:val="17"/>
          <w:szCs w:val="17"/>
          <w:color w:val="auto"/>
        </w:rPr>
        <w:t xml:space="preserve">, marketed by Amgen Inc. in the U.S., Procrit </w:t>
      </w:r>
      <w:r>
        <w:rPr>
          <w:rFonts w:ascii="Arial" w:cs="Arial" w:eastAsia="Arial" w:hAnsi="Arial"/>
          <w:sz w:val="14"/>
          <w:szCs w:val="14"/>
          <w:color w:val="auto"/>
        </w:rPr>
        <w:t>®</w:t>
      </w:r>
      <w:r>
        <w:rPr>
          <w:rFonts w:ascii="Arial" w:cs="Arial" w:eastAsia="Arial" w:hAnsi="Arial"/>
          <w:sz w:val="17"/>
          <w:szCs w:val="17"/>
          <w:color w:val="auto"/>
        </w:rPr>
        <w:t xml:space="preserve"> and Erypo </w:t>
      </w:r>
      <w:r>
        <w:rPr>
          <w:rFonts w:ascii="Arial" w:cs="Arial" w:eastAsia="Arial" w:hAnsi="Arial"/>
          <w:sz w:val="14"/>
          <w:szCs w:val="14"/>
          <w:color w:val="auto"/>
        </w:rPr>
        <w:t>®</w:t>
      </w:r>
      <w:r>
        <w:rPr>
          <w:rFonts w:ascii="Arial" w:cs="Arial" w:eastAsia="Arial" w:hAnsi="Arial"/>
          <w:sz w:val="17"/>
          <w:szCs w:val="17"/>
          <w:color w:val="auto"/>
        </w:rPr>
        <w:t xml:space="preserve">/Eprex </w:t>
      </w:r>
      <w:r>
        <w:rPr>
          <w:rFonts w:ascii="Arial" w:cs="Arial" w:eastAsia="Arial" w:hAnsi="Arial"/>
          <w:sz w:val="14"/>
          <w:szCs w:val="14"/>
          <w:color w:val="auto"/>
        </w:rPr>
        <w:t>®</w:t>
      </w:r>
      <w:r>
        <w:rPr>
          <w:rFonts w:ascii="Arial" w:cs="Arial" w:eastAsia="Arial" w:hAnsi="Arial"/>
          <w:sz w:val="17"/>
          <w:szCs w:val="17"/>
          <w:color w:val="auto"/>
        </w:rPr>
        <w:t>, marketed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Johnson &amp; Johnson Inc., and Espo </w:t>
      </w:r>
      <w:r>
        <w:rPr>
          <w:rFonts w:ascii="Arial" w:cs="Arial" w:eastAsia="Arial" w:hAnsi="Arial"/>
          <w:sz w:val="13"/>
          <w:szCs w:val="13"/>
          <w:color w:val="auto"/>
        </w:rPr>
        <w:t>®</w:t>
      </w:r>
      <w:r>
        <w:rPr>
          <w:rFonts w:ascii="Arial" w:cs="Arial" w:eastAsia="Arial" w:hAnsi="Arial"/>
          <w:sz w:val="16"/>
          <w:szCs w:val="16"/>
          <w:color w:val="auto"/>
        </w:rPr>
        <w:t xml:space="preserve"> marketed by Kyowa Hakko Kirin in Japan and China), darbepoetin (Amgen/Kyowa Hakko Kirin’s Aranesp </w:t>
      </w:r>
      <w:r>
        <w:rPr>
          <w:rFonts w:ascii="Arial" w:cs="Arial" w:eastAsia="Arial" w:hAnsi="Arial"/>
          <w:sz w:val="13"/>
          <w:szCs w:val="13"/>
          <w:color w:val="auto"/>
        </w:rPr>
        <w:t>®</w:t>
      </w:r>
      <w:r>
        <w:rPr>
          <w:rFonts w:ascii="Arial" w:cs="Arial" w:eastAsia="Arial" w:hAnsi="Arial"/>
          <w:sz w:val="16"/>
          <w:szCs w:val="16"/>
          <w:color w:val="auto"/>
        </w:rPr>
        <w:t xml:space="preserve"> and NESP</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 and Mircera</w:t>
      </w:r>
      <w:r>
        <w:rPr>
          <w:rFonts w:ascii="Arial" w:cs="Arial" w:eastAsia="Arial" w:hAnsi="Arial"/>
          <w:sz w:val="14"/>
          <w:szCs w:val="14"/>
          <w:color w:val="auto"/>
        </w:rPr>
        <w:t xml:space="preserve"> ® </w:t>
      </w:r>
      <w:r>
        <w:rPr>
          <w:rFonts w:ascii="Arial" w:cs="Arial" w:eastAsia="Arial" w:hAnsi="Arial"/>
          <w:sz w:val="17"/>
          <w:szCs w:val="17"/>
          <w:color w:val="auto"/>
        </w:rPr>
        <w:t>marketed by Hoffmann-La Roche (“Roche”) outside of the U.S. and by Vifor Pharma (“Vifor”), a Roche licensee, in the U.S. and Puerto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Rico, as well as biosimilar versions of these currently marketed ESA products. ESAs have been used in the treatment of anemia in CKD for more than 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years, serving a significant majority of DD-CKD patients. While NDD-CKD patients who are not under the care of nephrologists, including those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diabetes and hypertension, do not typically receive ESAs and are often left untreated, some patients under nephrology care may be receiving ESA therapy.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difficult to encourage healthcare providers and patients to switch to roxadustat from products with which they have become familiar.</w:t>
      </w:r>
    </w:p>
    <w:p>
      <w:pPr>
        <w:spacing w:after="0" w:line="21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currently addressed by ESAs. Companies such as GlaxoSmithKline plc (“GSK”), Bayer Corporation (“Bayer”), Akebia Therapeutics, Inc. (“Akebia”), and Japan Tobacco, are currently developing HIF prolyl hydroxylase (“HIF-PH”) inhibitors for anemia in CKD indications. We may face competition for patient recruitment and enrollment for clinical trials and potentially in commercial sales. Akebia is currently conducting two Phase 3 studies in NDD–CKD, one started in December 2015 and the other in February 2016, and initiated two Phase 3 studies in DD-CKD, one started in July 2016 and the other in August 2016. Akebia also started a Phase 2 study in May 2017 with 20-week dosing in ESA-hyporesponsive DD-CKD patients, and a Phase 3 study with three-times a week dosing in August 2017. Akebia terminated the hyporesponsive DD-CKD study and withdrew the three-times a week study, and announced its plan to replace these studies with new modified designs of studies in April 2018, neither of which has been initiated as of November 2, 2018 according to clinicaltrials.gov. In Japan, Mitsubishi Tanabe Pharmaceutical Corporation, Akebia’s collaboration partner, started a Phase 3 program in November</w:t>
      </w:r>
    </w:p>
    <w:p>
      <w:pPr>
        <w:spacing w:after="0" w:line="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2017. GSK started Phase 3 studies in NDD-CKD and DD-CKD in the U.S. in September 2016, and in Japan in June 2016. Two of the GSK Japan Phase 3 studies were completed in July 2018. Bayer has completed global Phase 2 studies and announced in May 2017 its HIF-PH inhibitor is now in continued development in Japan only, and started Japan Phase 3 studies in NDD-CKD and DD-CKD in December 2017. Beginning in September 2017, Japan Tobacco is currently conducting four Phase 3 open label studies in NDD-CKD and DD-CKD as well as one Phase 3 ESA-controlled study each in NDD-CKD and DD-CKD in Japan. Some of these product candidates may enter the market prior to roxadustat.</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there are other companies developing biologic therapies for the treatment of other anemia indications that we may also seek to pursue in the future, including anemia of MDS. For example, Acceleron Pharma Inc., in partnership with Celgene Corporation (“Celgene”), is in Phase 3 development of protein therapeutic candidates to treat anemia and associated complications in patients with ß-thalassemia and MDS, and has received orphan drug status from the EMA and FDA for these indications. Celgene announced in July 2018 that it plans to submit a marketing approval application for luspatercept in the U.S. and European Union (“EU”) in the first half of 2019. There may also be new therapies for renal-related diseases that could limit the market or level of reimbursement available for roxadustat if and when it is commercialized.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NMPA to conduct trials in China to support its ex-China regulatory filings. Furthermore, while it is too early to understand how the NMPA will implement its recently approved guidelines to allow multinational companies to use their ex-China clinical data in their NDAs in China, these guidelines could in theory allow competitors to accelerate their NDA applications in China. Akebia announced in December 2015 that it has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also announced in 2016 its plan on beginning a Phase 1 clinical trial of a HIF-PH inhibitor for the China market.</w:t>
      </w:r>
    </w:p>
    <w:p>
      <w:pPr>
        <w:spacing w:after="0" w:line="1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 introduction of biosimilar ESAs into the market in the U.S. may occur by the time roxadustat enters the market and may alter the competitive and pricing landscape of anemia therapy in DD-CKD patients under the end stage renal disease bundle. The patents for Amgen’s epoetin alfa, EPOGEN, expired in 2004 in the EU, and the final material patents in the U.S. expired in May 2015. Several biosimilar versions of currently marketed ESAs are available for sale in the EU, China and other territories. In the U.S., a few ESA biosimilars are currently under development or regulatory review. For example, the FDA approved Pfizer’s Biologics License Application (“BLA”) for Retacrit® (epoetin zeta) in May 2018 that has been marketed by Pfizer in Europe. Sandoz, a division of Novartis, markets Binocrit </w:t>
      </w:r>
      <w:r>
        <w:rPr>
          <w:rFonts w:ascii="Arial" w:cs="Arial" w:eastAsia="Arial" w:hAnsi="Arial"/>
          <w:sz w:val="14"/>
          <w:szCs w:val="14"/>
          <w:color w:val="auto"/>
        </w:rPr>
        <w:t>®</w:t>
      </w:r>
      <w:r>
        <w:rPr>
          <w:rFonts w:ascii="Arial" w:cs="Arial" w:eastAsia="Arial" w:hAnsi="Arial"/>
          <w:sz w:val="17"/>
          <w:szCs w:val="17"/>
          <w:color w:val="auto"/>
        </w:rPr>
        <w:t xml:space="preserve"> (epoetin alfa) in Europe and plans to file a biosimilar BLA in the U.S.</w:t>
      </w:r>
    </w:p>
    <w:p>
      <w:pPr>
        <w:spacing w:after="0" w:line="17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three-times a week, and anemia therapies are administered as part of the visit. Two of the largest operators of dialysis clinics in the U.S., DaVita Healthcare Partners Inc. (“DaVita”) and Fresenius Medical Care AG &amp; Co. KGaA (“Fresenius”), collectively provide dialysis care to approximately 70% of U.S. dialysis patients, and therefore have historically won long-term contracts including rebate terms with Amgen. In January 2017, DaVita entered into a new 6-year sourcing and supply agreement with Amgen that is effective through 2022. Fresenius’ contract with Amgen expired in 2015, and Fresenius is now administering Mircera</w:t>
      </w:r>
      <w:r>
        <w:rPr>
          <w:rFonts w:ascii="Arial" w:cs="Arial" w:eastAsia="Arial" w:hAnsi="Arial"/>
          <w:sz w:val="14"/>
          <w:szCs w:val="14"/>
          <w:color w:val="auto"/>
        </w:rPr>
        <w:t>®</w:t>
      </w:r>
      <w:r>
        <w:rPr>
          <w:rFonts w:ascii="Arial" w:cs="Arial" w:eastAsia="Arial" w:hAnsi="Arial"/>
          <w:sz w:val="17"/>
          <w:szCs w:val="17"/>
          <w:color w:val="auto"/>
        </w:rPr>
        <w:t xml:space="preserve"> in a significant portion of its U.S. dialysis patients since Mircera was made available by Vifor. Successful penetration of this market may require a significant agreement with Fresenius or DaVita on favorable terms and on a timely basis.</w:t>
      </w:r>
    </w:p>
    <w:p>
      <w:pPr>
        <w:spacing w:after="0" w:line="2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pamrevlumab is approved and launched commercially to treat IPF, competing drugs are expected to include Roche’s pirfenidone, which is approved for marketing in Europe, Canada, Japan and the U.S., and Boehringer Ingelheim Pharma GmbH &amp; Co. KG’s nintedanib which has been approved in the U.S. and EU. Nintedanib is also in development for non-small cell lung cancer and ovarian cancer. Other potential competitive product candidates in development for IPF include Promedior Inc.’s PRM-151, Biogen-Idec’s STX-100, Prometic Life Sciences Inc.’s PBI-4050, Kadmon Holdings, Inc.’s KD025, and two compounds from Galapagos NV. Galapagos recently initiated a Phase 2 study in Europe for GLPG 1205 and is expected to start a Phase 3 study for GLPG 1690 by the end of 2018.</w:t>
      </w:r>
    </w:p>
    <w:p>
      <w:pPr>
        <w:spacing w:after="0" w:line="19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If pamrevlumab is approved and launched commercially to treat locally advanced pancreatic cancer patients who are not candidates for surgical resection, pamrevlumab may face competition from agents seeking approval in combination with gemcitibine and nab-paclitaxel from companies such as NewLink Genetics Corporation and Halozyme Therapeutics, Inc. Gemcitabine and/or nab-paclitaxel are the current standard of care in the first-line treatment of metastatic pancreatic cancer. Celgene Corporation’s Abraxane </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If pamrevlumab is approved and launched commercially to treat DMD, pamrevlumab may face competition for some patients from Sarepta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(“Sarepta”), as well as PTC Therapeutics, Santhera Pharmaceuticals, Catabasis Pharmaceuticals, Solid Biosciences Inc., and Pfizer.</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Sarepta is researching and developing clinical candidates for many of the specific mutations in the dystrophin gene and received accelerated approval in the U.S. for its first, drug Exondys 51 (eteplirsen) for patients who have a confirmed mutation in the DMD gene that is amenable to exon 51 skipping. This mutation represents a subset of approximately 13% of patients with DMD. Sarepta recently received a negative opinion from the European Medicines Agency regarding eteplirsen approval in Europe. In addition to etepliresen, Sarepta has two additional exon skipping programs in Phase 3 development, each of which targets approximately 8% of patients with DMD. Sarepta is also developing gene therapies for the treatment of DMD and reported positive preliminary results from a Phase 1/2a program in June, 2018. In addition to Sarepta, Pfizer and Solid Biosciences, Inc. are also pursuing gene therapies in early clinical trials for DMD.</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Marathon Pharmaceuticals received approval for its drug Emflaza (deflazacort) on February 9, 2017 and on March 16, 2017 announced that it had sold the commercialization rights to Emflaza to PTC Therapeutics.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PTC Therapeutics’ product ataluren (Translarna </w:t>
      </w:r>
      <w:r>
        <w:rPr>
          <w:rFonts w:ascii="Arial" w:cs="Arial" w:eastAsia="Arial" w:hAnsi="Arial"/>
          <w:sz w:val="13"/>
          <w:szCs w:val="13"/>
          <w:color w:val="auto"/>
        </w:rPr>
        <w:t>TM</w:t>
      </w:r>
      <w:r>
        <w:rPr>
          <w:rFonts w:ascii="Arial" w:cs="Arial" w:eastAsia="Arial" w:hAnsi="Arial"/>
          <w:sz w:val="16"/>
          <w:szCs w:val="16"/>
          <w:color w:val="auto"/>
        </w:rPr>
        <w:t>) received conditional approval in Europe in 2014 and a complete response letter from the FDA in October of 2017 stating that the FDA is unable to approve the application in its current form. Translarna targets a different set of DMD patients from those being targeted by Sarepta’s existing exon-skipping therapeutic candidate; however, it is also limited to a subset of patients who carry a specific mutation.</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While pamrevlumab and some other potential competitors are intended to treat DMD patients regardless of the specific mutation, there can be no assurance that clinical trials will support broadly treating DMD patients. For example, Santhera Pharmaceuticals reported positive Phase 3 data with its drug idebenone (Raxone </w:t>
      </w:r>
      <w:r>
        <w:rPr>
          <w:rFonts w:ascii="Arial" w:cs="Arial" w:eastAsia="Arial" w:hAnsi="Arial"/>
          <w:sz w:val="15"/>
          <w:szCs w:val="15"/>
          <w:color w:val="auto"/>
        </w:rPr>
        <w:t>®</w:t>
      </w:r>
      <w:r>
        <w:rPr>
          <w:rFonts w:ascii="Arial" w:cs="Arial" w:eastAsia="Arial" w:hAnsi="Arial"/>
          <w:sz w:val="18"/>
          <w:szCs w:val="18"/>
          <w:color w:val="auto"/>
        </w:rPr>
        <w:t xml:space="preserve">/Catena </w:t>
      </w:r>
      <w:r>
        <w:rPr>
          <w:rFonts w:ascii="Arial" w:cs="Arial" w:eastAsia="Arial" w:hAnsi="Arial"/>
          <w:sz w:val="15"/>
          <w:szCs w:val="15"/>
          <w:color w:val="auto"/>
        </w:rPr>
        <w:t>®</w:t>
      </w:r>
      <w:r>
        <w:rPr>
          <w:rFonts w:ascii="Arial" w:cs="Arial" w:eastAsia="Arial" w:hAnsi="Arial"/>
          <w:sz w:val="18"/>
          <w:szCs w:val="18"/>
          <w:color w:val="auto"/>
        </w:rPr>
        <w:t>) in a trial measuring changes in lung function for DMD patients, however the FDA has asked for additional data from an ongoing trial prior to considering Raxone for approval. Santhera recently announced its intentions to submit marketing authorization applications for idebenone in the US and Europe in 2019.</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Catabasis Pharmaceuticals recently reported positive Phase 2 data from its clinical trial candidate edasalonexent. Edasalonexent was reported to have preserved muscle function and slowed the progression of DMD compared to rates of change in the control period prior to treatment with edasalonexent. The company started a single placebo controlled Phase 3 trial in September 2018. Catabasis expects topline data from this trial in the second quarter of 2020.</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Even if we obtain marketing approval for roxadustat, pamrevlumab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73" w:lineRule="exact"/>
        <w:rPr>
          <w:sz w:val="20"/>
          <w:szCs w:val="20"/>
          <w:color w:val="auto"/>
        </w:rPr>
      </w:pPr>
    </w:p>
    <w:p>
      <w:pPr>
        <w:ind w:left="1040" w:right="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3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 party payors may render our products less attractive to patients and healthcare providers.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the Chinese government or third party payors, and may be affected by existing and future healthcare reform measures or prices of related products for which the government or third party reimbursement applies. Coverage and reimbursement by the government or a third party payor may depend upon a number of factors, including the payor’s determination that use of a product is:</w:t>
      </w:r>
    </w:p>
    <w:p>
      <w:pPr>
        <w:spacing w:after="0" w:line="79"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review and publication cycle for the Chinese government to update their reimbursement lists (national or provincial) is unpredictable and is outside our control.</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Conflicts with our collaboration partners could jeopardize our collaboration agreements and our ability to commercialize product candidates.</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do not have any operating manufacturing facilities at this time other than our roxadustat and FG-5200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80" w:lineRule="exact"/>
        <w:rPr>
          <w:sz w:val="20"/>
          <w:szCs w:val="20"/>
          <w:color w:val="auto"/>
        </w:rPr>
      </w:pPr>
    </w:p>
    <w:p>
      <w:pPr>
        <w:ind w:left="1040" w:right="3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40" w:right="96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8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consider administrative proceedings and other means for challenging third 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Third parties may also challenge our patents and patent applications, through interference, reexamination, IPR, and post-grant review proceedings before the U.S. Patent and Trademark Office (“USPTO”) or through comparable proceedings in other territories. For example, oppositions have been filed against four FibroGen European patents (European Patent Nos. 1463823, 1633333, 2322155, and 2322153) within our HIF Anemia-related Technologies Patent Portfolio. In three of these proceedings (1463823, 1633333, and 2322155), the European Patent Office has handed down decisions unfavorable to FibroGen. Each of these decisions is currently under appeal, and remain valid and enforceable pending resolution of the appeals. However, the ultimate outcomes of such proceedings remain uncertain and resolution of such may take an additional two to three years. A final decision adverse to FibroGen in any of these cases could result in invalidation of the subject patent, in whole or in part. Akebia is also pursuing challenges against corresponding patents in Canada and in Japan.</w:t>
      </w:r>
    </w:p>
    <w:p>
      <w:pPr>
        <w:spacing w:after="0" w:line="19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2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2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100" w:hanging="519"/>
        <w:spacing w:after="0" w:line="31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pamrevlumab, nor any future product candidates we may discover, in-license or acquire and seek to develop in the future, will ever obtain regulatory approval.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57" w:lineRule="exact"/>
        <w:rPr>
          <w:sz w:val="20"/>
          <w:szCs w:val="20"/>
          <w:color w:val="auto"/>
        </w:rPr>
      </w:pPr>
    </w:p>
    <w:p>
      <w:pPr>
        <w:ind w:left="104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46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right="40" w:hanging="519"/>
        <w:spacing w:after="0" w:line="25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78" w:lineRule="exact"/>
        <w:rPr>
          <w:rFonts w:ascii="Arial" w:cs="Arial" w:eastAsia="Arial" w:hAnsi="Arial"/>
          <w:sz w:val="18"/>
          <w:szCs w:val="18"/>
          <w:color w:val="auto"/>
        </w:rPr>
      </w:pPr>
    </w:p>
    <w:p>
      <w:pPr>
        <w:ind w:left="1040" w:hanging="519"/>
        <w:spacing w:after="0" w:line="291" w:lineRule="auto"/>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9" w:lineRule="exact"/>
        <w:rPr>
          <w:rFonts w:ascii="Arial" w:cs="Arial" w:eastAsia="Arial" w:hAnsi="Arial"/>
          <w:sz w:val="16"/>
          <w:szCs w:val="16"/>
          <w:color w:val="auto"/>
        </w:rPr>
      </w:pPr>
    </w:p>
    <w:p>
      <w:pPr>
        <w:ind w:left="1040" w:hanging="519"/>
        <w:spacing w:after="0" w:line="273"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9"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conduct, or contract others to conduct, animal testing in the future, which could harm our research and development activities.</w:t>
      </w:r>
    </w:p>
    <w:p>
      <w:pPr>
        <w:spacing w:after="0" w:line="1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and foreign taxes, including withholding of payroll taxes;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6"/>
          <w:szCs w:val="16"/>
          <w:i w:val="1"/>
          <w:iCs w:val="1"/>
          <w:color w:val="auto"/>
        </w:rPr>
        <w:t>Business — Government Regulation — Regulation in China</w:t>
      </w:r>
      <w:r>
        <w:rPr>
          <w:rFonts w:ascii="Arial" w:cs="Arial" w:eastAsia="Arial" w:hAnsi="Arial"/>
          <w:sz w:val="16"/>
          <w:szCs w:val="16"/>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For example, the NMPA recently adopted the International Council for Harmonisation of Technical Requirements for Pharmaceuticals for Human Use guidelines, and accordingly imposed regulatory oversight earlier in our production process for roxadustat manufactured and sold in China. The change in regulatory starting material triggers an extension of the inspection to our contract manufacturer STA, which could cause delay or additional cost in our NDA application or commercialization. In addition,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Patients’ use of traditional Chinese medicine in violation of study protocols in our China studies may lead the NMPA and regulators in other jurisdictions in which we are seeking approval to suspend our studies, reject our study data and withhold approval for roxadustat.</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NMPA and regulators in other jurisdictions in which we are seeking approval to, among other things, suspend our studies, reject our study data and withhold approval for roxadustat.</w:t>
      </w:r>
    </w:p>
    <w:p>
      <w:pPr>
        <w:spacing w:after="0" w:line="300"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b w:val="1"/>
          <w:bCs w:val="1"/>
          <w:i w:val="1"/>
          <w:iCs w:val="1"/>
          <w:color w:val="auto"/>
        </w:rPr>
        <w:t>We are planning on using our own manufacturing facilities in China to produce roxadustat API, roxadustat drug product, and FG-5200 corneal implants. As an organization, we have limited experience in the construction, licensure, and operation of a manufacturing plant, and accordingly we cannot assure you we will be able to meet regulatory requirements to operate our plant and to sell our products.*</w:t>
      </w:r>
    </w:p>
    <w:p>
      <w:pPr>
        <w:spacing w:after="0" w:line="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two manufacturing facilities in China, with one located in Beijing and the other in Cangzhou, Hebei. We will not receive a license for commercial manufacture of roxadustat in either facility until after NDA approval. We are currently planning on manufacturing commercial API at our Cangzhou facility, and expect to receive a license to produce roxadustat API at that site in the second half of 2019. However, as an organization, we have limited experience building and licensing manufacturing facilities that must be constructed, licensed and operated in conformity with applicable cGMP, building and other requirements. There can be no assurance that we will be successful or timely in receiving licensure in Cangzhou or Beijing, either of which would be expected to delay or preclude our ability to develop and commercialize roxadustat in China and may materially adversely affect our business and operations and prospects in China.</w:t>
      </w:r>
    </w:p>
    <w:p>
      <w:pPr>
        <w:spacing w:after="0" w:line="1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succeed for licensure or continue to be successful in meeting these requirements.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would require separate approval for the manufacture of FG-5200. In addition, we may convert the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FG-5200, either of which would be expected to delay or preclude our ability to develop FG-5200 in China and may materially adversely affect our business and operations and prospects in China.</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NMPA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subsidiary FibroGen (China) Medical Technology Development Co., Ltd. (“FibroGen Beijing”), is currently seeking approval for roxadustat in China as a Domestic Class 1 Drug, which we believe, if approved, would be the first NMPA approval of a first in class drug candidate while Phase 3 trials are ongoing in the U.S. and Europe. Because of this largely novel regulatory pathway, the NMPA approval process may take longer than we currently expect, or the NMPA may require us to submit additional data, including data from the U.S. or European Phase 3 trials. In addition, negative data from the U.S. or European Phase 3 trials could affect the NMPA approval process. Any such development delays would result in significant delay in our commercialization plans for roxadustat in China. Elements of our plan for approval of roxadustat and other product candidates in China are based on communications with the NMPA, some of which are not reflected in formal written communications, regulations, findings or determinations. Accordingly, while we believe we have understandings with the NMPA regarding the domestic drug approval process and the clinical and manufacturing (including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w:t>
      </w:r>
    </w:p>
    <w:p>
      <w:pPr>
        <w:spacing w:after="0" w:line="16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example, prior to enrolling our Phase 3 studies, the Ministry of Science and Technology established a new approval process to obtain routine blood and urine samples that contain genetic information. Our Phase 3 CKD clinical trial sites have received such approval, but applications are reviewed only on a quarterly basis, thus new studies or work at additional clinical trial sites could be delayed until they receive such approval.</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addition, there are new and evolving environmental and manufacturing regulations in China. The application thereof may impact our API manufacturing location or strategy. In order to prevent or mitigate any delay in commercialization, we are establishing a 5,500 square meter commercial API manufacturing facility in Cangzhou, Hebei, with the intention of being operational in the second half of 2019. We have limited experience building and licensing manufacturing facilities that must be constructed, licensed and operated in conformity with applicable cGMP, and building and other requirements. Any delays related to these regulations or our new manufacturing facility could adversely affect the cost timing of our commercialization in China.</w:t>
      </w:r>
    </w:p>
    <w:p>
      <w:pPr>
        <w:spacing w:after="0" w:line="1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May 2016, China announced implementation of a pilot program for the Marketing Authorization Holder System (“MAH”) in certain piloted regions. We have applied to participate in this program, and if accepted, we may be able to outsource drug product or API manufacturing to third parties. However, we cannot know if we will be accepted into the MAH program, or how long such program will be available.</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6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 of anemia in CKD in China is highly competitive.</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Even if roxadustat is approved in China, it will face intense competition in the market for treatment of anemia in CKD. Roxadustat would compete with ESAs, which are offered by established multinational pharmaceutical companies such as Kyowa Hakko Kirin China Pharmaceutical Co., Ltd.,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Chinese government is implementing a new “Two Invoices” regulation which could affect the way we structure our distributorship relationships in China for roxadustat.*</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Chinese government is implementing new regulations that may impact our current distribution plans. These regulations generally require that at most two invoices may be issued throughout the distribution chain, which may affect the structure of the FibroGen-AstraZeneca commercial distribution plan by imposing higher costs or slowing our ability under the agreement to sell products to our principal customers. Any change in distribution would be expected to have an adverse impact on the cost of delivery of product to the end user customer, potentially raising cost of operations through the chain of distribution and potentially delaying launch or initial sales. Although we have time to prepare for these changes in advance of our commercial launch, we may not have sufficient visibility or understanding of the implementation across some or all of the various provinces, the result of which may be a delay in the planned distribution efforts and near-term potential for sales growth in China for roxadustat as we and our distribution partners understand and adjust our distribution plans in response to the new regulation. Failure to comply with the Two-Invoice regulations would prevent us from accessing the market in China.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8"/>
          <w:szCs w:val="18"/>
          <w:i w:val="1"/>
          <w:iCs w:val="1"/>
          <w:color w:val="auto"/>
        </w:rPr>
        <w:t>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 — Regulation in China</w:t>
      </w:r>
      <w:r>
        <w:rPr>
          <w:rFonts w:ascii="Arial" w:cs="Arial" w:eastAsia="Arial" w:hAnsi="Arial"/>
          <w:sz w:val="18"/>
          <w:szCs w:val="18"/>
          <w:color w:val="auto"/>
        </w:rPr>
        <w:t>.” We believe that the inclusion of a drug in the Medical Insurance Catalogs can substantially improve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 drug in China.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yet received a license to manufacture FG-5200 in our Beijing manufacturing facility or at scale, and we will have to show that FG-5200 produced in our China manufacturing facility meets the applicable regulatory requirements. There can be no assurance that we can meet these requirements or that FG-5200 can be approved for development, manufacture and sale in China.</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2018, approximately $8.4 million of our cash and cash equivalents is held in China.</w:t>
      </w: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result of the impacts of the Tax Act, the SEC provided guidance that allows us to record provisional amounts for those impacts, with the requirement that the accounting be completed in a period not to exceed one year from the date of enactment. As of September 30, 2018, we have not completed the accounting for the tax effects of the Tax Act. Therefore, we have recorded provisional amounts for the effects of the Tax Act. For the three and nine months ended September 30, 2018, no changes have been made to the provisional amounts previously recorded. The primary impact of the Tax Act relates to the re-measurement of deferred tax assets and liabilities resulting from the change in the corporate tax rate (“Corporate Tax Rate Change”), which was recorded as of December, 2017. We are evaluating other accounting policies with respect to other provisions of the Tax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laws and regulations governing corruption, which will require us to develop, maintain, and implement costly compliance programs.*</w:t>
      </w:r>
    </w:p>
    <w:p>
      <w:pPr>
        <w:spacing w:after="0" w:line="14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Chinese society and the Chinese economy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part of a sweeping and ongoing government restructuring effort, China’s highest legislative body, the National People’s Congress, approved a plan to establish a State Administration for Market Regulation (“SAMR”), which will merge and undertake the responsibilities previously held by the State Administration for Industry and Commerce, the General Administration of Quality Supervision, Inspection and Quarantine, the Certification and Accreditation Administration, the Standardization Administration of China, and the China Food and Drug Administration (“CFDA”), as well as anti-monopoly responsibilities previously held by the National Development and Reform Commission, Ministry of Commerce, and the Anti-Monopoly Office under the State Council. The restructuring also established the NMPA which has taken over much of the functions of the CFDA and will be supervised by the SAMR, while maintaining branches at the provincial level. A major government restructuring such as this one could cause significant delays and cost increases to our development, manufacturing, approval, and commercialization timelines in China. There has been significant turnover in government leadership and officials may be further assigned new roles and responsibilities, which is likely to create delays and possibly new policies and priorities, and existing rules may be interpreted differently. It will take time for the restructuring to be fully implemented and the new structure to operate efficiently. As a result, our existing plans could be delayed or modified due to changes in regulations, policies or personnel decisions, all of which could have a material adverse impact on our operating results and business prospects.</w:t>
      </w:r>
    </w:p>
    <w:p>
      <w:pPr>
        <w:spacing w:after="0" w:line="2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relating to the United Kingdom’s referendum vote in favor of leaving the EU could adversely affect us.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June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2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highly volatile, and you may not be able to resell your shares at or above your purchase price.</w:t>
      </w:r>
    </w:p>
    <w:p>
      <w:pPr>
        <w:spacing w:after="0" w:line="1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10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right="82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have broad discretion in the use of the net proceeds from our underwritten public offerings of common stock completed on April 11, 2017 (the “April 2017 Offering”) and completed on August 24, 2017 (the “August 2017 Offering”) and may not use them effectively.</w:t>
      </w:r>
    </w:p>
    <w:p>
      <w:pPr>
        <w:spacing w:after="0" w:line="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net proceeds from the April 2017 Offering is intended to be used to fund the expansion of product development in China, including developing roxadustat in additional indications beyond CKD, manufacturing and commercialization activities, as well as for general corporate purposes. The net proceeds from the August 2017 Offering is intended to be used to fund the expansion of product development, including our development of pamrevlumab beyond current Phase 2 programs, manufacturing and commercialization activities, as well as for general corporate purposes. These general corporate purposes, may include, among other things, funding research and development, clinical trials, vendor payables, potential regulatory submissions, hiring additional personnel and capital expenditures. However, we have no current commitments or obligations to use the net proceeds in the manner described above. Our management has broad discretion in the application of the balance of the net proceeds from the April 2017 Offering and the August 2017 Offering, and could spend the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October 31, 2018, our executive officers, directors and principal stockholders, together with their respective affiliates, owned approximately 34.39%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October 31, 2018.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3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1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subject to non-income taxes, such as payroll, sales, use, value-added, net worth, property, gross receipts, and goods and services taxes in the U.S., state and local, or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December 22, 2017, the U.S. enacted the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result of the impacts of the Tax Act, the SEC provided guidance that allows us to record provisional amounts for those impacts, with the requirement that the accounting be completed in a period not to exceed one year from the date of enactment. As of September 30, 2018, we have not completed the accounting for the tax effects of the Tax Act. Therefore, we have recorded provisional amounts for the effects of the Tax Act. For the three and nine months ended September 30, 2018, no changes have been made to the provisional amounts previously recorded. The primary impact of the Tax Act relates to the re-measurement of deferred tax assets and liabilities resulting from the Corporate Tax Rate Change, which was recorded as of December 31, 2017. We are evaluating other accounting policies with respect to other provisions of the Tax Act.</w:t>
      </w:r>
    </w:p>
    <w:p>
      <w:pPr>
        <w:spacing w:after="0" w:line="2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20" w:type="dxa"/>
            <w:vAlign w:val="bottom"/>
            <w:gridSpan w:val="18"/>
          </w:tcPr>
          <w:p>
            <w:pPr>
              <w:ind w:left="600"/>
              <w:spacing w:after="0"/>
              <w:rPr>
                <w:sz w:val="20"/>
                <w:szCs w:val="20"/>
                <w:color w:val="auto"/>
              </w:rPr>
            </w:pPr>
            <w:r>
              <w:rPr>
                <w:rFonts w:ascii="Arial" w:cs="Arial" w:eastAsia="Arial" w:hAnsi="Arial"/>
                <w:sz w:val="14"/>
                <w:szCs w:val="14"/>
                <w:b w:val="1"/>
                <w:bCs w:val="1"/>
                <w:color w:val="auto"/>
              </w:rPr>
              <w:t>Exhibit Description</w:t>
            </w:r>
          </w:p>
        </w:tc>
      </w:tr>
      <w:tr>
        <w:trPr>
          <w:trHeight w:val="318"/>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220" w:type="dxa"/>
            <w:vAlign w:val="bottom"/>
            <w:tcBorders>
              <w:top w:val="single" w:sz="8" w:color="auto"/>
            </w:tcBorders>
            <w:gridSpan w:val="21"/>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Amended and Restated Certificate of Incorporation of FibroGen, Inc.</w:t>
              </w:r>
            </w:hyperlink>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35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Amended and Restated Bylaws of FibroGen, Inc.</w:t>
              </w:r>
            </w:hyperlink>
          </w:p>
        </w:tc>
        <w:tc>
          <w:tcPr>
            <w:tcW w:w="1420" w:type="dxa"/>
            <w:vAlign w:val="bottom"/>
            <w:tcBorders>
              <w:top w:val="single" w:sz="8" w:color="0000EE"/>
            </w:tcBorders>
            <w:gridSpan w:val="7"/>
          </w:tcPr>
          <w:p>
            <w:pPr>
              <w:spacing w:after="0"/>
              <w:rPr>
                <w:sz w:val="24"/>
                <w:szCs w:val="24"/>
                <w:color w:val="auto"/>
              </w:rPr>
            </w:pPr>
          </w:p>
        </w:tc>
        <w:tc>
          <w:tcPr>
            <w:tcW w:w="240" w:type="dxa"/>
            <w:vAlign w:val="bottom"/>
            <w:gridSpan w:val="6"/>
          </w:tcPr>
          <w:p>
            <w:pPr>
              <w:spacing w:after="0"/>
              <w:rPr>
                <w:sz w:val="24"/>
                <w:szCs w:val="24"/>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220" w:type="dxa"/>
            <w:vAlign w:val="bottom"/>
            <w:gridSpan w:val="21"/>
          </w:tcPr>
          <w:p>
            <w:pPr>
              <w:spacing w:after="0"/>
              <w:rPr>
                <w:rFonts w:ascii="Arial" w:cs="Arial" w:eastAsia="Arial" w:hAnsi="Arial"/>
                <w:sz w:val="18"/>
                <w:szCs w:val="18"/>
                <w:color w:val="0000EE"/>
              </w:rPr>
            </w:pPr>
            <w:hyperlink r:id="rId113">
              <w:r>
                <w:rPr>
                  <w:rFonts w:ascii="Arial" w:cs="Arial" w:eastAsia="Arial" w:hAnsi="Arial"/>
                  <w:sz w:val="18"/>
                  <w:szCs w:val="18"/>
                  <w:color w:val="0000EE"/>
                </w:rPr>
                <w:t>Form of Common Stock Certificate.</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220" w:type="dxa"/>
            <w:vAlign w:val="bottom"/>
            <w:gridSpan w:val="21"/>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Investor Rights Agreement by and among FibroGen, Inc. and certain of</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its stockholders, dated as of December 1995.</w:t>
              </w:r>
            </w:hyperlink>
          </w:p>
        </w:tc>
        <w:tc>
          <w:tcPr>
            <w:tcW w:w="8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220" w:type="dxa"/>
            <w:vAlign w:val="bottom"/>
            <w:gridSpan w:val="21"/>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Investor Rights Agreement by and among FibroGen, Inc. and certain of</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its warrant holders, dated as of February 8, 2000.</w:t>
              </w:r>
            </w:hyperlink>
          </w:p>
        </w:tc>
        <w:tc>
          <w:tcPr>
            <w:tcW w:w="1600" w:type="dxa"/>
            <w:vAlign w:val="bottom"/>
            <w:tcBorders>
              <w:top w:val="single" w:sz="8" w:color="0000EE"/>
            </w:tcBorders>
            <w:gridSpan w:val="12"/>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180" w:type="dxa"/>
            <w:vAlign w:val="bottom"/>
            <w:tcBorders>
              <w:bottom w:val="single" w:sz="8" w:color="0000EE"/>
            </w:tcBorders>
            <w:gridSpan w:val="20"/>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Warrant to Purchase 11,076 Shares of Common Stock issued to Bristow</w:t>
              </w:r>
            </w:hyperlink>
          </w:p>
        </w:tc>
        <w:tc>
          <w:tcPr>
            <w:tcW w:w="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Investments, L.P, dated as of February 8, 2000.</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940" w:type="dxa"/>
            <w:vAlign w:val="bottom"/>
            <w:tcBorders>
              <w:bottom w:val="single" w:sz="8" w:color="0000EE"/>
            </w:tcBorders>
            <w:gridSpan w:val="14"/>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Common Stock Purchase Agreement by and between FibroGen, Inc.</w:t>
              </w:r>
            </w:hyperlink>
          </w:p>
        </w:tc>
        <w:tc>
          <w:tcPr>
            <w:tcW w:w="28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and AstraZeneca AB, dated as of October 20, 2014.</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20" w:type="dxa"/>
            <w:vAlign w:val="bottom"/>
            <w:gridSpan w:val="6"/>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220" w:type="dxa"/>
            <w:vAlign w:val="bottom"/>
            <w:gridSpan w:val="21"/>
          </w:tcPr>
          <w:p>
            <w:pPr>
              <w:spacing w:after="0"/>
              <w:rPr>
                <w:rFonts w:ascii="Arial" w:cs="Arial" w:eastAsia="Arial" w:hAnsi="Arial"/>
                <w:sz w:val="18"/>
                <w:szCs w:val="18"/>
                <w:color w:val="0000EE"/>
              </w:rPr>
            </w:pPr>
            <w:hyperlink r:id="rId118">
              <w:r>
                <w:rPr>
                  <w:rFonts w:ascii="Arial" w:cs="Arial" w:eastAsia="Arial" w:hAnsi="Arial"/>
                  <w:sz w:val="18"/>
                  <w:szCs w:val="18"/>
                  <w:color w:val="0000EE"/>
                </w:rPr>
                <w:t>Shareholders’ Agreement by and among FibroGen International</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top w:val="single" w:sz="8" w:color="0000EE"/>
            </w:tcBorders>
            <w:gridSpan w:val="11"/>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(Cayman) Limited and certain of its shareholders, dated as of</w:t>
              </w:r>
            </w:hyperlink>
          </w:p>
        </w:tc>
        <w:tc>
          <w:tcPr>
            <w:tcW w:w="62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18">
              <w:r>
                <w:rPr>
                  <w:rFonts w:ascii="Arial" w:cs="Arial" w:eastAsia="Arial" w:hAnsi="Arial"/>
                  <w:sz w:val="18"/>
                  <w:szCs w:val="18"/>
                  <w:color w:val="0000EE"/>
                  <w:w w:val="87"/>
                </w:rPr>
                <w:t>September 8, 2017.</w:t>
              </w:r>
            </w:hyperlink>
          </w:p>
        </w:tc>
        <w:tc>
          <w:tcPr>
            <w:tcW w:w="3000" w:type="dxa"/>
            <w:vAlign w:val="bottom"/>
            <w:tcBorders>
              <w:top w:val="single" w:sz="8" w:color="0000EE"/>
            </w:tcBorders>
            <w:gridSpan w:val="7"/>
          </w:tcPr>
          <w:p>
            <w:pPr>
              <w:spacing w:after="0"/>
              <w:rPr>
                <w:sz w:val="17"/>
                <w:szCs w:val="17"/>
                <w:color w:val="auto"/>
              </w:rPr>
            </w:pPr>
          </w:p>
        </w:tc>
        <w:tc>
          <w:tcPr>
            <w:tcW w:w="820" w:type="dxa"/>
            <w:vAlign w:val="bottom"/>
            <w:gridSpan w:val="11"/>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220" w:type="dxa"/>
            <w:vAlign w:val="bottom"/>
            <w:gridSpan w:val="21"/>
          </w:tcPr>
          <w:p>
            <w:pPr>
              <w:spacing w:after="0"/>
              <w:rPr>
                <w:rFonts w:ascii="Arial" w:cs="Arial" w:eastAsia="Arial" w:hAnsi="Arial"/>
                <w:sz w:val="18"/>
                <w:szCs w:val="18"/>
                <w:color w:val="0000EE"/>
                <w:w w:val="94"/>
              </w:rPr>
            </w:pPr>
            <w:hyperlink w:anchor="page82">
              <w:r>
                <w:rPr>
                  <w:rFonts w:ascii="Arial" w:cs="Arial" w:eastAsia="Arial" w:hAnsi="Arial"/>
                  <w:sz w:val="18"/>
                  <w:szCs w:val="18"/>
                  <w:color w:val="0000EE"/>
                  <w:w w:val="94"/>
                </w:rPr>
                <w:t>Certification of Chief Executive Officer, as required by Rule 13a-14(a)</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or Rule 15d-14(a).</w:t>
              </w:r>
            </w:hyperlink>
          </w:p>
        </w:tc>
        <w:tc>
          <w:tcPr>
            <w:tcW w:w="3760" w:type="dxa"/>
            <w:vAlign w:val="bottom"/>
            <w:tcBorders>
              <w:top w:val="single" w:sz="8" w:color="0000EE"/>
            </w:tcBorders>
            <w:gridSpan w:val="16"/>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0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Chief Financial Officer, as required by Rule 13a-14(a)</w:t>
              </w:r>
            </w:hyperlink>
          </w:p>
        </w:tc>
        <w:tc>
          <w:tcPr>
            <w:tcW w:w="16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or Rule 15d-14(a).</w:t>
              </w:r>
            </w:hyperlink>
          </w:p>
        </w:tc>
        <w:tc>
          <w:tcPr>
            <w:tcW w:w="3880" w:type="dxa"/>
            <w:vAlign w:val="bottom"/>
            <w:gridSpan w:val="19"/>
          </w:tcPr>
          <w:p>
            <w:pPr>
              <w:spacing w:after="0"/>
              <w:rPr>
                <w:sz w:val="17"/>
                <w:szCs w:val="17"/>
                <w:color w:val="auto"/>
              </w:rPr>
            </w:pPr>
          </w:p>
        </w:tc>
      </w:tr>
      <w:tr>
        <w:trPr>
          <w:trHeight w:val="345"/>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220" w:type="dxa"/>
            <w:vAlign w:val="bottom"/>
            <w:gridSpan w:val="2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Certification of Principal Executive Officer and Principal Financial</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2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Officer, as required by Rule 13a-14(b) or Rule 15d-14(b) and Section</w:t>
              </w:r>
            </w:hyperlink>
          </w:p>
        </w:tc>
        <w:tc>
          <w:tcPr>
            <w:tcW w:w="2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gridSpan w:val="21"/>
          </w:tcPr>
          <w:p>
            <w:pPr>
              <w:spacing w:after="0" w:line="19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1350 of Chapter 63 of Title 18 of the United States Code (18 U.S.C.</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§1350)(1)).</w:t>
              </w:r>
            </w:hyperlink>
          </w:p>
        </w:tc>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1"/>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220" w:type="dxa"/>
            <w:vAlign w:val="bottom"/>
            <w:gridSpan w:val="21"/>
          </w:tcPr>
          <w:p>
            <w:pPr>
              <w:spacing w:after="0"/>
              <w:rPr>
                <w:sz w:val="20"/>
                <w:szCs w:val="20"/>
                <w:color w:val="auto"/>
              </w:rPr>
            </w:pPr>
            <w:r>
              <w:rPr>
                <w:rFonts w:ascii="Arial" w:cs="Arial" w:eastAsia="Arial" w:hAnsi="Arial"/>
                <w:sz w:val="18"/>
                <w:szCs w:val="18"/>
                <w:color w:val="auto"/>
                <w:w w:val="98"/>
              </w:rPr>
              <w:t>Financial statements from the quarterly report on Form 10-Q of the</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20" w:type="dxa"/>
            <w:vAlign w:val="bottom"/>
            <w:gridSpan w:val="21"/>
          </w:tcPr>
          <w:p>
            <w:pPr>
              <w:spacing w:after="0"/>
              <w:rPr>
                <w:sz w:val="20"/>
                <w:szCs w:val="20"/>
                <w:color w:val="auto"/>
              </w:rPr>
            </w:pPr>
            <w:r>
              <w:rPr>
                <w:rFonts w:ascii="Arial" w:cs="Arial" w:eastAsia="Arial" w:hAnsi="Arial"/>
                <w:sz w:val="18"/>
                <w:szCs w:val="18"/>
                <w:color w:val="auto"/>
                <w:w w:val="99"/>
              </w:rPr>
              <w:t>Company for the quarter ended September 30, 2018, formatted in</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gridSpan w:val="21"/>
          </w:tcPr>
          <w:p>
            <w:pPr>
              <w:spacing w:after="0"/>
              <w:rPr>
                <w:sz w:val="20"/>
                <w:szCs w:val="20"/>
                <w:color w:val="auto"/>
              </w:rPr>
            </w:pPr>
            <w:r>
              <w:rPr>
                <w:rFonts w:ascii="Arial" w:cs="Arial" w:eastAsia="Arial" w:hAnsi="Arial"/>
                <w:sz w:val="18"/>
                <w:szCs w:val="18"/>
                <w:color w:val="auto"/>
              </w:rPr>
              <w:t>XBRL: (i) the Condensed Consolidated Balance Sheets, (ii) the</w:t>
            </w:r>
          </w:p>
        </w:tc>
      </w:tr>
    </w:tbl>
    <w:p>
      <w:pPr>
        <w:ind w:left="1480" w:right="140"/>
        <w:spacing w:after="0" w:line="273" w:lineRule="auto"/>
        <w:rPr>
          <w:sz w:val="20"/>
          <w:szCs w:val="20"/>
          <w:color w:val="auto"/>
        </w:rPr>
      </w:pPr>
      <w:r>
        <w:rPr>
          <w:rFonts w:ascii="Arial" w:cs="Arial" w:eastAsia="Arial" w:hAnsi="Arial"/>
          <w:sz w:val="17"/>
          <w:szCs w:val="17"/>
          <w:color w:val="auto"/>
        </w:rPr>
        <w:t>Condensed Consolidated Statements of Operations (iii) the Condensed Consolidated Statement of Comprehensive Loss, (iv) the Condensed Consolidated Statements of Cash Flows and (v) the Notes to the Condensed Consolidated Financial Statements.</w:t>
      </w:r>
    </w:p>
    <w:p>
      <w:pPr>
        <w:spacing w:after="0" w:line="109"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58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SEC File No.</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58"/>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65"/>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65"/>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65"/>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81"/>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797"/>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1"/>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1"/>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013"/>
        </w:trPr>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700" w:space="120"/>
            <w:col w:w="460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FibroGen, Inc.</w:t>
            </w:r>
          </w:p>
        </w:tc>
      </w:tr>
      <w:tr>
        <w:trPr>
          <w:trHeight w:val="20"/>
        </w:trPr>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80"/>
        </w:trPr>
        <w:tc>
          <w:tcPr>
            <w:tcW w:w="3780" w:type="dxa"/>
            <w:vAlign w:val="bottom"/>
          </w:tcPr>
          <w:p>
            <w:pPr>
              <w:spacing w:after="0"/>
              <w:rPr>
                <w:sz w:val="20"/>
                <w:szCs w:val="20"/>
                <w:color w:val="auto"/>
              </w:rPr>
            </w:pPr>
            <w:r>
              <w:rPr>
                <w:rFonts w:ascii="Arial" w:cs="Arial" w:eastAsia="Arial" w:hAnsi="Arial"/>
                <w:sz w:val="18"/>
                <w:szCs w:val="18"/>
                <w:color w:val="auto"/>
              </w:rPr>
              <w:t>Dated: November 8, 2018</w:t>
            </w:r>
          </w:p>
        </w:tc>
        <w:tc>
          <w:tcPr>
            <w:tcW w:w="218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Thomas B. Neff</w:t>
            </w:r>
          </w:p>
        </w:tc>
      </w:tr>
      <w:tr>
        <w:trPr>
          <w:trHeight w:val="195"/>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Thomas B. Neff</w:t>
            </w:r>
          </w:p>
        </w:tc>
      </w:tr>
      <w:tr>
        <w:trPr>
          <w:trHeight w:val="216"/>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Dated: November 8, 2018</w:t>
            </w:r>
          </w:p>
        </w:tc>
        <w:tc>
          <w:tcPr>
            <w:tcW w:w="218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5"/>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7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64"/>
        </w:trPr>
        <w:tc>
          <w:tcPr>
            <w:tcW w:w="3780" w:type="dxa"/>
            <w:vAlign w:val="bottom"/>
          </w:tcPr>
          <w:p>
            <w:pPr>
              <w:spacing w:after="0"/>
              <w:rPr>
                <w:sz w:val="24"/>
                <w:szCs w:val="24"/>
                <w:color w:val="auto"/>
              </w:rPr>
            </w:pP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117"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Thomas B. Neff</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9"/>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Pat Cotroneo</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Senior Vice President, Finance and 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181" w:lineRule="exact"/>
        <w:rPr>
          <w:sz w:val="20"/>
          <w:szCs w:val="20"/>
          <w:color w:val="auto"/>
        </w:rPr>
      </w:pPr>
    </w:p>
    <w:p>
      <w:pPr>
        <w:ind w:left="520" w:right="500" w:hanging="512"/>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2018, to which this Certification is attached as Exhibit 32.1 (“Periodic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right="580" w:hanging="512"/>
        <w:spacing w:after="0" w:line="27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1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Neff</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Chairman of the Board and Chief Executive Officer</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2"/>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2"/>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5"/>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3"/>
    </w:lvl>
  </w:abstractNum>
  <w:abstractNum w:abstractNumId="15">
    <w:nsid w:val="440BADFC"/>
    <w:multiLevelType w:val="hybridMultilevel"/>
    <w:lvl w:ilvl="0">
      <w:lvlJc w:val="left"/>
      <w:lvlText w:val="%1."/>
      <w:numFmt w:val="decimal"/>
      <w:start w:val="5"/>
    </w:lvl>
  </w:abstractNum>
  <w:abstractNum w:abstractNumId="16">
    <w:nsid w:val="5072367"/>
    <w:multiLevelType w:val="hybridMultilevel"/>
    <w:lvl w:ilvl="0">
      <w:lvlJc w:val="left"/>
      <w:lvlText w:val="%1."/>
      <w:numFmt w:val="decimal"/>
      <w:start w:val="6"/>
    </w:lvl>
  </w:abstractNum>
  <w:abstractNum w:abstractNumId="17">
    <w:nsid w:val="3804823E"/>
    <w:multiLevelType w:val="hybridMultilevel"/>
    <w:lvl w:ilvl="0">
      <w:lvlJc w:val="left"/>
      <w:lvlText w:val="%1."/>
      <w:numFmt w:val="decimal"/>
      <w:start w:val="7"/>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11" Type="http://schemas.openxmlformats.org/officeDocument/2006/relationships/hyperlink" Target="http://www.sec.gov/Archives/edgar/data/921299/000119312514420380/d824859dex31.htm" TargetMode="External"/><Relationship Id="rId112" Type="http://schemas.openxmlformats.org/officeDocument/2006/relationships/hyperlink" Target="http://www.sec.gov/Archives/edgar/data/921299/000119312514380087/d720189dex34.htm" TargetMode="External"/><Relationship Id="rId113" Type="http://schemas.openxmlformats.org/officeDocument/2006/relationships/hyperlink" Target="http://www.sec.gov/Archives/edgar/data/921299/000119312514420380/d824859dex41.htm" TargetMode="External"/><Relationship Id="rId114" Type="http://schemas.openxmlformats.org/officeDocument/2006/relationships/hyperlink" Target="http://www.sec.gov/Archives/edgar/data/921299/000119312514359619/d720189dex42.htm" TargetMode="External"/><Relationship Id="rId115" Type="http://schemas.openxmlformats.org/officeDocument/2006/relationships/hyperlink" Target="http://www.sec.gov/Archives/edgar/data/921299/000119312514359619/d720189dex47.htm" TargetMode="External"/><Relationship Id="rId116" Type="http://schemas.openxmlformats.org/officeDocument/2006/relationships/hyperlink" Target="http://www.sec.gov/Archives/edgar/data/921299/000119312514359619/d720189dex412.htm" TargetMode="External"/><Relationship Id="rId117" Type="http://schemas.openxmlformats.org/officeDocument/2006/relationships/hyperlink" Target="http://www.sec.gov/Archives/edgar/data/921299/000119312514381669/d720189dex417.htm" TargetMode="External"/><Relationship Id="rId118" Type="http://schemas.openxmlformats.org/officeDocument/2006/relationships/hyperlink" Target="http://www.sec.gov/Archives/edgar/data/921299/000156459017022738/fgen-ex46_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2019-12-28T18:05:08Z</dcterms:created>
  <dcterms:modified xsi:type="dcterms:W3CDTF">2019-12-28T18:05:08Z</dcterms:modified>
</cp:coreProperties>
</file>