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6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74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3876675</wp:posOffset>
            </wp:positionH>
            <wp:positionV relativeFrom="paragraph">
              <wp:posOffset>-7620</wp:posOffset>
            </wp:positionV>
            <wp:extent cx="1009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001-36740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FIBROGEN,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40"/>
              <w:spacing w:after="0"/>
              <w:rPr>
                <w:sz w:val="20"/>
                <w:szCs w:val="20"/>
                <w:color w:val="auto"/>
              </w:rPr>
            </w:pPr>
            <w:r>
              <w:rPr>
                <w:rFonts w:ascii="Arial" w:cs="Arial" w:eastAsia="Arial" w:hAnsi="Arial"/>
                <w:sz w:val="18"/>
                <w:szCs w:val="18"/>
                <w:b w:val="1"/>
                <w:bCs w:val="1"/>
                <w:color w:val="auto"/>
              </w:rPr>
              <w:t>77-0357827</w:t>
            </w:r>
          </w:p>
        </w:tc>
      </w:tr>
      <w:tr>
        <w:trPr>
          <w:trHeight w:val="149"/>
        </w:trPr>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90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900"/>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409 Illinois Street</w:t>
            </w:r>
          </w:p>
        </w:tc>
        <w:tc>
          <w:tcPr>
            <w:tcW w:w="5100" w:type="dxa"/>
            <w:vAlign w:val="bottom"/>
          </w:tcPr>
          <w:p>
            <w:pPr>
              <w:spacing w:after="0"/>
              <w:rPr>
                <w:sz w:val="24"/>
                <w:szCs w:val="24"/>
                <w:color w:val="auto"/>
              </w:rPr>
            </w:pPr>
          </w:p>
        </w:tc>
      </w:tr>
      <w:tr>
        <w:trPr>
          <w:trHeight w:val="212"/>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San Francisco, CA</w:t>
            </w:r>
          </w:p>
        </w:tc>
        <w:tc>
          <w:tcPr>
            <w:tcW w:w="5100" w:type="dxa"/>
            <w:vAlign w:val="bottom"/>
          </w:tcPr>
          <w:p>
            <w:pPr>
              <w:jc w:val="right"/>
              <w:ind w:right="260"/>
              <w:spacing w:after="0"/>
              <w:rPr>
                <w:sz w:val="20"/>
                <w:szCs w:val="20"/>
                <w:color w:val="auto"/>
              </w:rPr>
            </w:pPr>
            <w:r>
              <w:rPr>
                <w:rFonts w:ascii="Arial" w:cs="Arial" w:eastAsia="Arial" w:hAnsi="Arial"/>
                <w:sz w:val="18"/>
                <w:szCs w:val="18"/>
                <w:b w:val="1"/>
                <w:bCs w:val="1"/>
                <w:color w:val="auto"/>
              </w:rPr>
              <w:t>94158</w:t>
            </w:r>
          </w:p>
        </w:tc>
      </w:tr>
      <w:tr>
        <w:trPr>
          <w:trHeight w:val="186"/>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2500" w:type="dxa"/>
            <w:vAlign w:val="bottom"/>
          </w:tcPr>
          <w:p>
            <w:pPr>
              <w:spacing w:after="0"/>
              <w:rPr>
                <w:sz w:val="24"/>
                <w:szCs w:val="24"/>
                <w:color w:val="auto"/>
              </w:rPr>
            </w:pPr>
          </w:p>
        </w:tc>
        <w:tc>
          <w:tcPr>
            <w:tcW w:w="5100" w:type="dxa"/>
            <w:vAlign w:val="bottom"/>
          </w:tcPr>
          <w:p>
            <w:pPr>
              <w:jc w:val="right"/>
              <w:ind w:right="2820"/>
              <w:spacing w:after="0"/>
              <w:rPr>
                <w:sz w:val="20"/>
                <w:szCs w:val="20"/>
                <w:color w:val="auto"/>
              </w:rPr>
            </w:pPr>
            <w:r>
              <w:rPr>
                <w:rFonts w:ascii="Arial" w:cs="Arial" w:eastAsia="Arial" w:hAnsi="Arial"/>
                <w:sz w:val="18"/>
                <w:szCs w:val="18"/>
                <w:b w:val="1"/>
                <w:bCs w:val="1"/>
                <w:color w:val="auto"/>
              </w:rPr>
              <w:t>(415) 978-1200</w:t>
            </w:r>
          </w:p>
        </w:tc>
      </w:tr>
      <w:tr>
        <w:trPr>
          <w:trHeight w:val="186"/>
        </w:trPr>
        <w:tc>
          <w:tcPr>
            <w:tcW w:w="2500" w:type="dxa"/>
            <w:vAlign w:val="bottom"/>
          </w:tcPr>
          <w:p>
            <w:pPr>
              <w:spacing w:after="0"/>
              <w:rPr>
                <w:sz w:val="16"/>
                <w:szCs w:val="16"/>
                <w:color w:val="auto"/>
              </w:rPr>
            </w:pPr>
          </w:p>
        </w:tc>
        <w:tc>
          <w:tcPr>
            <w:tcW w:w="5100" w:type="dxa"/>
            <w:vAlign w:val="bottom"/>
          </w:tcPr>
          <w:p>
            <w:pPr>
              <w:jc w:val="center"/>
              <w:ind w:right="17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76200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7" w:lineRule="exact"/>
        <w:rPr>
          <w:sz w:val="24"/>
          <w:szCs w:val="24"/>
          <w:color w:val="auto"/>
        </w:rPr>
      </w:pPr>
    </w:p>
    <w:p>
      <w:pPr>
        <w:jc w:val="both"/>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94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4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740" w:type="dxa"/>
            <w:vAlign w:val="bottom"/>
          </w:tcPr>
          <w:p>
            <w:pPr>
              <w:ind w:left="50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448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40" w:type="dxa"/>
            <w:vAlign w:val="bottom"/>
          </w:tcPr>
          <w:p>
            <w:pPr>
              <w:ind w:left="50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740" w:type="dxa"/>
            <w:vAlign w:val="bottom"/>
          </w:tcPr>
          <w:p>
            <w:pPr>
              <w:ind w:left="50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8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April 30, 2018 was 83,522,252.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682625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gridSpan w:val="7"/>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960" w:type="dxa"/>
            <w:vAlign w:val="bottom"/>
            <w:gridSpan w:val="6"/>
            <w:vMerge w:val="restart"/>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tcBorders>
              <w:bottom w:val="single" w:sz="8" w:color="0000EE"/>
            </w:tcBorders>
            <w:gridSpan w:val="7"/>
            <w:vMerge w:val="continue"/>
          </w:tcPr>
          <w:p>
            <w:pPr>
              <w:spacing w:after="0"/>
              <w:rPr>
                <w:sz w:val="14"/>
                <w:szCs w:val="14"/>
                <w:color w:val="auto"/>
              </w:rPr>
            </w:pPr>
          </w:p>
        </w:tc>
        <w:tc>
          <w:tcPr>
            <w:tcW w:w="3960" w:type="dxa"/>
            <w:vAlign w:val="bottom"/>
            <w:gridSpan w:val="6"/>
            <w:vMerge w:val="continue"/>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006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72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as of March 31, 2018 and December 31, 2017 (Unaudited)</w:t>
              </w:r>
            </w:hyperlink>
          </w:p>
        </w:tc>
        <w:tc>
          <w:tcPr>
            <w:tcW w:w="2860" w:type="dxa"/>
            <w:vAlign w:val="bottom"/>
            <w:gridSpan w:val="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2018 and 2017 (Unaudited)</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Comprehensive Loss for the Three Months Ended March 31, 2018 and 2017 (Unaudited)</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6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Cash Flows for the Three Months Ended March 31, 2018 and 2017 (Unaudited)</w:t>
              </w:r>
            </w:hyperlink>
          </w:p>
        </w:tc>
        <w:tc>
          <w:tcPr>
            <w:tcW w:w="660" w:type="dxa"/>
            <w:vAlign w:val="bottom"/>
            <w:tcBorders>
              <w:top w:val="single" w:sz="8" w:color="0000EE"/>
            </w:tcBorders>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 (Unaudited)</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060" w:type="dxa"/>
            <w:vAlign w:val="bottom"/>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600" w:type="dxa"/>
            <w:vAlign w:val="bottom"/>
            <w:gridSpan w:val="5"/>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6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gridSpan w:val="12"/>
          </w:tcPr>
          <w:p>
            <w:pPr>
              <w:jc w:val="center"/>
              <w:ind w:right="4120"/>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II—OTHER INFORMATION</w:t>
              </w:r>
            </w:hyperlink>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3080" w:type="dxa"/>
            <w:vAlign w:val="bottom"/>
            <w:gridSpan w:val="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2860" w:type="dxa"/>
            <w:vAlign w:val="bottom"/>
            <w:tcBorders>
              <w:top w:val="single" w:sz="8" w:color="0000EE"/>
            </w:tcBorders>
            <w:gridSpan w:val="5"/>
          </w:tcPr>
          <w:p>
            <w:pPr>
              <w:spacing w:after="0"/>
              <w:rPr>
                <w:sz w:val="24"/>
                <w:szCs w:val="24"/>
                <w:color w:val="auto"/>
              </w:rPr>
            </w:pPr>
          </w:p>
        </w:tc>
        <w:tc>
          <w:tcPr>
            <w:tcW w:w="4120" w:type="dxa"/>
            <w:vAlign w:val="bottom"/>
            <w:gridSpan w:val="7"/>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720" w:type="dxa"/>
            <w:vAlign w:val="bottom"/>
            <w:gridSpan w:val="16"/>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Unregistered Sales of Equity Securities and Use of Proceeds</w:t>
              </w:r>
            </w:hyperlink>
          </w:p>
        </w:tc>
        <w:tc>
          <w:tcPr>
            <w:tcW w:w="5700" w:type="dxa"/>
            <w:vAlign w:val="bottom"/>
            <w:gridSpan w:val="10"/>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Defaults Upon Senior Securities</w:t>
              </w:r>
            </w:hyperlink>
          </w:p>
        </w:tc>
        <w:tc>
          <w:tcPr>
            <w:tcW w:w="7720" w:type="dxa"/>
            <w:vAlign w:val="bottom"/>
            <w:gridSpan w:val="1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Mine Safety Disclosures</w:t>
              </w:r>
            </w:hyperlink>
          </w:p>
        </w:tc>
        <w:tc>
          <w:tcPr>
            <w:tcW w:w="8280" w:type="dxa"/>
            <w:vAlign w:val="bottom"/>
            <w:gridSpan w:val="15"/>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0060" w:type="dxa"/>
            <w:vAlign w:val="bottom"/>
            <w:gridSpan w:val="21"/>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Other Information</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Exhibits</w:t>
              </w:r>
            </w:hyperlink>
          </w:p>
        </w:tc>
        <w:tc>
          <w:tcPr>
            <w:tcW w:w="8740" w:type="dxa"/>
            <w:vAlign w:val="bottom"/>
            <w:gridSpan w:val="17"/>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300" w:type="dxa"/>
            <w:vAlign w:val="bottom"/>
            <w:gridSpan w:val="19"/>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Signatures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4420" w:type="dxa"/>
            <w:vAlign w:val="bottom"/>
            <w:gridSpan w:val="11"/>
          </w:tcPr>
          <w:p>
            <w:pPr>
              <w:jc w:val="right"/>
              <w:ind w:right="34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5" w:right="2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FIBROGEN, INC.</w:t>
      </w:r>
    </w:p>
    <w:p>
      <w:pPr>
        <w:spacing w:after="0" w:line="11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(Note 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Current assets: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659,007</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673,658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44,761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($4,452 and $4,004 from a related party)</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717,163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Restricted time deposits</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Long-term investments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10,506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129,880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9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assets</w:t>
            </w:r>
          </w:p>
        </w:tc>
        <w:tc>
          <w:tcPr>
            <w:tcW w:w="9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867,611</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898,650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1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ind w:left="240"/>
              <w:spacing w:after="0"/>
              <w:rPr>
                <w:sz w:val="20"/>
                <w:szCs w:val="20"/>
                <w:color w:val="auto"/>
              </w:rPr>
            </w:pPr>
            <w:r>
              <w:rPr>
                <w:rFonts w:ascii="Arial" w:cs="Arial" w:eastAsia="Arial" w:hAnsi="Arial"/>
                <w:sz w:val="18"/>
                <w:szCs w:val="18"/>
                <w:color w:val="auto"/>
              </w:rPr>
              <w:t>Accrued liabilities ($592 and $272 to a related party)</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62,859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9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83,342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Long-term portion of lease financing obligations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97,620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 obligations</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Deferred rent</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3,503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9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348,822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60" w:type="dxa"/>
            <w:vAlign w:val="bottom"/>
          </w:tcPr>
          <w:p>
            <w:pPr>
              <w:ind w:left="240"/>
              <w:spacing w:after="0"/>
              <w:rPr>
                <w:sz w:val="20"/>
                <w:szCs w:val="20"/>
                <w:color w:val="auto"/>
              </w:rPr>
            </w:pPr>
            <w:r>
              <w:rPr>
                <w:rFonts w:ascii="Arial" w:cs="Arial" w:eastAsia="Arial" w:hAnsi="Arial"/>
                <w:sz w:val="18"/>
                <w:szCs w:val="18"/>
                <w:color w:val="auto"/>
              </w:rPr>
              <w:t>Preferred stock, $0.01 par value; 125,000 shares authorized; no shares issued</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360"/>
              <w:spacing w:after="0"/>
              <w:rPr>
                <w:sz w:val="20"/>
                <w:szCs w:val="20"/>
                <w:color w:val="auto"/>
              </w:rPr>
            </w:pPr>
            <w:r>
              <w:rPr>
                <w:rFonts w:ascii="Arial" w:cs="Arial" w:eastAsia="Arial" w:hAnsi="Arial"/>
                <w:sz w:val="18"/>
                <w:szCs w:val="18"/>
                <w:color w:val="auto"/>
              </w:rPr>
              <w:t>and outstanding at March 31, 2018 and December 31, 2017</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$0.01 par value; 225,000 shares authorized at March 31, 2018</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and December 31, 2017; 83,421 and 82,498 shares issued and outstanding at</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March 31, 2018 and December 31, 2017</w:t>
            </w: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1,173,109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1,160,094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(3,622)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(670,803)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(630,657)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9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499,518</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528,467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9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9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518,789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547,738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stockholders’ equity and non-controlling interests</w:t>
            </w:r>
          </w:p>
        </w:tc>
        <w:tc>
          <w:tcPr>
            <w:tcW w:w="9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867,611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98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19"/>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(Note 1)</w:t>
            </w: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tcPr>
          <w:p>
            <w:pPr>
              <w:ind w:left="240"/>
              <w:spacing w:after="0"/>
              <w:rPr>
                <w:sz w:val="20"/>
                <w:szCs w:val="20"/>
                <w:color w:val="auto"/>
              </w:rPr>
            </w:pPr>
            <w:r>
              <w:rPr>
                <w:rFonts w:ascii="Arial" w:cs="Arial" w:eastAsia="Arial" w:hAnsi="Arial"/>
                <w:sz w:val="18"/>
                <w:szCs w:val="18"/>
                <w:color w:val="auto"/>
              </w:rPr>
              <w:t>License revenue (includes $0 and</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360"/>
              <w:spacing w:after="0"/>
              <w:rPr>
                <w:sz w:val="20"/>
                <w:szCs w:val="20"/>
                <w:color w:val="auto"/>
              </w:rPr>
            </w:pPr>
            <w:r>
              <w:rPr>
                <w:rFonts w:ascii="Arial" w:cs="Arial" w:eastAsia="Arial" w:hAnsi="Arial"/>
                <w:sz w:val="18"/>
                <w:szCs w:val="18"/>
                <w:color w:val="auto"/>
              </w:rPr>
              <w:t>$0 from a related party)</w:t>
            </w:r>
          </w:p>
        </w:tc>
        <w:tc>
          <w:tcPr>
            <w:tcW w:w="1000" w:type="dxa"/>
            <w:vAlign w:val="bottom"/>
          </w:tcPr>
          <w:p>
            <w:pPr>
              <w:jc w:val="right"/>
              <w:ind w:right="817"/>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79"/>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Development and other revenue (includes $5,172 and</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$4,686 from a related party)</w:t>
            </w:r>
          </w:p>
        </w:tc>
        <w:tc>
          <w:tcPr>
            <w:tcW w:w="10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29,442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31,925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29,442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46,732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11,530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58,262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(40,599)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(28,820)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Interest and other, net</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(2,769)</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income and other, net</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interest and other, net</w:t>
            </w:r>
          </w:p>
        </w:tc>
        <w:tc>
          <w:tcPr>
            <w:tcW w:w="10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10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8"/>
              </w:rPr>
              <w:t>(41,297)</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2"/>
              </w:rPr>
              <w:t>(30,550)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000" w:type="dxa"/>
            <w:vAlign w:val="bottom"/>
            <w:tcBorders>
              <w:bottom w:val="single" w:sz="8" w:color="auto"/>
            </w:tcBorders>
            <w:shd w:val="clear" w:color="auto" w:fill="CFF0FC"/>
          </w:tcPr>
          <w:p>
            <w:pPr>
              <w:jc w:val="right"/>
              <w:ind w:right="81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(41,396)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(30,610)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000" w:type="dxa"/>
            <w:vAlign w:val="bottom"/>
            <w:shd w:val="clear" w:color="auto" w:fill="CFF0FC"/>
          </w:tcPr>
          <w:p>
            <w:pPr>
              <w:jc w:val="right"/>
              <w:ind w:right="817"/>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(0.50)</w:t>
            </w:r>
          </w:p>
        </w:tc>
        <w:tc>
          <w:tcPr>
            <w:tcW w:w="1180" w:type="dxa"/>
            <w:vAlign w:val="bottom"/>
            <w:gridSpan w:val="2"/>
            <w:shd w:val="clear" w:color="auto" w:fill="CFF0FC"/>
          </w:tcPr>
          <w:p>
            <w:pPr>
              <w:jc w:val="right"/>
              <w:ind w:right="879"/>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Weighted average number of common shares used to calculate net loss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120"/>
              <w:spacing w:after="0"/>
              <w:rPr>
                <w:sz w:val="20"/>
                <w:szCs w:val="20"/>
                <w:color w:val="auto"/>
              </w:rPr>
            </w:pPr>
            <w:r>
              <w:rPr>
                <w:rFonts w:ascii="Arial" w:cs="Arial" w:eastAsia="Arial" w:hAnsi="Arial"/>
                <w:sz w:val="18"/>
                <w:szCs w:val="18"/>
                <w:color w:val="auto"/>
              </w:rPr>
              <w:t>per share - basic and diluted</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82,863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64,037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80" w:type="dxa"/>
            <w:vAlign w:val="bottom"/>
            <w:tcBorders>
              <w:bottom w:val="single" w:sz="8" w:color="auto"/>
            </w:tcBorders>
            <w:gridSpan w:val="5"/>
          </w:tcPr>
          <w:p>
            <w:pPr>
              <w:jc w:val="right"/>
              <w:ind w:right="207"/>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47"/>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6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(Note 1)</w:t>
            </w: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420" w:type="dxa"/>
            <w:vAlign w:val="bottom"/>
            <w:gridSpan w:val="2"/>
            <w:shd w:val="clear" w:color="auto" w:fill="CFF0FC"/>
          </w:tcPr>
          <w:p>
            <w:pPr>
              <w:jc w:val="right"/>
              <w:ind w:right="8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(41,396)</w:t>
            </w:r>
          </w:p>
        </w:tc>
        <w:tc>
          <w:tcPr>
            <w:tcW w:w="1220" w:type="dxa"/>
            <w:vAlign w:val="bottom"/>
            <w:gridSpan w:val="2"/>
            <w:shd w:val="clear" w:color="auto" w:fill="CFF0FC"/>
          </w:tcPr>
          <w:p>
            <w:pPr>
              <w:jc w:val="right"/>
              <w:ind w:right="94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2"/>
              </w:rPr>
              <w:t>(30,610)</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(255)</w:t>
            </w:r>
          </w:p>
        </w:tc>
      </w:tr>
      <w:tr>
        <w:trPr>
          <w:trHeight w:val="230"/>
        </w:trPr>
        <w:tc>
          <w:tcPr>
            <w:tcW w:w="626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 (loss) on investments, net of tax effect</w:t>
            </w:r>
          </w:p>
        </w:tc>
        <w:tc>
          <w:tcPr>
            <w:tcW w:w="1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FF0FC"/>
          </w:tcPr>
          <w:p>
            <w:pPr>
              <w:spacing w:after="0"/>
              <w:rPr>
                <w:sz w:val="19"/>
                <w:szCs w:val="19"/>
                <w:color w:val="auto"/>
              </w:rPr>
            </w:pPr>
          </w:p>
        </w:tc>
      </w:tr>
      <w:tr>
        <w:trPr>
          <w:trHeight w:val="230"/>
        </w:trPr>
        <w:tc>
          <w:tcPr>
            <w:tcW w:w="6260" w:type="dxa"/>
            <w:vAlign w:val="bottom"/>
          </w:tcPr>
          <w:p>
            <w:pPr>
              <w:ind w:left="500"/>
              <w:spacing w:after="0"/>
              <w:rPr>
                <w:sz w:val="20"/>
                <w:szCs w:val="20"/>
                <w:color w:val="auto"/>
              </w:rPr>
            </w:pPr>
            <w:r>
              <w:rPr>
                <w:rFonts w:ascii="Arial" w:cs="Arial" w:eastAsia="Arial" w:hAnsi="Arial"/>
                <w:sz w:val="18"/>
                <w:szCs w:val="18"/>
                <w:color w:val="auto"/>
              </w:rPr>
              <w:t>Reclassification from accumulated other comprehensive loss</w:t>
            </w: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r>
      <w:tr>
        <w:trPr>
          <w:trHeight w:val="209"/>
        </w:trPr>
        <w:tc>
          <w:tcPr>
            <w:tcW w:w="62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change in unrealized gain on available-for-sale</w:t>
            </w:r>
          </w:p>
        </w:tc>
        <w:tc>
          <w:tcPr>
            <w:tcW w:w="13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6260" w:type="dxa"/>
            <w:vAlign w:val="bottom"/>
            <w:shd w:val="clear" w:color="auto" w:fill="CFF0FC"/>
          </w:tcPr>
          <w:p>
            <w:pPr>
              <w:ind w:left="880"/>
              <w:spacing w:after="0"/>
              <w:rPr>
                <w:sz w:val="20"/>
                <w:szCs w:val="20"/>
                <w:color w:val="auto"/>
              </w:rPr>
            </w:pPr>
            <w:r>
              <w:rPr>
                <w:rFonts w:ascii="Arial" w:cs="Arial" w:eastAsia="Arial" w:hAnsi="Arial"/>
                <w:sz w:val="18"/>
                <w:szCs w:val="18"/>
                <w:color w:val="auto"/>
              </w:rPr>
              <w:t>investments</w:t>
            </w:r>
          </w:p>
        </w:tc>
        <w:tc>
          <w:tcPr>
            <w:tcW w:w="13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FF0FC"/>
          </w:tcPr>
          <w:p>
            <w:pPr>
              <w:spacing w:after="0"/>
              <w:rPr>
                <w:sz w:val="20"/>
                <w:szCs w:val="20"/>
                <w:color w:val="auto"/>
              </w:rPr>
            </w:pPr>
          </w:p>
        </w:tc>
      </w:tr>
      <w:tr>
        <w:trPr>
          <w:trHeight w:val="223"/>
        </w:trPr>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loss, net of taxes</w:t>
            </w:r>
          </w:p>
        </w:tc>
        <w:tc>
          <w:tcPr>
            <w:tcW w:w="138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FF0FC"/>
            </w:tcBorders>
          </w:tcPr>
          <w:p>
            <w:pPr>
              <w:spacing w:after="0"/>
              <w:rPr>
                <w:sz w:val="19"/>
                <w:szCs w:val="19"/>
                <w:color w:val="auto"/>
              </w:rPr>
            </w:pPr>
          </w:p>
        </w:tc>
      </w:tr>
      <w:tr>
        <w:trPr>
          <w:trHeight w:val="223"/>
        </w:trPr>
        <w:tc>
          <w:tcPr>
            <w:tcW w:w="6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13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(41,973)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(30,670)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380" w:type="dxa"/>
            <w:vAlign w:val="bottom"/>
            <w:tcBorders>
              <w:bottom w:val="single" w:sz="8" w:color="auto"/>
            </w:tcBorders>
            <w:gridSpan w:val="4"/>
          </w:tcPr>
          <w:p>
            <w:pPr>
              <w:jc w:val="right"/>
              <w:ind w:right="326"/>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Borders>
              <w:bottom w:val="single" w:sz="8" w:color="auto"/>
            </w:tcBorders>
          </w:tcPr>
          <w:p>
            <w:pPr>
              <w:jc w:val="right"/>
              <w:ind w:right="86"/>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(Note 1)</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1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460" w:type="dxa"/>
            <w:vAlign w:val="bottom"/>
            <w:gridSpan w:val="2"/>
          </w:tcPr>
          <w:p>
            <w:pPr>
              <w:jc w:val="right"/>
              <w:ind w:right="1027"/>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(41,396)</w:t>
            </w:r>
          </w:p>
        </w:tc>
        <w:tc>
          <w:tcPr>
            <w:tcW w:w="1240" w:type="dxa"/>
            <w:vAlign w:val="bottom"/>
          </w:tcPr>
          <w:p>
            <w:pPr>
              <w:jc w:val="right"/>
              <w:ind w:right="108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(30,610)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1,519</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premium on investments</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Unrealized loss (gain) on short-term investments</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(165)</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Gain on disposal of property and equipment</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10,878</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Realized gain on sales of available-for-sale securities</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6020" w:type="dxa"/>
            <w:vAlign w:val="bottom"/>
            <w:gridSpan w:val="2"/>
          </w:tcPr>
          <w:p>
            <w:pPr>
              <w:spacing w:after="0"/>
              <w:rPr>
                <w:sz w:val="20"/>
                <w:szCs w:val="20"/>
                <w:color w:val="auto"/>
              </w:rPr>
            </w:pPr>
            <w:r>
              <w:rPr>
                <w:rFonts w:ascii="Arial" w:cs="Arial" w:eastAsia="Arial" w:hAnsi="Arial"/>
                <w:sz w:val="16"/>
                <w:szCs w:val="16"/>
                <w:color w:val="auto"/>
              </w:rPr>
              <w:t>Changes in operating assets and liabilities:</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(1,523)</w:t>
            </w: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1,380</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(2,943)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assets</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(364)</w:t>
            </w:r>
          </w:p>
        </w:tc>
        <w:tc>
          <w:tcPr>
            <w:tcW w:w="1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(1,960)</w:t>
            </w:r>
          </w:p>
        </w:tc>
        <w:tc>
          <w:tcPr>
            <w:tcW w:w="1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(3,273)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liabilities</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(1,066)</w:t>
            </w:r>
          </w:p>
        </w:tc>
        <w:tc>
          <w:tcPr>
            <w:tcW w:w="1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(5)</w:t>
            </w:r>
          </w:p>
        </w:tc>
        <w:tc>
          <w:tcPr>
            <w:tcW w:w="1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Lease financing liability</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Other long-term liabilities</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448</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shd w:val="clear" w:color="auto" w:fill="CFF0FC"/>
          </w:tcPr>
          <w:p>
            <w:pPr>
              <w:ind w:left="480"/>
              <w:spacing w:after="0"/>
              <w:rPr>
                <w:sz w:val="20"/>
                <w:szCs w:val="20"/>
                <w:color w:val="auto"/>
              </w:rPr>
            </w:pPr>
            <w:r>
              <w:rPr>
                <w:rFonts w:ascii="Arial" w:cs="Arial" w:eastAsia="Arial" w:hAnsi="Arial"/>
                <w:sz w:val="16"/>
                <w:szCs w:val="16"/>
                <w:color w:val="auto"/>
              </w:rPr>
              <w:t>Net cash used in operating activities</w:t>
            </w:r>
          </w:p>
        </w:tc>
        <w:tc>
          <w:tcPr>
            <w:tcW w:w="12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vMerge w:val="continue"/>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(31,963)</w:t>
            </w:r>
          </w:p>
        </w:tc>
        <w:tc>
          <w:tcPr>
            <w:tcW w:w="12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(27,135)</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1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20" w:type="dxa"/>
            <w:vAlign w:val="bottom"/>
            <w:gridSpan w:val="2"/>
          </w:tcPr>
          <w:p>
            <w:pPr>
              <w:spacing w:after="0"/>
              <w:rPr>
                <w:sz w:val="20"/>
                <w:szCs w:val="20"/>
                <w:color w:val="auto"/>
              </w:rPr>
            </w:pPr>
            <w:r>
              <w:rPr>
                <w:rFonts w:ascii="Arial" w:cs="Arial" w:eastAsia="Arial" w:hAnsi="Arial"/>
                <w:sz w:val="16"/>
                <w:szCs w:val="16"/>
                <w:color w:val="auto"/>
              </w:rPr>
              <w:t>Purchases of property and equipment</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(1,837)</w:t>
            </w:r>
          </w:p>
        </w:tc>
        <w:tc>
          <w:tcPr>
            <w:tcW w:w="1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of property and equipment</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20" w:type="dxa"/>
            <w:vAlign w:val="bottom"/>
            <w:gridSpan w:val="2"/>
          </w:tcPr>
          <w:p>
            <w:pPr>
              <w:spacing w:after="0"/>
              <w:rPr>
                <w:sz w:val="20"/>
                <w:szCs w:val="20"/>
                <w:color w:val="auto"/>
              </w:rPr>
            </w:pPr>
            <w:r>
              <w:rPr>
                <w:rFonts w:ascii="Arial" w:cs="Arial" w:eastAsia="Arial" w:hAnsi="Arial"/>
                <w:sz w:val="16"/>
                <w:szCs w:val="16"/>
                <w:color w:val="auto"/>
              </w:rPr>
              <w:t>Purchases of available-for-sale securities</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(44)</w:t>
            </w:r>
          </w:p>
        </w:tc>
        <w:tc>
          <w:tcPr>
            <w:tcW w:w="1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sales of available-for-sale securities</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20" w:type="dxa"/>
            <w:vAlign w:val="bottom"/>
            <w:gridSpan w:val="2"/>
          </w:tcPr>
          <w:p>
            <w:pPr>
              <w:spacing w:after="0"/>
              <w:rPr>
                <w:sz w:val="20"/>
                <w:szCs w:val="20"/>
                <w:color w:val="auto"/>
              </w:rPr>
            </w:pPr>
            <w:r>
              <w:rPr>
                <w:rFonts w:ascii="Arial" w:cs="Arial" w:eastAsia="Arial" w:hAnsi="Arial"/>
                <w:sz w:val="16"/>
                <w:szCs w:val="16"/>
                <w:color w:val="auto"/>
              </w:rPr>
              <w:t>Proceeds from maturities of available-for-sale securities</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17,180</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13,864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Net cash provided by investing activities</w:t>
            </w:r>
          </w:p>
        </w:tc>
        <w:tc>
          <w:tcPr>
            <w:tcW w:w="128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15,299</w:t>
            </w:r>
          </w:p>
        </w:tc>
        <w:tc>
          <w:tcPr>
            <w:tcW w:w="3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23,408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1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20" w:type="dxa"/>
            <w:vAlign w:val="bottom"/>
            <w:gridSpan w:val="2"/>
          </w:tcPr>
          <w:p>
            <w:pPr>
              <w:spacing w:after="0"/>
              <w:rPr>
                <w:sz w:val="20"/>
                <w:szCs w:val="20"/>
                <w:color w:val="auto"/>
              </w:rPr>
            </w:pPr>
            <w:r>
              <w:rPr>
                <w:rFonts w:ascii="Arial" w:cs="Arial" w:eastAsia="Arial" w:hAnsi="Arial"/>
                <w:sz w:val="16"/>
                <w:szCs w:val="16"/>
                <w:color w:val="auto"/>
              </w:rPr>
              <w:t>Repayments of lease liability</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(101)</w:t>
            </w:r>
          </w:p>
        </w:tc>
        <w:tc>
          <w:tcPr>
            <w:tcW w:w="1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Cash paid for payroll taxes on restricted stock unit releases</w:t>
            </w:r>
          </w:p>
        </w:tc>
        <w:tc>
          <w:tcPr>
            <w:tcW w:w="1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(6,813)</w:t>
            </w:r>
          </w:p>
        </w:tc>
        <w:tc>
          <w:tcPr>
            <w:tcW w:w="1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(2,424)</w:t>
            </w:r>
          </w:p>
        </w:tc>
        <w:tc>
          <w:tcPr>
            <w:tcW w:w="0" w:type="dxa"/>
            <w:vAlign w:val="bottom"/>
          </w:tcPr>
          <w:p>
            <w:pPr>
              <w:spacing w:after="0"/>
              <w:rPr>
                <w:sz w:val="1"/>
                <w:szCs w:val="1"/>
                <w:color w:val="auto"/>
              </w:rPr>
            </w:pPr>
          </w:p>
        </w:tc>
      </w:tr>
      <w:tr>
        <w:trPr>
          <w:trHeight w:val="213"/>
        </w:trPr>
        <w:tc>
          <w:tcPr>
            <w:tcW w:w="6020" w:type="dxa"/>
            <w:vAlign w:val="bottom"/>
            <w:gridSpan w:val="2"/>
          </w:tcPr>
          <w:p>
            <w:pPr>
              <w:spacing w:after="0"/>
              <w:rPr>
                <w:sz w:val="20"/>
                <w:szCs w:val="20"/>
                <w:color w:val="auto"/>
              </w:rPr>
            </w:pPr>
            <w:r>
              <w:rPr>
                <w:rFonts w:ascii="Arial" w:cs="Arial" w:eastAsia="Arial" w:hAnsi="Arial"/>
                <w:sz w:val="16"/>
                <w:szCs w:val="16"/>
                <w:color w:val="auto"/>
              </w:rPr>
              <w:t>Proceeds from issuance of common stock</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8,959</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Net cash provided by financing activities</w:t>
            </w:r>
          </w:p>
        </w:tc>
        <w:tc>
          <w:tcPr>
            <w:tcW w:w="128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2,045</w:t>
            </w:r>
          </w:p>
        </w:tc>
        <w:tc>
          <w:tcPr>
            <w:tcW w:w="3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20" w:type="dxa"/>
            <w:vAlign w:val="bottom"/>
            <w:gridSpan w:val="2"/>
          </w:tcPr>
          <w:p>
            <w:pPr>
              <w:spacing w:after="0"/>
              <w:rPr>
                <w:sz w:val="20"/>
                <w:szCs w:val="20"/>
                <w:color w:val="auto"/>
              </w:rPr>
            </w:pPr>
            <w:r>
              <w:rPr>
                <w:rFonts w:ascii="Arial" w:cs="Arial" w:eastAsia="Arial" w:hAnsi="Arial"/>
                <w:sz w:val="16"/>
                <w:szCs w:val="16"/>
                <w:color w:val="auto"/>
              </w:rPr>
              <w:t>Effect of exchange rate change on cash and cash equivalents</w:t>
            </w: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(32)</w:t>
            </w:r>
          </w:p>
        </w:tc>
        <w:tc>
          <w:tcPr>
            <w:tcW w:w="12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decrease in cash and cash equivalents</w:t>
            </w:r>
          </w:p>
        </w:tc>
        <w:tc>
          <w:tcPr>
            <w:tcW w:w="12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vMerge w:val="continue"/>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(14,651)</w:t>
            </w:r>
          </w:p>
        </w:tc>
        <w:tc>
          <w:tcPr>
            <w:tcW w:w="12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(3,184)</w:t>
            </w:r>
          </w:p>
        </w:tc>
        <w:tc>
          <w:tcPr>
            <w:tcW w:w="0" w:type="dxa"/>
            <w:vAlign w:val="bottom"/>
          </w:tcPr>
          <w:p>
            <w:pPr>
              <w:spacing w:after="0"/>
              <w:rPr>
                <w:sz w:val="1"/>
                <w:szCs w:val="1"/>
                <w:color w:val="auto"/>
              </w:rPr>
            </w:pPr>
          </w:p>
        </w:tc>
      </w:tr>
      <w:tr>
        <w:trPr>
          <w:trHeight w:val="213"/>
        </w:trPr>
        <w:tc>
          <w:tcPr>
            <w:tcW w:w="6020" w:type="dxa"/>
            <w:vAlign w:val="bottom"/>
            <w:gridSpan w:val="2"/>
          </w:tcPr>
          <w:p>
            <w:pPr>
              <w:spacing w:after="0"/>
              <w:rPr>
                <w:sz w:val="20"/>
                <w:szCs w:val="20"/>
                <w:color w:val="auto"/>
              </w:rPr>
            </w:pPr>
            <w:r>
              <w:rPr>
                <w:rFonts w:ascii="Arial" w:cs="Arial" w:eastAsia="Arial" w:hAnsi="Arial"/>
                <w:sz w:val="16"/>
                <w:szCs w:val="16"/>
                <w:color w:val="auto"/>
              </w:rPr>
              <w:t>Total cash and cash equivalents at beginning of period</w:t>
            </w: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673,658</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173,782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cash and cash equivalents at end of period</w:t>
            </w:r>
          </w:p>
        </w:tc>
        <w:tc>
          <w:tcPr>
            <w:tcW w:w="1280" w:type="dxa"/>
            <w:vAlign w:val="bottom"/>
            <w:tcBorders>
              <w:top w:val="single" w:sz="8" w:color="CFF0FC"/>
              <w:bottom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ind w:right="10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659,007</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ind w:right="108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170,598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8520" w:firstLine="8"/>
        <w:spacing w:after="0" w:line="400" w:lineRule="auto"/>
        <w:tabs>
          <w:tab w:leader="none" w:pos="513"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Description of Operations</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FibroGen, Inc. (“FibroGen” or the “Company”) was incorporated in 1993 in Delaware and is a research-based biopharmaceutical company focused on the discovery, development and commercialization of novel therapeutics agents to treat serious unmet medical needs. The Company’s focus in the areas of fibrosis and hypoxia-inducible factor (“HIF”) biology has generated multiple programs targeting various therapeutic areas. The Company’s most advanced product candidate, roxadustat, or FG-4592, is an oral small molecule inhibitor of HIF prolyl hydroxylases (“HIF-PHs”) in Phase 3 clinical development for the treatment of anemia in chronic kidney disease (“CKD”) and myelodysplastic syndromes (“MDS”). Pamrevlumab, or FG-3019, is the Company’s monoclonal antibody in Phase 2 clinical development for the treatment of idiopathic pulmonary fibrosis (“IPF”), pancreatic cancer and Duchenne muscular dystrophy (“DMD”). The Company is taking a global approach with respect to the development and future commercialization of its product candidates, and this includes development and commercialization in the People’s Republic of China (“China”). The Company is capitalizing on its extensive experience in fibrosis and HIF biology and clinical development to advance a pipeline of innovative medicines for the treatment of anemia, fibrotic disease cancer, corneal blindness and other serious unmet medical needs.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condensed consolidated financial statements include the accounts of FibroGen, its wholly owned subsidiaries and its majority-owned subsidiaries, FibroGen Europe Oy and FibroGen China Anemia Holdings, Ltd. (“FibroGen China”). All inter-company transactions and balances have been eliminated in consolidation. The Company operates in one segment — the discovery, development and commercialization of novel therapeutics to treat serious unmet medical needs.</w:t>
      </w:r>
    </w:p>
    <w:p>
      <w:pPr>
        <w:spacing w:after="0" w:line="1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unaudited condensed consolidated financial statements and related disclosures have been prepared in accordance with accounting principles generally accepted in the United States of America (“U.S. GAAP”) applicable to interim financial reporting and with the instructions to Form 10-Q and Rule 10-01 of Regulation S-X of the United States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filed with the SEC for the year ended December 31, 2017 (“2017 Form 10-K”).</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accounting policies used by the Company in its presentation of interim financial results are consistent with those presented in Note 2 to the consolidated financial statements included in the 2017 Form 10-K, except for the following: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revenues to date have been generated from its collaboration agreements.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Company’s collaboration agreements include multiple performance obligations comprised of promised services, or bundles of services, that are distinct. Services that are not distinct are combined with other services in the agreement until they form a distinct bundle of services. The Company’s process for identifying performance obligations and an enumeration of each obligation for each agreement is outlined in Note 2 “Collaboration Agreements.” Determining the performance obligations within a collaboration agreement often involves significant judgment and is specific to the facts and circumstances contained in each agreement.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identified the following material promises under its collaboration agreements: (1) license of FibroGen technology, (2) the performance of co-development services, including manufacturing of clinical supplies and other services during the development period, and (3) manufacture of commercial supply. The evaluation as to whether these promises are distinct, and therefore represent separate performance obligations, is described in more details in Note 2 “Collaboration Agreements.”</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 revenue recognition purposes, the Company determines that the term of its collaboration agreements begin on the effective date and ends upon the completion of all performance obligations contained in the agreements. In each agreement, the contract term is defined as the period in which parties to the contract have present and enforceable rights and obligations. The Company believes that the existence of what it considers to be substantive termination penalties on the part of the counterparty create sufficient incentive for the counterparty to avoid exercising its right to terminate the agreement unless in exceptionally rare situations.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transaction price for each collaboration agreement is determined based on the amount of consideration the Company expects to be entitled for satisfying all performance obligations within the agreement. The Company’s collaboration agreements include payments to the Company of one or more of the following: non-refundable upfront license fees; co-development billings; development, regulatory, and commercial milestone payments; and royalties on net sales of licensed products.</w:t>
      </w:r>
    </w:p>
    <w:p>
      <w:pPr>
        <w:spacing w:after="0" w:line="187"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Upfront license fees are non-contingent and non-refundable in nature and are included in the transaction price at the point when the license fees become due to the Company.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4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Co-development billings resulting from the Company’s research and development efforts, which are reimbursable under its collaboration agreements, are considered variable consideration. Determining the amount of variable consideration from co-development billings requires the Company to make estimates of future research and development efforts, which involves significant judgment. Co-development billings are allocated entirely to the co-development services performance obligation when amounts are related specifically to research and development efforts necessary to satisfy the performance obligation, and such an allocation is consistent with the allocation objective.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Milestone payments are also considered variable consideration, which requires the Company to make estimates of when achievement of a particular milestone becomes probable. Similar to other forms of variable consideration, milestone payments are included in the transaction price when it becomes probable that such inclusion would not result in a significant revenue reversal. Milestone payments are therefore included in the transaction price when achievement of the milestone becomes probable.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arrangements that include sales-based royalties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its collaboration arrangements.</w:t>
      </w:r>
    </w:p>
    <w:p>
      <w:pPr>
        <w:spacing w:after="0" w:line="18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transaction price is allocated to performance obligations based on their relative standalone selling price (“SSP”), with the exception of co-development billings allocated entirely to co-development services performance obligations. The SSP is determined based on observable prices at which the Company separately sells the products and services. If an SSP is not directly observable, then the Company will estimate the SSP considering marketing conditions, entity-specific factors, and information about the customer or class of customer that is reasonably available. The process for determining SSP involves significant judgment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Significant judgment may be required in determining whether a performance obligation is distinct, determining the amount of variable consideration to be included in the transaction price, and estimating the SSP of each performance obligation. An enumeration of the Company’s significant judgments is outlined in Note 2 “Collaboration Agreements.”</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 each performance obligation identified within an arrangement, the Company determines the period over which the promised services are transferred and the performance obligation is satisfied. Service revenue is recognized over time based on progress toward complete satisfaction of the performance obligation. The Company uses an input method to measure progress toward the satisfaction of co-development services and certain other related performance obligations, which is based on costs of labor hours or full time equivalents and out-of-pocket expenses incurred relative to total expected costs to be incurred. The Company believes this measure of progress provides a faithful depiction of the transfer of services because other measures do not measure as accurately how the Company transfers its performance obligations to its collaboration partners.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Company’s investments consist of available-for-sale debt investments and marketable equity investments. Those investments with maturities less than 12 months are considered short-term investments. Those investments with maturities greater than 12 months are considered long-term investments. The Company’s investments classified as available-for-sale are recorded at fair value based upon quoted market prices at period end. Unrealized gains and losses for available-for-sale debt investments that are deemed temporary in nature are recorded in accumulated other comprehensive income (loss) as a separate component of stockholder’ equity. Marketable equity securities are equity securities with readily determinable fair value, and are measured and recorded at fair value. Realized and unrealized gains or losses resulting from changes in value and sale of the Company’s marketable equity investments are recorded in other income (expenses) in the consolidated statement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decline in the fair value of any security below cost that is deemed other than temporary results in a charge to earnings and the corresponding establishment of a new cost basis for the security. Premiums and discounts are amortized (accreted) over the life of the related security as an adjustment to its yield. Dividend and interest income are recognized when earned. Realized gains and losses are included in earnings and are derived using the specific identification method for determining the cost of investments sold.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estimates of accruals related to clinical trial costs, valuation allowances for deferred tax assets, and valuation and recognition of stock-based compensation.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Revenue Standards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(“ASU 2014-09”), which supersedes the revenue recognition requirements in Accounting Standards Codification (“ASC”) 605,</w:t>
      </w:r>
      <w:r>
        <w:rPr>
          <w:rFonts w:ascii="Arial" w:cs="Arial" w:eastAsia="Arial" w:hAnsi="Arial"/>
          <w:sz w:val="17"/>
          <w:szCs w:val="17"/>
          <w:i w:val="1"/>
          <w:iCs w:val="1"/>
          <w:color w:val="auto"/>
        </w:rPr>
        <w:t xml:space="preserve"> Revenue Recognition</w:t>
      </w:r>
      <w:r>
        <w:rPr>
          <w:rFonts w:ascii="Arial" w:cs="Arial" w:eastAsia="Arial" w:hAnsi="Arial"/>
          <w:sz w:val="17"/>
          <w:szCs w:val="17"/>
          <w:color w:val="auto"/>
        </w:rPr>
        <w:t>. ASU 2014-09 is based on the principle that revenue is recognized to depict the transfer of goods or services to customers in an amount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Subsequently, the FASB has issued the following standards related to ASU 2014-09: ASU No. 2016-08, </w:t>
      </w:r>
      <w:r>
        <w:rPr>
          <w:rFonts w:ascii="Arial" w:cs="Arial" w:eastAsia="Arial" w:hAnsi="Arial"/>
          <w:sz w:val="17"/>
          <w:szCs w:val="17"/>
          <w:i w:val="1"/>
          <w:iCs w:val="1"/>
          <w:color w:val="auto"/>
        </w:rPr>
        <w:t>Revenue from Contracts with Customers (Topic 606): Principal versus Agent Considerations</w:t>
      </w:r>
      <w:r>
        <w:rPr>
          <w:rFonts w:ascii="Arial" w:cs="Arial" w:eastAsia="Arial" w:hAnsi="Arial"/>
          <w:sz w:val="17"/>
          <w:szCs w:val="17"/>
          <w:color w:val="auto"/>
        </w:rPr>
        <w:t xml:space="preserve">; ASU No. 2016-10, </w:t>
      </w:r>
      <w:r>
        <w:rPr>
          <w:rFonts w:ascii="Arial" w:cs="Arial" w:eastAsia="Arial" w:hAnsi="Arial"/>
          <w:sz w:val="17"/>
          <w:szCs w:val="17"/>
          <w:i w:val="1"/>
          <w:iCs w:val="1"/>
          <w:color w:val="auto"/>
        </w:rPr>
        <w:t>Revenue from Contracts with Customers (Topic 606): Identifying Performance Obligations and Licensing</w:t>
      </w:r>
      <w:r>
        <w:rPr>
          <w:rFonts w:ascii="Arial" w:cs="Arial" w:eastAsia="Arial" w:hAnsi="Arial"/>
          <w:sz w:val="17"/>
          <w:szCs w:val="17"/>
          <w:color w:val="auto"/>
        </w:rPr>
        <w:t>; ASU No. 2016-12,</w:t>
      </w:r>
      <w:r>
        <w:rPr>
          <w:rFonts w:ascii="Arial" w:cs="Arial" w:eastAsia="Arial" w:hAnsi="Arial"/>
          <w:sz w:val="17"/>
          <w:szCs w:val="17"/>
          <w:i w:val="1"/>
          <w:iCs w:val="1"/>
          <w:color w:val="auto"/>
        </w:rPr>
        <w:t xml:space="preserve"> Revenue from Contracts with Customers (Topic 606): Narrow-Scope Improvements and Practical Expedients</w:t>
      </w:r>
      <w:r>
        <w:rPr>
          <w:rFonts w:ascii="Arial" w:cs="Arial" w:eastAsia="Arial" w:hAnsi="Arial"/>
          <w:sz w:val="17"/>
          <w:szCs w:val="17"/>
          <w:color w:val="auto"/>
        </w:rPr>
        <w:t>; and ASU No. 2016-20,</w:t>
      </w:r>
      <w:r>
        <w:rPr>
          <w:rFonts w:ascii="Arial" w:cs="Arial" w:eastAsia="Arial" w:hAnsi="Arial"/>
          <w:sz w:val="17"/>
          <w:szCs w:val="17"/>
          <w:i w:val="1"/>
          <w:iCs w:val="1"/>
          <w:color w:val="auto"/>
        </w:rPr>
        <w:t xml:space="preserve"> Technical Corrections and Improvements to Topic 606, Revenue from Contracts with Customers </w:t>
      </w:r>
      <w:r>
        <w:rPr>
          <w:rFonts w:ascii="Arial" w:cs="Arial" w:eastAsia="Arial" w:hAnsi="Arial"/>
          <w:sz w:val="17"/>
          <w:szCs w:val="17"/>
          <w:color w:val="auto"/>
        </w:rPr>
        <w:t>(collectively, the “new revenue standards”).</w:t>
      </w:r>
    </w:p>
    <w:p>
      <w:pPr>
        <w:spacing w:after="0" w:line="17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Under ASC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adopted the new revenue standards as of January 1, 2018 using the full retrospective method, which required the Company to recast the prior reporting period presented in the condensed consolidated financial statements. The primary impact upon adoption of the new revenue standards relates to the manner in which revenue is recognized for co-development billings and milestone payments under the Company’s collaboration arrangements. Under the new revenue standards, both of these elements of consideration are considered variable consideration which requires the Company to make estimates of when co-development billings become due or when achievement of a particular milestone becomes probable. Payments are included in the transaction price when it becomes probable that inclusion would not lead to a significant revenue reversal.</w:t>
      </w:r>
    </w:p>
    <w:p>
      <w:pPr>
        <w:spacing w:after="0" w:line="178"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The Company has recast its condensed consolidated statement of operations and condensed balance sheet from amounts previously reported due to the adoption of the new revenue standards. The adoption of the new revenue standards had no impact to the Company’s previously reported condensed consolidated statement of cash flows.</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Select line items from the Company’s condensed consolidated statement of operations and condensed balance sheet, which reflect the adoption of the new revenue standards are as follows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Three Months Ended March 31, 2017</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w w:val="93"/>
              </w:rPr>
              <w:t>As Previously Reported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1"/>
              </w:rPr>
              <w:t>New Revenue Standards</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As Recast</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Adjustment</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Statement of Operations</w:t>
            </w:r>
          </w:p>
        </w:tc>
        <w:tc>
          <w:tcPr>
            <w:tcW w:w="7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License revenue</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19,581</w:t>
            </w:r>
          </w:p>
        </w:tc>
        <w:tc>
          <w:tcPr>
            <w:tcW w:w="14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(19,581)</w:t>
            </w: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Development and other revenue</w:t>
            </w:r>
          </w:p>
        </w:tc>
        <w:tc>
          <w:tcPr>
            <w:tcW w:w="7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22,132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26,891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2,551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(33,161)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(30,610)</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8"/>
              <w:spacing w:after="0"/>
              <w:rPr>
                <w:sz w:val="20"/>
                <w:szCs w:val="20"/>
                <w:color w:val="auto"/>
              </w:rPr>
            </w:pPr>
            <w:r>
              <w:rPr>
                <w:rFonts w:ascii="Arial" w:cs="Arial" w:eastAsia="Arial" w:hAnsi="Arial"/>
                <w:sz w:val="18"/>
                <w:szCs w:val="18"/>
                <w:color w:val="auto"/>
              </w:rPr>
              <w:t>(0.52)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20"/>
                <w:szCs w:val="20"/>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458"/>
        </w:trPr>
        <w:tc>
          <w:tcPr>
            <w:tcW w:w="3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w w:val="93"/>
              </w:rPr>
              <w:t>As Previously Reported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1"/>
              </w:rPr>
              <w:t>New Revenue Standards</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As Recast</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Adjustment</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7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Deferred revenue, current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7,968</w:t>
            </w:r>
          </w:p>
        </w:tc>
        <w:tc>
          <w:tcPr>
            <w:tcW w:w="14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8,702</w:t>
            </w:r>
          </w:p>
        </w:tc>
        <w:tc>
          <w:tcPr>
            <w:tcW w:w="240" w:type="dxa"/>
            <w:vAlign w:val="bottom"/>
          </w:tcPr>
          <w:p>
            <w:pPr>
              <w:spacing w:after="0"/>
              <w:rPr>
                <w:sz w:val="19"/>
                <w:szCs w:val="19"/>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16,670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w:t>
            </w: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112,231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Accumulated deficit</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28"/>
              <w:spacing w:after="0"/>
              <w:rPr>
                <w:sz w:val="20"/>
                <w:szCs w:val="20"/>
                <w:color w:val="auto"/>
              </w:rPr>
            </w:pPr>
            <w:r>
              <w:rPr>
                <w:rFonts w:ascii="Arial" w:cs="Arial" w:eastAsia="Arial" w:hAnsi="Arial"/>
                <w:sz w:val="18"/>
                <w:szCs w:val="18"/>
                <w:color w:val="auto"/>
              </w:rPr>
              <w:t>(595,945)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(34,712)</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(630,657)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adoption of the new revenue standards resulted in an increase in revenue of $5.3 million and $3.6 million for the years ended December 31, 2017 and 2016, respectively, and an increase in the opening accumulative deficit of $43.7 million as of January 1,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2016-01</w:t>
      </w:r>
    </w:p>
    <w:p>
      <w:pPr>
        <w:spacing w:after="0" w:line="11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w:t>
      </w:r>
      <w:r>
        <w:rPr>
          <w:rFonts w:ascii="Arial" w:cs="Arial" w:eastAsia="Arial" w:hAnsi="Arial"/>
          <w:sz w:val="18"/>
          <w:szCs w:val="18"/>
          <w:color w:val="auto"/>
        </w:rPr>
        <w:t>. This guidance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was effective for the annual reporting period beginning after December 15, 2017 and interim periods within those annual periods. The Company adopted this guidance as of January 1, 2018 using the modified retrospective approach. The impacts to the Company’s accumulated other comprehensive loss and accumulated deficit upon adoption of this guidance are as follows (in thousands):</w:t>
      </w:r>
    </w:p>
    <w:tbl>
      <w:tblPr>
        <w:tblLayout w:type="fixed"/>
        <w:tblInd w:w="11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82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w w:val="99"/>
              </w:rPr>
              <w:t>Accumulated Deficit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Comprehensive Loss</w:t>
            </w:r>
          </w:p>
        </w:tc>
        <w:tc>
          <w:tcPr>
            <w:tcW w:w="16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2017</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FF0FC"/>
          </w:tcPr>
          <w:p>
            <w:pPr>
              <w:ind w:left="1160"/>
              <w:spacing w:after="0"/>
              <w:rPr>
                <w:sz w:val="20"/>
                <w:szCs w:val="20"/>
                <w:color w:val="auto"/>
              </w:rPr>
            </w:pPr>
            <w:r>
              <w:rPr>
                <w:rFonts w:ascii="Arial" w:cs="Arial" w:eastAsia="Arial" w:hAnsi="Arial"/>
                <w:sz w:val="18"/>
                <w:szCs w:val="18"/>
                <w:color w:val="auto"/>
                <w:w w:val="80"/>
              </w:rPr>
              <w:t>(1,795)</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(630,657)</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Impact of change in accounting principle</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upon adoption of ASU 2016-01</w:t>
            </w:r>
          </w:p>
        </w:tc>
        <w:tc>
          <w:tcPr>
            <w:tcW w:w="180" w:type="dxa"/>
            <w:vAlign w:val="bottom"/>
          </w:tcPr>
          <w:p>
            <w:pPr>
              <w:spacing w:after="0"/>
              <w:rPr>
                <w:sz w:val="20"/>
                <w:szCs w:val="20"/>
                <w:color w:val="auto"/>
              </w:rPr>
            </w:pPr>
          </w:p>
        </w:tc>
        <w:tc>
          <w:tcPr>
            <w:tcW w:w="1900" w:type="dxa"/>
            <w:vAlign w:val="bottom"/>
            <w:gridSpan w:val="2"/>
          </w:tcPr>
          <w:p>
            <w:pPr>
              <w:ind w:left="1160"/>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Opening balance as of January 1, 2018</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FF0FC"/>
          </w:tcPr>
          <w:p>
            <w:pPr>
              <w:ind w:left="1160"/>
              <w:spacing w:after="0"/>
              <w:rPr>
                <w:sz w:val="20"/>
                <w:szCs w:val="20"/>
                <w:color w:val="auto"/>
              </w:rPr>
            </w:pPr>
            <w:r>
              <w:rPr>
                <w:rFonts w:ascii="Arial" w:cs="Arial" w:eastAsia="Arial" w:hAnsi="Arial"/>
                <w:sz w:val="18"/>
                <w:szCs w:val="18"/>
                <w:color w:val="auto"/>
                <w:w w:val="80"/>
              </w:rPr>
              <w:t>(3,045)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(629,407)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9690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adoption of this guidance had no impact to the Company’s condensed consolidated statement of operations or condensed consolidated statement of cash flows for the three months ended March 31,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2017-09</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This guidance provides guidance about which changes to the terms or conditions of a stock-based payment award require an entity to apply modification accounting in Topic 718. This guidance was effective for annual reporting period beginning after December 15, 2017, including interim periods. The Company adopted this guidance as of January 1, 2018, and the adoption of this guidance had no impact to the Company’s condensed consolidated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2016-16</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This guidance requires companies to recognize the income tax effects of intercompany sales or transfer of assets, other than inventory, in the income statement as income tax expense (or benefit) in the period the sale or transfer occurs. The exception to recognizing the income tax effects of intercompany sales or transfer sales or transfer of assets remains in place for intercompany inventory sales and transfers. This guidance was effective for annual reporting period beginning after December 15, 2017, including interim periods. The Company adopted this guidance as of January 1, 2018 using the modified retrospective method. The adoption of this guidance did not result in any recognition of previously unrecognized deferred charges using a modified retrospective method, thus had no impact to the Company’s condensed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Reclassification of Certain Tax effects from</w:t>
      </w:r>
      <w:r>
        <w:rPr>
          <w:rFonts w:ascii="Arial" w:cs="Arial" w:eastAsia="Arial" w:hAnsi="Arial"/>
          <w:sz w:val="18"/>
          <w:szCs w:val="18"/>
          <w:color w:val="auto"/>
        </w:rPr>
        <w:t xml:space="preserve"> </w:t>
      </w:r>
      <w:r>
        <w:rPr>
          <w:rFonts w:ascii="Arial" w:cs="Arial" w:eastAsia="Arial" w:hAnsi="Arial"/>
          <w:sz w:val="18"/>
          <w:szCs w:val="18"/>
          <w:i w:val="1"/>
          <w:iCs w:val="1"/>
          <w:color w:val="auto"/>
        </w:rPr>
        <w:t>Accumulated Other Comprehensive Income</w:t>
      </w:r>
      <w:r>
        <w:rPr>
          <w:rFonts w:ascii="Arial" w:cs="Arial" w:eastAsia="Arial" w:hAnsi="Arial"/>
          <w:sz w:val="18"/>
          <w:szCs w:val="18"/>
          <w:color w:val="auto"/>
        </w:rPr>
        <w:t>. This guidance allows for the reclassification from accumulated other comprehensive income to retained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stranded tax effects arising from the change in the reduction of the U.S. federal statutory income tax rate from 35% to 21%. This guidance is effective for annual reporting period beginning after December 15, 2018, including interim periods, with early adoption permitted. The Company will adopt this guidance on January 1, 2019 and does not anticipate a material reclassification between its accumulated other comprehensive loss and accumulated deficit upon adoption.</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The Company is currently evaluating the impact on its consolidated financial statements upon the adoption of this guidance.</w:t>
      </w:r>
    </w:p>
    <w:p>
      <w:pPr>
        <w:spacing w:after="0" w:line="17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the annual reporting period beginning after December 15, 2018, including interim periods within that reporting period, and requires a modified retrospective adoption, with early adoption permitted. The Company will adopt this guidance as of January 1, 2019 and is currently evaluating the related accounting, transition, disclosure requirements and the impact on its consolidated financial statements upon the adoption of this guidance.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right="8840" w:firstLine="8"/>
        <w:spacing w:after="0" w:line="425" w:lineRule="auto"/>
        <w:tabs>
          <w:tab w:leader="none" w:pos="513"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Astellas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 Agreement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June 2005, the Company entered into a collaboration agreement with Astellas Pharma Inc.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Under the Japan Agreement, the Company is also eligible to receive from Astellas an aggregate of approximately $132.5 million in potential milestone payments, comprised of (i) up to $22.5 million in milestone payments upon achievement of specified clinical and development milestone events, (ii) up to $95.0 million in milestone payments upon achievement of specified regulatory milestone events, and (iii) up to approximately $15.0 million in milestone payments upon the achievement of specified commercial sales milestone. A clinical milestone payment of $12.5 million was received in 2013. During the second quarter of 2016, Astellas initiated the first Phase 3 clinical study in Japan of roxadustat for treatment of anemia associated with chronic kidney disease in patients on dialysis, and the related $10.0 million milestone payment was received in early July 2016. The Company evaluated this milestone based on variable consideration requirements under the new revenue standards and concluded that the milestone was probable of being achieved in the first quarter of 2016. Accordingly, consideration associated with this milestone was included in the transaction price and allocated to performance obligations under the Japan Agreement in the same period.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Under the Europe Agreement, the Company is also eligible to receive from Astellas an aggregate of approximately $425.0 million in potential milestone payments, comprised of (i) up to $90.0 million in milestone payments upon achievement of specified clinical and development milestone events, (ii) up to $335.0 million in milestone payments upon achievement of specified regulatory milestone events. Clinical milestone payments of $40.0 million and</w:t>
      </w:r>
    </w:p>
    <w:p>
      <w:pPr>
        <w:spacing w:after="0" w:line="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$50.0 million were received in 2010 and 2012, respectively. Under the Europe Agreement, Astellas committed to fund 50% of joint development costs for Europe and North America, and all territory-specific costs. The Europe Agreement also provides for tiered payments based on net sales of product (as defined) in the low 20% range.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(“RoW”) Agreement</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Effective July 30, 2013, the Company entered into a collaboration agreement with AstraZeneca AB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paid upfront, non-contingent, non-refundable and time-based payments totaling $374.0 million, which were fully received in various amounts through June 2016. Under the U.S./RoW Agreement, the Company is also eligible to receive from AstraZeneca an aggregate of approximately $875.0 million in potential milestone payments, comprised of (i) up to $65.0 million in milestone payments upon achievement of specified clinical and development milestone events, (ii) up to $325.0 million in milestone payments upon achievement of specified regulatory milestone events, (iii) up to $160.0 million in milestone payments related to activity by potential competitors and (iv) up to approximately $325.0 million in milestone payments upon the achievement of specified commercial sales events. During 2015, the Company received a $15.0 million development milestone payment as a result of the finalization of its two audited pre-clinical carcinogenicity study reports. The Company evaluated this milestone based on variable consideration requirements under the new revenue standards and concluded that the milestone was probable of being achieved in the first quarter of 2015. Accordingly, consideration associated with this milestone was included in the transaction price and allocated to performance obligations under the Japan Agreement in the same period.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U.S./RoW Agreement, the Company and AstraZeneca shared equally in the development costs of roxadustat not already paid for by Astellas, up to a total of $233.0 million (i.e. the Company’s share of development costs is $116.5 million, which was reached during the fourth quarter of 2015). Development costs incurred by FibroGen during the development period in excess of the $233.0 million (aggregated spend) are fully reimbursed by AstraZeneca. AstraZeneca will pay the Company tiered royalty payments on AstraZeneca’s future net sales (as defined in the agreement) of roxadustat in the low 20% range. In addition, the Company will receive a transfer price for delivery of commercial product based on a percentage of AstraZeneca’s net sales (as defined in the agreement) in the low- to mid-single digit range.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paid upfront, non-contingent and non-refundable payments totaling $28.2 million, which were fully received in 2014. Under the China Agreement, the Company is also eligible to receive from AstraZeneca an aggregate of approximately $348.5 million in potential milestone payments, comprised of (i) up to $15.0 million in milestone payments upon achievement of specified clinical and development milestone events, (ii) up to $146.0 million in milestone payments upon achievement of specified regulatory milestone events, and (iii) up to approximately $187.5 million in milestone payments upon the achievement of specified commercial sales and other events. The China Agreement is structured as a 50/50 profit or loss share (as defined) and provides for joint development costs (including capital and equipment costs for construction of the manufacturing plant in China), to be shared equally during the development.</w:t>
      </w:r>
    </w:p>
    <w:p>
      <w:pPr>
        <w:spacing w:after="0" w:line="19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October 2017, the SDA accepted the Company’s submitted New Drug Application (“NDA”) for registration of roxadustat for anemia in dialysis-dependent CKD and non-dialysis-dependent CKD (“NDD-CKD”) patients. This NDA submission triggered a $15.0 million milestone payment to the Company by AstraZeneca. The Company evaluated this milestone based on variable consideration requirements under the new revenue standards and concluded that the milestone was probable of being achieved in the third quarter of 2017. Accordingly, consideration associated with this milestone was included in the transaction price and allocated to performance obligations under the China Agreement in the same period.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Astellas Agreements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each of the Astellas agreements, the Company has evaluated the promised services within the respective arrangements and has identified performance obligations representing those services and bundles of services that are distinct.</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Promised services that were not distinct have been combined with other promised services to form a distinct bundle of promised services, with revenue being recognized on the bundle of services rather than the individual services. There are no right-of-return provisions for the delivered items in the Astellas agreements.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March 31, 2018, the transaction price for the Japan Agreement included $40.1 million of non-contingent upfront payments, $22.5 million of variable consideration related to payments for milestones considered probable of being achieved, and $12.3 million of variable consideration related to co-development billings. The transaction price for the Europe Agreement included $320.0 million of non-contingent upfront payments, $90.0 million of variable consideration related to payments for milestones considered probable of being achieved, and $183.0 million of variable consideration related to co-development billings.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revenue recognition purposes, the Company determined that the term of each collaboration agreement with Astellas begins on the effective date and ends upon the completion of all performance obligations contained in the agreement. The contract term is defined as the period in which parties to the contract have present and enforceable rights and obligations. The Company believes that the requirement to continue funding development for a substantive period of time and loss of product rights, along with non-refundable upfront payments already remitted by Astellas, create significant disincentive for Astellas to exercise its right to terminate the agreements.</w:t>
      </w:r>
    </w:p>
    <w:p>
      <w:pPr>
        <w:spacing w:after="0" w:line="188"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For the Astellas agreements, the Company allocated the transaction price to the various performance obligations based on the relative SSP of each performance obligation, with the exception of co-development billings allocated entirely to co-development services performance obligations.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the technology license under the Japan Agreement and Europe Agreement, SSP was determined primarily by using the discounted cash flow (“DCF”) method, which aggregates the present value of future cash flows to determine the valuation as of the effective date of each of the agreements. The DCF method involves the following key steps: 1) the determination of cash flow forecasts and 2) the selection of a range of comparative risk-adjusted discount rates to apply against the cash flow forecasts. The discount rates selected were based on expectations of the total rate of return, the rate at which capital would be attracted to the Company and the level of risk inherent within the Company. The discounts applied in the DCF analysis ranged from 17.5% to 20.0%. The Company’s cash flow forecasts were derived from probability-adjusted revenue and expense projections by territory. Such projections included consideration of taxes and cash flow adjustments. The probability adjustments were made after considering the likelihood of technical success at various stages of clinical trials and regulatory approval phases. SSP also considered certain future royalty payments associated with commercial performance of the Company’s compounds, transfer prices and expected gross margins.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promised services that were analyzed, along with their general timing of satisfaction and recognition as revenue, are as follows:</w:t>
      </w:r>
    </w:p>
    <w:p>
      <w:pPr>
        <w:spacing w:after="0" w:line="117" w:lineRule="exact"/>
        <w:rPr>
          <w:sz w:val="20"/>
          <w:szCs w:val="20"/>
          <w:color w:val="auto"/>
        </w:rPr>
      </w:pPr>
    </w:p>
    <w:p>
      <w:pPr>
        <w:ind w:left="480" w:hanging="472"/>
        <w:spacing w:after="0" w:line="269" w:lineRule="auto"/>
        <w:tabs>
          <w:tab w:leader="none" w:pos="48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License to the Company’s technology existing at the effective date of the agreements. </w:t>
      </w:r>
      <w:r>
        <w:rPr>
          <w:rFonts w:ascii="Arial" w:cs="Arial" w:eastAsia="Arial" w:hAnsi="Arial"/>
          <w:sz w:val="17"/>
          <w:szCs w:val="17"/>
          <w:color w:val="auto"/>
        </w:rPr>
        <w:t>For both of the Astellas agreements, the license was delivered at</w:t>
      </w:r>
      <w:r>
        <w:rPr>
          <w:rFonts w:ascii="Arial" w:cs="Arial" w:eastAsia="Arial" w:hAnsi="Arial"/>
          <w:sz w:val="17"/>
          <w:szCs w:val="17"/>
          <w:i w:val="1"/>
          <w:iCs w:val="1"/>
          <w:color w:val="auto"/>
        </w:rPr>
        <w:t xml:space="preserve"> </w:t>
      </w:r>
      <w:r>
        <w:rPr>
          <w:rFonts w:ascii="Arial" w:cs="Arial" w:eastAsia="Arial" w:hAnsi="Arial"/>
          <w:sz w:val="17"/>
          <w:szCs w:val="17"/>
          <w:color w:val="auto"/>
        </w:rPr>
        <w:t>the beginning of the agreement term. In both cases, the Company concluded at the time of the agreement that its collaboration partner, Astellas, would have the knowledge and capabilities to fully exploit the licenses without the Company’s further involvement. However, the Japan Agreement has contractual limitations that might affect Astellas’ ability to fully exploit the license and therefore, potentially, the conclusion as to whether the license is capable of being distinct. In the Japan Agreement, Astellas does not have the right to manufacture commercial supplies of the drug. In order to determine whether this characteristic of the agreement should lead to a conclusion that the license was not distinct in the context of the agreement, the Company considered the ability of Astellas to benefit from the license together with other resources readily available to Astellas. Finally, the Company considered the fact that at the time of delivery of the license, the development services were beyond the preclinical development phase and any remaining development work in either agreement would not be expected to result in any significant modification or customization to the licensed technology. As such, the development services are separately identifiable from the licensed technology, indicating that the license is a distinct performance obligation.</w:t>
      </w:r>
    </w:p>
    <w:p>
      <w:pPr>
        <w:spacing w:after="0" w:line="182" w:lineRule="exact"/>
        <w:rPr>
          <w:rFonts w:ascii="Arial" w:cs="Arial" w:eastAsia="Arial" w:hAnsi="Arial"/>
          <w:sz w:val="17"/>
          <w:szCs w:val="17"/>
          <w:i w:val="1"/>
          <w:iCs w:val="1"/>
          <w:color w:val="auto"/>
        </w:rPr>
      </w:pPr>
    </w:p>
    <w:p>
      <w:pPr>
        <w:ind w:left="480" w:right="60"/>
        <w:spacing w:after="0" w:line="293" w:lineRule="auto"/>
        <w:rPr>
          <w:rFonts w:ascii="Arial" w:cs="Arial" w:eastAsia="Arial" w:hAnsi="Arial"/>
          <w:sz w:val="17"/>
          <w:szCs w:val="17"/>
          <w:i w:val="1"/>
          <w:iCs w:val="1"/>
          <w:color w:val="auto"/>
        </w:rPr>
      </w:pPr>
      <w:r>
        <w:rPr>
          <w:rFonts w:ascii="Arial" w:cs="Arial" w:eastAsia="Arial" w:hAnsi="Arial"/>
          <w:sz w:val="16"/>
          <w:szCs w:val="16"/>
          <w:i w:val="1"/>
          <w:iCs w:val="1"/>
          <w:color w:val="auto"/>
        </w:rPr>
        <w:t xml:space="preserve">Manufacturing rights. </w:t>
      </w:r>
      <w:r>
        <w:rPr>
          <w:rFonts w:ascii="Arial" w:cs="Arial" w:eastAsia="Arial" w:hAnsi="Arial"/>
          <w:sz w:val="16"/>
          <w:szCs w:val="16"/>
          <w:color w:val="auto"/>
        </w:rPr>
        <w:t>In the case of the Japan Agreement, the Company retained manufacturing rights largely because of the way the parties chose for</w:t>
      </w:r>
      <w:r>
        <w:rPr>
          <w:rFonts w:ascii="Arial" w:cs="Arial" w:eastAsia="Arial" w:hAnsi="Arial"/>
          <w:sz w:val="16"/>
          <w:szCs w:val="16"/>
          <w:i w:val="1"/>
          <w:iCs w:val="1"/>
          <w:color w:val="auto"/>
        </w:rPr>
        <w:t xml:space="preserve"> </w:t>
      </w:r>
      <w:r>
        <w:rPr>
          <w:rFonts w:ascii="Arial" w:cs="Arial" w:eastAsia="Arial" w:hAnsi="Arial"/>
          <w:sz w:val="16"/>
          <w:szCs w:val="16"/>
          <w:color w:val="auto"/>
        </w:rPr>
        <w:t>FibroGen to be compensated under the agreement. At the time the agreement was signed, the Company believed that it was more advantageous upon commercialization to have a transfer price revenue model in place as opposed to a traditional sales-based model. The manufacturing process does not require specialized knowledge or expertise uniquely held by FibroGen, and notwithstanding contractual restrictions, Astellas could employ manufacturing services from readily available third parties in order to benefit from the license. Therefore, along with the foregoing paragraph, the Company determined that the license in Japan is a distinct performance obligation despite the retention of manufacturing rights by the Company.</w:t>
      </w:r>
    </w:p>
    <w:p>
      <w:pPr>
        <w:spacing w:after="0" w:line="164" w:lineRule="exact"/>
        <w:rPr>
          <w:rFonts w:ascii="Arial" w:cs="Arial" w:eastAsia="Arial" w:hAnsi="Arial"/>
          <w:sz w:val="17"/>
          <w:szCs w:val="17"/>
          <w:i w:val="1"/>
          <w:iCs w:val="1"/>
          <w:color w:val="auto"/>
        </w:rPr>
      </w:pPr>
    </w:p>
    <w:p>
      <w:pPr>
        <w:ind w:left="480" w:right="560"/>
        <w:spacing w:after="0" w:line="342" w:lineRule="auto"/>
        <w:rPr>
          <w:rFonts w:ascii="Arial" w:cs="Arial" w:eastAsia="Arial" w:hAnsi="Arial"/>
          <w:sz w:val="17"/>
          <w:szCs w:val="17"/>
          <w:i w:val="1"/>
          <w:iCs w:val="1"/>
          <w:color w:val="auto"/>
        </w:rPr>
      </w:pPr>
      <w:r>
        <w:rPr>
          <w:rFonts w:ascii="Arial" w:cs="Arial" w:eastAsia="Arial" w:hAnsi="Arial"/>
          <w:sz w:val="16"/>
          <w:szCs w:val="16"/>
          <w:color w:val="auto"/>
        </w:rPr>
        <w:t>In summary, the Company concludes that item (1) represents a performance obligation. The portion of the transaction price allocated to this performance obligation based on a relative SSP basis is recognized as revenue in its entirety at the point in time the license transfers to Astellas.</w:t>
      </w:r>
    </w:p>
    <w:p>
      <w:pPr>
        <w:spacing w:after="0" w:line="123" w:lineRule="exact"/>
        <w:rPr>
          <w:rFonts w:ascii="Arial" w:cs="Arial" w:eastAsia="Arial" w:hAnsi="Arial"/>
          <w:sz w:val="17"/>
          <w:szCs w:val="17"/>
          <w:i w:val="1"/>
          <w:iCs w:val="1"/>
          <w:color w:val="auto"/>
        </w:rPr>
      </w:pPr>
    </w:p>
    <w:p>
      <w:pPr>
        <w:ind w:left="460" w:right="100" w:hanging="452"/>
        <w:spacing w:after="0" w:line="290" w:lineRule="auto"/>
        <w:tabs>
          <w:tab w:leader="none" w:pos="4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Co-development services (Europe Agreement). </w:t>
      </w:r>
      <w:r>
        <w:rPr>
          <w:rFonts w:ascii="Arial" w:cs="Arial" w:eastAsia="Arial" w:hAnsi="Arial"/>
          <w:sz w:val="16"/>
          <w:szCs w:val="16"/>
          <w:color w:val="auto"/>
        </w:rPr>
        <w:t>This promise relates to co-development services that were reasonably expected to be performed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at the time the collaboration agreement was signed and is considered distinct. Co-development billings are allocated entirely to the co-development services performance obligation as amounts are related specifically to research and development efforts necessary to satisfy the performance obligation, and such an allocation is consistent with the allocation objective. Revenue is recognized over time based on progress toward complete satisfaction of the performance obligation. The Company uses an input method to measure progress toward the satisfaction of the performance obligation, which is based on costs of labor hours and out-of-pocket expenses incurred relative to total expected costs to be incurred. The measure of progress is updated each reporting period. Co-development services are expected to continue over the development period which is currently estimated to continue through the end of 2019. There was no provision for co-development services in the Japan Agreement.</w:t>
      </w:r>
    </w:p>
    <w:p>
      <w:pPr>
        <w:spacing w:after="0" w:line="166" w:lineRule="exact"/>
        <w:rPr>
          <w:rFonts w:ascii="Arial" w:cs="Arial" w:eastAsia="Arial" w:hAnsi="Arial"/>
          <w:sz w:val="16"/>
          <w:szCs w:val="16"/>
          <w:i w:val="1"/>
          <w:iCs w:val="1"/>
          <w:color w:val="auto"/>
        </w:rPr>
      </w:pPr>
    </w:p>
    <w:p>
      <w:pPr>
        <w:ind w:left="480" w:right="540" w:hanging="472"/>
        <w:spacing w:after="0" w:line="277" w:lineRule="auto"/>
        <w:tabs>
          <w:tab w:leader="none" w:pos="4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License to the Company’s technology developed during the term of the agreement and development (referred to as “when and if available”) and information sharing services. </w:t>
      </w:r>
      <w:r>
        <w:rPr>
          <w:rFonts w:ascii="Arial" w:cs="Arial" w:eastAsia="Arial" w:hAnsi="Arial"/>
          <w:sz w:val="18"/>
          <w:szCs w:val="18"/>
          <w:color w:val="auto"/>
        </w:rPr>
        <w:t>These promises are generally satisfied throughout the term of the agreements.</w:t>
      </w:r>
    </w:p>
    <w:p>
      <w:pPr>
        <w:spacing w:after="0" w:line="62" w:lineRule="exact"/>
        <w:rPr>
          <w:rFonts w:ascii="Arial" w:cs="Arial" w:eastAsia="Arial" w:hAnsi="Arial"/>
          <w:sz w:val="18"/>
          <w:szCs w:val="18"/>
          <w:i w:val="1"/>
          <w:iCs w:val="1"/>
          <w:color w:val="auto"/>
        </w:rPr>
      </w:pPr>
    </w:p>
    <w:p>
      <w:pPr>
        <w:ind w:left="480" w:right="80" w:hanging="472"/>
        <w:spacing w:after="0" w:line="277" w:lineRule="auto"/>
        <w:tabs>
          <w:tab w:leader="none" w:pos="4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of clinical supplies of products. </w:t>
      </w:r>
      <w:r>
        <w:rPr>
          <w:rFonts w:ascii="Arial" w:cs="Arial" w:eastAsia="Arial" w:hAnsi="Arial"/>
          <w:sz w:val="18"/>
          <w:szCs w:val="18"/>
          <w:color w:val="auto"/>
        </w:rPr>
        <w:t>This promise is satisfied as supplies for clinical product are delivered for use in the Company’s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trial programs during the development period, or pre-commercialization period.</w:t>
      </w:r>
    </w:p>
    <w:p>
      <w:pPr>
        <w:spacing w:after="0" w:line="62" w:lineRule="exact"/>
        <w:rPr>
          <w:rFonts w:ascii="Arial" w:cs="Arial" w:eastAsia="Arial" w:hAnsi="Arial"/>
          <w:sz w:val="18"/>
          <w:szCs w:val="18"/>
          <w:i w:val="1"/>
          <w:iCs w:val="1"/>
          <w:color w:val="auto"/>
        </w:rPr>
      </w:pPr>
    </w:p>
    <w:p>
      <w:pPr>
        <w:ind w:left="480" w:hanging="472"/>
        <w:spacing w:after="0"/>
        <w:tabs>
          <w:tab w:leader="none" w:pos="4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Committee service</w:t>
      </w:r>
      <w:r>
        <w:rPr>
          <w:rFonts w:ascii="Arial" w:cs="Arial" w:eastAsia="Arial" w:hAnsi="Arial"/>
          <w:sz w:val="18"/>
          <w:szCs w:val="18"/>
          <w:color w:val="auto"/>
        </w:rPr>
        <w:t>. This promise is satisfied throughout the course of the agreements as meetings are attended.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480" w:right="180" w:firstLine="4"/>
        <w:spacing w:after="0" w:line="276" w:lineRule="auto"/>
        <w:rPr>
          <w:sz w:val="20"/>
          <w:szCs w:val="20"/>
          <w:color w:val="auto"/>
        </w:rPr>
      </w:pPr>
      <w:r>
        <w:rPr>
          <w:rFonts w:ascii="Arial" w:cs="Arial" w:eastAsia="Arial" w:hAnsi="Arial"/>
          <w:sz w:val="17"/>
          <w:szCs w:val="17"/>
          <w:color w:val="auto"/>
        </w:rPr>
        <w:t>Items (3)-(5) are bundled into a single performance obligation which is distinct given the fact that all are highly interrelated during the development period (pre-commercial phase of development) such that satisfying them independently is not practicable.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The measure of progress is updated each reporting period.</w:t>
      </w:r>
    </w:p>
    <w:p>
      <w:pPr>
        <w:spacing w:after="0" w:line="64" w:lineRule="exact"/>
        <w:rPr>
          <w:sz w:val="20"/>
          <w:szCs w:val="20"/>
          <w:color w:val="auto"/>
        </w:rPr>
      </w:pPr>
    </w:p>
    <w:p>
      <w:pPr>
        <w:ind w:left="480" w:right="100" w:hanging="472"/>
        <w:spacing w:after="0" w:line="259" w:lineRule="auto"/>
        <w:tabs>
          <w:tab w:leader="none" w:pos="4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commercial supplies of products. </w:t>
      </w:r>
      <w:r>
        <w:rPr>
          <w:rFonts w:ascii="Arial" w:cs="Arial" w:eastAsia="Arial" w:hAnsi="Arial"/>
          <w:sz w:val="18"/>
          <w:szCs w:val="18"/>
          <w:color w:val="auto"/>
        </w:rPr>
        <w:t>This promised service is distinct as services are not interrelated with any of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Payments received for commercial supplies of products represent sales-based payments related predominately to the license of intellectual property under both Astellas agreements. Revenue is recognized as supplies are shipped for commercial use during the commercialization period. To date, no such revenue has been recognized.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AstraZeneca Agreements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evaluated whether the U.S./RoW Agreement and China Agreement should be accounted for as a single or separate arrangements and concluded that the agreements should be accounted for as a single arrangement with the presumption that two or more agreements executed with a single customer at or around the same time should be presumed to be a single arrangement. The key points the Company considered in reaching this conclusion are as follows:</w:t>
      </w:r>
    </w:p>
    <w:p>
      <w:pPr>
        <w:spacing w:after="0" w:line="39" w:lineRule="exact"/>
        <w:rPr>
          <w:sz w:val="20"/>
          <w:szCs w:val="20"/>
          <w:color w:val="auto"/>
        </w:rPr>
      </w:pPr>
    </w:p>
    <w:p>
      <w:pPr>
        <w:ind w:left="380" w:right="920" w:hanging="372"/>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While the two agreements were largely negotiated separately, those negotiations proceeded concurrently, and were intended to be completed contemporaneously, presuming AstraZeneca decided to proceed with licenses in all regions available.</w:t>
      </w:r>
    </w:p>
    <w:p>
      <w:pPr>
        <w:spacing w:after="0" w:line="170" w:lineRule="exact"/>
        <w:rPr>
          <w:rFonts w:ascii="Arial" w:cs="Arial" w:eastAsia="Arial" w:hAnsi="Arial"/>
          <w:sz w:val="18"/>
          <w:szCs w:val="18"/>
          <w:color w:val="auto"/>
        </w:rPr>
      </w:pPr>
    </w:p>
    <w:p>
      <w:pPr>
        <w:ind w:left="380" w:right="140" w:hanging="372"/>
        <w:spacing w:after="0" w:line="264"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Throughout negotiations for both agreements, the Company and the counterparties understood and considered the possibility that one arrangement may be executed without the execution of the other arrangement. However, the preference for the Company and the counterparties during the negotiations was to execute both arrangements concurrently.</w:t>
      </w:r>
    </w:p>
    <w:p>
      <w:pPr>
        <w:spacing w:after="0" w:line="181" w:lineRule="exact"/>
        <w:rPr>
          <w:rFonts w:ascii="Arial" w:cs="Arial" w:eastAsia="Arial" w:hAnsi="Arial"/>
          <w:sz w:val="18"/>
          <w:szCs w:val="18"/>
          <w:color w:val="auto"/>
        </w:rPr>
      </w:pPr>
    </w:p>
    <w:p>
      <w:pPr>
        <w:ind w:left="380" w:right="40" w:hanging="372"/>
        <w:spacing w:after="0" w:line="264"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two agreements were executed as separate agreements because different development, regulatory and commercial approaches required certain terms of the agreements to be structured differently, rather than because the Company or the counterparties considering the agreements to be fundamentally separate negotiations.</w:t>
      </w:r>
    </w:p>
    <w:p>
      <w:pPr>
        <w:spacing w:after="0" w:line="7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Accordingly, as the agreements are being accounted for as a single arrangement, upfront and other non-contingent consideration received and to be received has been and will be pooled together and allocated to each of the performance obligations in both the U.S./RoW Agreement and China Agreement based on their relative SSPs.</w:t>
      </w:r>
    </w:p>
    <w:p>
      <w:pPr>
        <w:spacing w:after="0" w:line="18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For each of the AstraZeneca agreements, the Company has evaluated the promised services within the respective arrangements and has identified performance obligations representing those services and bundled services that are distinct.</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Promised services that were not distinct have been combined with other promised services to form a distinct bundle of promised services, with revenue being recognized on the bundle of services rather than the individual promised services. There are no right-of-return provisions for the delivered items in the AstraZeneca agreements.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March 31, 2018, the transaction price for the U.S./RoW Agreement and China Agreement included $402.2 million of non-contingent upfront payments, $30.0 million of variable consideration related to payments for milestones considered probable of being achieved, and $682.2 million of variable consideration related to co-development billings.</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AstraZeneca agreements, the Company allocated the transaction price to the various performance obligations based on the relative SSP of each performance obligation, with the exception of co-development billings. Co-development billings under the U.S./RoW Agreement were allocated entirely to the U.S./RoW co-development services performance obligation, and co-development billings under the China Agreement were allocated entirely to the combined performance obligation under the China Agreement.</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revenue recognition purposes, the Company determined that the term of its collaboration agreements with AstraZeneca begin on the effective date and ends upon the completion of all performance obligations contained in the agreements. The contract term is defined as the period in which parties to the contract have present and enforceable rights and obligations. The Company believes that the requirement to continue funding development for a substantive period of time and the loss of product rights, along with non-refundable upfront payments already remitted by AstraZeneca, represent substantive termination penalties that create significant disincentive for AstraZeneca to exercise its right to terminate the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For the technology license under the AstraZeneca U.S./RoW Agreement, SSP was determined based on a two-step process. The first step involved determining an implied royalty rate that would result in the net present value of future cash flows to equal to zero (i.e. where the implied royalty rate on the transaction would equal the target return for the investment). This results in an upper bound estimation of the magnitude of royalties that a hypothetical acquirer would reasonably pay for the forecasted cash flow stream. The Company’s cash flow forecasts were derived from probability-adjusted revenue and expense projections. Such projections included consideration of taxes and cash flow adjustments. The probability adjustments were made after considering the likelihood of technical success at various stages of clinical trials and regulatory approval phases. The second step involved applying the implied royalty rate, which was determined to be 40%, against the probability-adjusted projected net revenues by territory and determining the value of the license as the net present value of future cash flows after adjusting for taxes. The discount rate utilized was 17.5%.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U.S./RoW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promised services that were analyzed, along with their general timing of satisfaction and recognition as revenue, are as follows:</w:t>
      </w:r>
    </w:p>
    <w:p>
      <w:pPr>
        <w:spacing w:after="0" w:line="117" w:lineRule="exact"/>
        <w:rPr>
          <w:sz w:val="20"/>
          <w:szCs w:val="20"/>
          <w:color w:val="auto"/>
        </w:rPr>
      </w:pPr>
    </w:p>
    <w:p>
      <w:pPr>
        <w:ind w:left="480" w:right="60" w:hanging="472"/>
        <w:spacing w:after="0" w:line="271" w:lineRule="auto"/>
        <w:tabs>
          <w:tab w:leader="none" w:pos="48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License to the Company’s technology existing at the effective date of the agreements. </w:t>
      </w:r>
      <w:r>
        <w:rPr>
          <w:rFonts w:ascii="Arial" w:cs="Arial" w:eastAsia="Arial" w:hAnsi="Arial"/>
          <w:sz w:val="17"/>
          <w:szCs w:val="17"/>
          <w:color w:val="auto"/>
        </w:rPr>
        <w:t>For the U.S./RoW Agreement, the license was delivered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of the agreement term. The Company concluded that AstraZeneca has the knowledge and capabilities to fully exploit the license under the U.S./RoW Agreement without the Company’s further involvement. Finally, the Company considered the fact that at the time of delivery of the license, the development services were beyond the preclinical development phase and any remaining development work would not be expected to result in any significant modification or customization to the licensed technology. As such, the development services are separately identifiable from the licensed technology, indicating that the license is a distinct performance obligation. Therefore, the Company has concluded that the license is distinct and represents a performance obligation. The portion of the transaction price allocated to this performance obligation based on a relative SSP basis is recognized as revenue in its entirety at the point in time the license transfers to AstraZeneca.</w:t>
      </w:r>
    </w:p>
    <w:p>
      <w:pPr>
        <w:spacing w:after="0" w:line="178" w:lineRule="exact"/>
        <w:rPr>
          <w:rFonts w:ascii="Arial" w:cs="Arial" w:eastAsia="Arial" w:hAnsi="Arial"/>
          <w:sz w:val="17"/>
          <w:szCs w:val="17"/>
          <w:i w:val="1"/>
          <w:iCs w:val="1"/>
          <w:color w:val="auto"/>
        </w:rPr>
      </w:pPr>
    </w:p>
    <w:p>
      <w:pPr>
        <w:ind w:left="480" w:right="60" w:hanging="472"/>
        <w:spacing w:after="0" w:line="291" w:lineRule="auto"/>
        <w:tabs>
          <w:tab w:leader="none" w:pos="48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Co-development services. </w:t>
      </w:r>
      <w:r>
        <w:rPr>
          <w:rFonts w:ascii="Arial" w:cs="Arial" w:eastAsia="Arial" w:hAnsi="Arial"/>
          <w:sz w:val="16"/>
          <w:szCs w:val="16"/>
          <w:color w:val="auto"/>
        </w:rPr>
        <w:t>This promise relates to co-development services that were reasonably expected to be performed by the Company at the time</w:t>
      </w:r>
      <w:r>
        <w:rPr>
          <w:rFonts w:ascii="Arial" w:cs="Arial" w:eastAsia="Arial" w:hAnsi="Arial"/>
          <w:sz w:val="16"/>
          <w:szCs w:val="16"/>
          <w:i w:val="1"/>
          <w:iCs w:val="1"/>
          <w:color w:val="auto"/>
        </w:rPr>
        <w:t xml:space="preserve"> </w:t>
      </w:r>
      <w:r>
        <w:rPr>
          <w:rFonts w:ascii="Arial" w:cs="Arial" w:eastAsia="Arial" w:hAnsi="Arial"/>
          <w:sz w:val="16"/>
          <w:szCs w:val="16"/>
          <w:color w:val="auto"/>
        </w:rPr>
        <w:t>the collaboration agreement was signed and is distinct. Co-development billings are allocated entirely to the co-development services performance obligation as amounts are related specifically to research and development efforts necessary to satisfy the performance obligation, and such an allocation is consistent with the allocation objective.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Co-development services are expected to continue over the development period which is estimated to continue through the end of 2020.</w:t>
      </w:r>
    </w:p>
    <w:p>
      <w:pPr>
        <w:spacing w:after="0" w:line="167" w:lineRule="exact"/>
        <w:rPr>
          <w:rFonts w:ascii="Arial" w:cs="Arial" w:eastAsia="Arial" w:hAnsi="Arial"/>
          <w:sz w:val="16"/>
          <w:szCs w:val="16"/>
          <w:i w:val="1"/>
          <w:iCs w:val="1"/>
          <w:color w:val="auto"/>
        </w:rPr>
      </w:pPr>
    </w:p>
    <w:p>
      <w:pPr>
        <w:ind w:left="480" w:right="80" w:hanging="472"/>
        <w:spacing w:after="0" w:line="277" w:lineRule="auto"/>
        <w:tabs>
          <w:tab w:leader="none" w:pos="48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of clinical supplies of products. </w:t>
      </w:r>
      <w:r>
        <w:rPr>
          <w:rFonts w:ascii="Arial" w:cs="Arial" w:eastAsia="Arial" w:hAnsi="Arial"/>
          <w:sz w:val="18"/>
          <w:szCs w:val="18"/>
          <w:color w:val="auto"/>
        </w:rPr>
        <w:t>This promise is satisfied as supplies for clinical product are delivered for use in the Company’s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trial programs during the development period, or pre-commercialization period.</w:t>
      </w:r>
    </w:p>
    <w:p>
      <w:pPr>
        <w:spacing w:after="0" w:line="170" w:lineRule="exact"/>
        <w:rPr>
          <w:rFonts w:ascii="Arial" w:cs="Arial" w:eastAsia="Arial" w:hAnsi="Arial"/>
          <w:sz w:val="18"/>
          <w:szCs w:val="18"/>
          <w:i w:val="1"/>
          <w:iCs w:val="1"/>
          <w:color w:val="auto"/>
        </w:rPr>
      </w:pPr>
    </w:p>
    <w:p>
      <w:pPr>
        <w:ind w:left="480" w:hanging="472"/>
        <w:spacing w:after="0"/>
        <w:tabs>
          <w:tab w:leader="none" w:pos="48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Information sharing and committee service. </w:t>
      </w:r>
      <w:r>
        <w:rPr>
          <w:rFonts w:ascii="Arial" w:cs="Arial" w:eastAsia="Arial" w:hAnsi="Arial"/>
          <w:sz w:val="17"/>
          <w:szCs w:val="17"/>
          <w:color w:val="auto"/>
        </w:rPr>
        <w:t>These promises are satisfied throughout the course of the agreement as services are provided.</w:t>
      </w:r>
    </w:p>
    <w:p>
      <w:pPr>
        <w:spacing w:after="0" w:line="236" w:lineRule="exact"/>
        <w:rPr>
          <w:rFonts w:ascii="Arial" w:cs="Arial" w:eastAsia="Arial" w:hAnsi="Arial"/>
          <w:sz w:val="17"/>
          <w:szCs w:val="17"/>
          <w:i w:val="1"/>
          <w:iCs w:val="1"/>
          <w:color w:val="auto"/>
        </w:rPr>
      </w:pPr>
    </w:p>
    <w:p>
      <w:pPr>
        <w:ind w:left="480" w:right="160"/>
        <w:spacing w:after="0" w:line="276" w:lineRule="auto"/>
        <w:rPr>
          <w:rFonts w:ascii="Arial" w:cs="Arial" w:eastAsia="Arial" w:hAnsi="Arial"/>
          <w:sz w:val="17"/>
          <w:szCs w:val="17"/>
          <w:i w:val="1"/>
          <w:iCs w:val="1"/>
          <w:color w:val="auto"/>
        </w:rPr>
      </w:pPr>
      <w:r>
        <w:rPr>
          <w:rFonts w:ascii="Arial" w:cs="Arial" w:eastAsia="Arial" w:hAnsi="Arial"/>
          <w:sz w:val="17"/>
          <w:szCs w:val="17"/>
          <w:color w:val="auto"/>
        </w:rPr>
        <w:t>Items (3)-(4) are bundled into a single performance obligation which is distinct given the fact that all are highly interrelated during the development period (pre-commercial phase of development) such that delivering them independently is not practicable.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The measure of progress is updated each reporting period.</w:t>
      </w:r>
    </w:p>
    <w:p>
      <w:pPr>
        <w:spacing w:after="0" w:line="172" w:lineRule="exact"/>
        <w:rPr>
          <w:rFonts w:ascii="Arial" w:cs="Arial" w:eastAsia="Arial" w:hAnsi="Arial"/>
          <w:sz w:val="17"/>
          <w:szCs w:val="17"/>
          <w:i w:val="1"/>
          <w:iCs w:val="1"/>
          <w:color w:val="auto"/>
        </w:rPr>
      </w:pPr>
    </w:p>
    <w:p>
      <w:pPr>
        <w:ind w:left="480" w:hanging="472"/>
        <w:spacing w:after="0" w:line="259" w:lineRule="auto"/>
        <w:tabs>
          <w:tab w:leader="none" w:pos="48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commercial supplies of products. </w:t>
      </w:r>
      <w:r>
        <w:rPr>
          <w:rFonts w:ascii="Arial" w:cs="Arial" w:eastAsia="Arial" w:hAnsi="Arial"/>
          <w:sz w:val="18"/>
          <w:szCs w:val="18"/>
          <w:color w:val="auto"/>
        </w:rPr>
        <w:t>This promise is distinct as services are not interrelated with any of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received for commercial supplies of products represent sales-based royalties related predominately to the license of intellectual property under the agreement. Revenue is recognized as supplies are shipped for commercial use during the commercialization period. To date, no such revenue has been recognized.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obligation that were analyzed, along with their general timing of satisfaction and recognition as revenue, are as follows:</w:t>
      </w:r>
    </w:p>
    <w:p>
      <w:pPr>
        <w:spacing w:after="0" w:line="117" w:lineRule="exact"/>
        <w:rPr>
          <w:sz w:val="20"/>
          <w:szCs w:val="20"/>
          <w:color w:val="auto"/>
        </w:rPr>
      </w:pPr>
    </w:p>
    <w:p>
      <w:pPr>
        <w:ind w:left="520" w:hanging="512"/>
        <w:spacing w:after="0" w:line="273"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License to the Company’s technology existing at the effective date of the agreement. </w:t>
      </w:r>
      <w:r>
        <w:rPr>
          <w:rFonts w:ascii="Arial" w:cs="Arial" w:eastAsia="Arial" w:hAnsi="Arial"/>
          <w:sz w:val="17"/>
          <w:szCs w:val="17"/>
          <w:color w:val="auto"/>
        </w:rPr>
        <w:t>The license was delivered at the beginning of the agreement term.</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the China Agreement with AstraZeneca has contractual limitations that might affect AstraZeneca’s ability to fully exploit the license and therefore, potentially, the conclusion as to whether the license is distinct in the context of the agreement. In the China Agreement, AstraZeneca does not have the right to manufacture commercial supplies of the drug. In order to determine whether this characteristic of the arrangement should lead to a conclusion that the license was not distinct in the context of the agreement, the Company considered the ability of AstraZeneca to benefit from the license on its own or together with other resources readily available to AstraZeneca.</w:t>
      </w:r>
    </w:p>
    <w:p>
      <w:pPr>
        <w:spacing w:after="0" w:line="17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For the China Agreement, the Company retained manufacturing rights as an essential part of a strategy to pursue domestic regulatory pathway for product approval which requires the regulatory licensure of the manufacturing facility in order to commence commercial shipment. The prospects for the collaboration as a whole would have been substantially different had manufacturing rights been provided to AstraZeneca. Due to certain regulatory restrictions in China, manufacturing services of commercial drug product in China are not readily available to AstraZeneca or any other parties. Therefore, AstraZeneca cannot benefit from the license on its own or together with other readily available resources. Accordingly, all the promises identified, including co-development services, under the China Agreement have been bundled into a single performance obligation and amounts of the transaction price allocable to this performance obligation is deferred until control of the manufactured commercial drug product has begun to transfer to AstraZeneca. Upon commencement of the transfer of control to commercial drug product, revenue would be recognized in a pattern consistent with estimated deliveries of the commercial drug product.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Revenue Recognized Under the Collaboration Agreements</w:t>
      </w:r>
    </w:p>
    <w:p>
      <w:pPr>
        <w:spacing w:after="0" w:line="12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table below summarizes the accounting treatment for the various performance obligations pursuant to each of the Astellas and AstraZeneca agreements. License amounts identified below are included in the “License revenue” line item in the condensed consolidated statements of operations. All other elements identified below are included in the “Development and other revenue” line item in the condensed consolidated statements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Japan Agreement were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4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Performance Obligation</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1480" w:type="dxa"/>
            <w:vAlign w:val="bottom"/>
            <w:gridSpan w:val="2"/>
            <w:vMerge w:val="continue"/>
          </w:tcPr>
          <w:p>
            <w:pPr>
              <w:spacing w:after="0"/>
              <w:rPr>
                <w:sz w:val="13"/>
                <w:szCs w:val="13"/>
                <w:color w:val="auto"/>
              </w:rPr>
            </w:pPr>
          </w:p>
        </w:tc>
        <w:tc>
          <w:tcPr>
            <w:tcW w:w="4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2017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Japan</w:t>
            </w:r>
          </w:p>
        </w:tc>
        <w:tc>
          <w:tcPr>
            <w:tcW w:w="200" w:type="dxa"/>
            <w:vAlign w:val="bottom"/>
            <w:tcBorders>
              <w:top w:val="single" w:sz="8" w:color="CFF0FC"/>
            </w:tcBorders>
            <w:shd w:val="clear" w:color="auto" w:fill="CFF0FC"/>
          </w:tcPr>
          <w:p>
            <w:pPr>
              <w:spacing w:after="0"/>
              <w:rPr>
                <w:sz w:val="19"/>
                <w:szCs w:val="19"/>
                <w:color w:val="auto"/>
              </w:rPr>
            </w:pPr>
          </w:p>
        </w:tc>
        <w:tc>
          <w:tcPr>
            <w:tcW w:w="3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120" w:type="dxa"/>
            <w:vAlign w:val="bottom"/>
            <w:gridSpan w:val="2"/>
          </w:tcPr>
          <w:p>
            <w:pPr>
              <w:ind w:left="200"/>
              <w:spacing w:after="0"/>
              <w:rPr>
                <w:sz w:val="20"/>
                <w:szCs w:val="20"/>
                <w:color w:val="auto"/>
              </w:rPr>
            </w:pPr>
            <w:r>
              <w:rPr>
                <w:rFonts w:ascii="Arial" w:cs="Arial" w:eastAsia="Arial" w:hAnsi="Arial"/>
                <w:sz w:val="18"/>
                <w:szCs w:val="18"/>
                <w:color w:val="auto"/>
              </w:rPr>
              <w:t>Development revenue</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449</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9690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Japan Agreement, along with any associated deferred revenue as follows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3"/>
              </w:rPr>
              <w:t>Deferred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Revenue 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March 31, 2018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March 31, 2018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59,766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Manufacturing--clinical supplies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11,957</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development revenue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71,723</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72,159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remainder of the transaction price related to the Japan Agreement includes $2.8 million of variable consideration from estimated future co-development billing and is expected to be recognized over the remaining development service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Europe Agreement were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4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Performance Obligation</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1480" w:type="dxa"/>
            <w:vAlign w:val="bottom"/>
            <w:gridSpan w:val="2"/>
            <w:vMerge w:val="continue"/>
          </w:tcPr>
          <w:p>
            <w:pPr>
              <w:spacing w:after="0"/>
              <w:rPr>
                <w:sz w:val="13"/>
                <w:szCs w:val="13"/>
                <w:color w:val="auto"/>
              </w:rPr>
            </w:pPr>
          </w:p>
        </w:tc>
        <w:tc>
          <w:tcPr>
            <w:tcW w:w="4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2017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Europe</w:t>
            </w:r>
          </w:p>
        </w:tc>
        <w:tc>
          <w:tcPr>
            <w:tcW w:w="200" w:type="dxa"/>
            <w:vAlign w:val="bottom"/>
            <w:tcBorders>
              <w:top w:val="single" w:sz="8" w:color="CFF0FC"/>
            </w:tcBorders>
            <w:shd w:val="clear" w:color="auto" w:fill="CFF0FC"/>
          </w:tcPr>
          <w:p>
            <w:pPr>
              <w:spacing w:after="0"/>
              <w:rPr>
                <w:sz w:val="19"/>
                <w:szCs w:val="19"/>
                <w:color w:val="auto"/>
              </w:rPr>
            </w:pPr>
          </w:p>
        </w:tc>
        <w:tc>
          <w:tcPr>
            <w:tcW w:w="3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Development revenue</w:t>
            </w: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4,723</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9690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Europe Agreement, along with any associated deferred revenue as follows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3"/>
              </w:rPr>
              <w:t>Deferred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Revenue 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March 31, 2018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March 31, 2018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370,481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370,481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Manufacturing--clinical supplies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189,056</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195,157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development revenue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559,537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6,101</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565,638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remainder of the transaction price related to the Europe Agreement includes $27.4 million of variable consideration from estimated future co-development billing and is expected to be recognized over the remaining development service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U.S./RoW Agreement were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4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Performance Obligation</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1480" w:type="dxa"/>
            <w:vAlign w:val="bottom"/>
            <w:gridSpan w:val="2"/>
            <w:vMerge w:val="continue"/>
          </w:tcPr>
          <w:p>
            <w:pPr>
              <w:spacing w:after="0"/>
              <w:rPr>
                <w:sz w:val="13"/>
                <w:szCs w:val="13"/>
                <w:color w:val="auto"/>
              </w:rPr>
            </w:pPr>
          </w:p>
        </w:tc>
        <w:tc>
          <w:tcPr>
            <w:tcW w:w="4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2017 *</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U.S. / RoW</w:t>
            </w:r>
          </w:p>
        </w:tc>
        <w:tc>
          <w:tcPr>
            <w:tcW w:w="200" w:type="dxa"/>
            <w:vAlign w:val="bottom"/>
            <w:tcBorders>
              <w:top w:val="single" w:sz="8" w:color="CFF0FC"/>
            </w:tcBorders>
            <w:shd w:val="clear" w:color="auto" w:fill="CFF0FC"/>
          </w:tcPr>
          <w:p>
            <w:pPr>
              <w:spacing w:after="0"/>
              <w:rPr>
                <w:sz w:val="18"/>
                <w:szCs w:val="18"/>
                <w:color w:val="auto"/>
              </w:rPr>
            </w:pPr>
          </w:p>
        </w:tc>
        <w:tc>
          <w:tcPr>
            <w:tcW w:w="3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2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shd w:val="clear" w:color="auto" w:fill="CFF0FC"/>
          </w:tcPr>
          <w:p>
            <w:pPr>
              <w:spacing w:after="0"/>
              <w:rPr>
                <w:sz w:val="20"/>
                <w:szCs w:val="20"/>
                <w:color w:val="auto"/>
              </w:rPr>
            </w:pPr>
            <w:r>
              <w:rPr>
                <w:rFonts w:ascii="Arial" w:cs="Arial" w:eastAsia="Arial" w:hAnsi="Arial"/>
                <w:sz w:val="18"/>
                <w:szCs w:val="18"/>
                <w:color w:val="auto"/>
              </w:rPr>
              <w:t>and China</w:t>
            </w:r>
          </w:p>
        </w:tc>
        <w:tc>
          <w:tcPr>
            <w:tcW w:w="200" w:type="dxa"/>
            <w:vAlign w:val="bottom"/>
            <w:shd w:val="clear" w:color="auto" w:fill="CFF0FC"/>
          </w:tcPr>
          <w:p>
            <w:pPr>
              <w:spacing w:after="0"/>
              <w:rPr>
                <w:sz w:val="20"/>
                <w:szCs w:val="20"/>
                <w:color w:val="auto"/>
              </w:rPr>
            </w:pPr>
          </w:p>
        </w:tc>
        <w:tc>
          <w:tcPr>
            <w:tcW w:w="388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Development revenue</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26,723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40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China performance obligation</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090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U.S./RoW Agreement and China Agreement, along with any associated deferred revenue as follows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Deferred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Revenue at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March 31, 2018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March 31, 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286,216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286,216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Co-development, information sharing &amp;</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80"/>
              <w:spacing w:after="0"/>
              <w:rPr>
                <w:sz w:val="20"/>
                <w:szCs w:val="20"/>
                <w:color w:val="auto"/>
              </w:rPr>
            </w:pPr>
            <w:r>
              <w:rPr>
                <w:rFonts w:ascii="Arial" w:cs="Arial" w:eastAsia="Arial" w:hAnsi="Arial"/>
                <w:sz w:val="18"/>
                <w:szCs w:val="18"/>
                <w:color w:val="auto"/>
              </w:rPr>
              <w:t>committee services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330,391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36,360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366,751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China performance obligation</w:t>
            </w: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112,009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license and development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616,607</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148,369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764,976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remainder of the transaction price related to the U.S./RoW Agreement and China Agreement includes $284.1 million of variable consideration from estimated future co-development billing and is expected to be recognized over the remaining development service period, except for amounts allocated to the China performance obligation, which are expected to be recognized in a pattern consistent with estimated deliveries of the commercial drug product.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revenues consist primarily of collagen material sold for research purposes. Other revenues were immaterial for all periods presented.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Deferred revenue represents amounts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obligations. The long term portion of deferred revenue represents amounts to be recognized after one year through the end of the non-contingent performance period of the underlying performance obligations. The long term portion of deferred revenue also includes amounts allocated to the China unit of accounting under the AstraZeneca arrangement as revenue recognition associated with this unit of accounting is tied to the commercial launch of the products within China, which is not expected to occur within the next year.</w:t>
      </w:r>
    </w:p>
    <w:p>
      <w:pPr>
        <w:spacing w:after="0" w:line="293"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assets that are measured on a recurring basis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March 31, 2018</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200" w:type="dxa"/>
            <w:vAlign w:val="bottom"/>
          </w:tcPr>
          <w:p>
            <w:pPr>
              <w:jc w:val="right"/>
              <w:ind w:right="455"/>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3"/>
                <w:szCs w:val="13"/>
                <w:color w:val="auto"/>
              </w:rPr>
            </w:pPr>
          </w:p>
        </w:tc>
        <w:tc>
          <w:tcPr>
            <w:tcW w:w="116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3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36,437</w:t>
            </w: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36,437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Bond and mutual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18,631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18,631</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589,448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589,448</w:t>
            </w:r>
          </w:p>
        </w:tc>
        <w:tc>
          <w:tcPr>
            <w:tcW w:w="120" w:type="dxa"/>
            <w:vAlign w:val="bottom"/>
          </w:tcPr>
          <w:p>
            <w:pPr>
              <w:spacing w:after="0"/>
              <w:rPr>
                <w:sz w:val="19"/>
                <w:szCs w:val="19"/>
                <w:color w:val="auto"/>
              </w:rPr>
            </w:pPr>
          </w:p>
        </w:tc>
      </w:tr>
      <w:tr>
        <w:trPr>
          <w:trHeight w:val="223"/>
        </w:trPr>
        <w:tc>
          <w:tcPr>
            <w:tcW w:w="44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608,278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36,437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644,715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4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December 31, 2017</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200" w:type="dxa"/>
            <w:vAlign w:val="bottom"/>
          </w:tcPr>
          <w:p>
            <w:pPr>
              <w:jc w:val="right"/>
              <w:ind w:right="455"/>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3"/>
                <w:szCs w:val="13"/>
                <w:color w:val="auto"/>
              </w:rPr>
            </w:pPr>
          </w:p>
        </w:tc>
        <w:tc>
          <w:tcPr>
            <w:tcW w:w="116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3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53,943</w:t>
            </w: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Bond and mutual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18,402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18,402</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569,942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569,942</w:t>
            </w:r>
          </w:p>
        </w:tc>
        <w:tc>
          <w:tcPr>
            <w:tcW w:w="120" w:type="dxa"/>
            <w:vAlign w:val="bottom"/>
          </w:tcPr>
          <w:p>
            <w:pPr>
              <w:spacing w:after="0"/>
              <w:rPr>
                <w:sz w:val="19"/>
                <w:szCs w:val="19"/>
                <w:color w:val="auto"/>
              </w:rPr>
            </w:pPr>
          </w:p>
        </w:tc>
      </w:tr>
      <w:tr>
        <w:trPr>
          <w:trHeight w:val="223"/>
        </w:trPr>
        <w:tc>
          <w:tcPr>
            <w:tcW w:w="44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588,565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53,943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642,508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liabilities that are carried at historical cost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6"/>
              </w:rPr>
              <w:t>March 31, 2018</w:t>
            </w: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48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3"/>
                <w:szCs w:val="13"/>
                <w:color w:val="auto"/>
              </w:rPr>
            </w:pPr>
          </w:p>
        </w:tc>
        <w:tc>
          <w:tcPr>
            <w:tcW w:w="13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18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98,389</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98,389</w:t>
            </w:r>
          </w:p>
        </w:tc>
        <w:tc>
          <w:tcPr>
            <w:tcW w:w="100" w:type="dxa"/>
            <w:vAlign w:val="bottom"/>
            <w:tcBorders>
              <w:top w:val="single" w:sz="8" w:color="CFF0FC"/>
            </w:tcBorders>
            <w:shd w:val="clear" w:color="auto" w:fill="CFF0FC"/>
          </w:tcPr>
          <w:p>
            <w:pPr>
              <w:spacing w:after="0"/>
              <w:rPr>
                <w:sz w:val="19"/>
                <w:szCs w:val="19"/>
                <w:color w:val="auto"/>
              </w:rPr>
            </w:pPr>
          </w:p>
        </w:tc>
      </w:tr>
      <w:tr>
        <w:trPr>
          <w:trHeight w:val="392"/>
        </w:trPr>
        <w:tc>
          <w:tcPr>
            <w:tcW w:w="4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1"/>
              </w:rPr>
              <w:t>December 31, 2017</w:t>
            </w: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48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3"/>
                <w:szCs w:val="13"/>
                <w:color w:val="auto"/>
              </w:rPr>
            </w:pPr>
          </w:p>
        </w:tc>
        <w:tc>
          <w:tcPr>
            <w:tcW w:w="13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18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98,476</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98,476</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fair values of the Company’s financial liabilities were derived by using an income approach, which required Level 3 inputs such as discounted estimated future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between levels for any of the periods presented.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4.</w:t>
            </w:r>
          </w:p>
        </w:tc>
        <w:tc>
          <w:tcPr>
            <w:tcW w:w="5900" w:type="dxa"/>
            <w:vAlign w:val="bottom"/>
            <w:gridSpan w:val="2"/>
          </w:tcPr>
          <w:p>
            <w:pPr>
              <w:ind w:left="180"/>
              <w:spacing w:after="0"/>
              <w:rPr>
                <w:sz w:val="20"/>
                <w:szCs w:val="20"/>
                <w:color w:val="auto"/>
              </w:rPr>
            </w:pPr>
            <w:r>
              <w:rPr>
                <w:rFonts w:ascii="Arial" w:cs="Arial" w:eastAsia="Arial" w:hAnsi="Arial"/>
                <w:sz w:val="18"/>
                <w:szCs w:val="18"/>
                <w:b w:val="1"/>
                <w:bCs w:val="1"/>
                <w:color w:val="auto"/>
              </w:rPr>
              <w:t>Balance Sheet Components</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62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and Cash Equivalents</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6240" w:type="dxa"/>
            <w:vAlign w:val="bottom"/>
            <w:gridSpan w:val="3"/>
          </w:tcPr>
          <w:p>
            <w:pPr>
              <w:spacing w:after="0"/>
              <w:rPr>
                <w:sz w:val="20"/>
                <w:szCs w:val="20"/>
                <w:color w:val="auto"/>
              </w:rPr>
            </w:pPr>
            <w:r>
              <w:rPr>
                <w:rFonts w:ascii="Arial" w:cs="Arial" w:eastAsia="Arial" w:hAnsi="Arial"/>
                <w:sz w:val="18"/>
                <w:szCs w:val="18"/>
                <w:color w:val="auto"/>
              </w:rPr>
              <w:t>Cash and cash equivalents consisted of the following (in thousands):</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jc w:val="right"/>
              <w:ind w:right="374"/>
              <w:spacing w:after="0"/>
              <w:rPr>
                <w:sz w:val="20"/>
                <w:szCs w:val="20"/>
                <w:color w:val="auto"/>
              </w:rPr>
            </w:pPr>
            <w:r>
              <w:rPr>
                <w:rFonts w:ascii="Arial" w:cs="Arial" w:eastAsia="Arial" w:hAnsi="Arial"/>
                <w:sz w:val="14"/>
                <w:szCs w:val="14"/>
                <w:b w:val="1"/>
                <w:bCs w:val="1"/>
                <w:color w:val="auto"/>
              </w:rPr>
              <w:t>March 31, 2018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69,559</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103,716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589,448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569,942</w:t>
            </w:r>
          </w:p>
        </w:tc>
        <w:tc>
          <w:tcPr>
            <w:tcW w:w="80" w:type="dxa"/>
            <w:vAlign w:val="bottom"/>
            <w:tcBorders>
              <w:bottom w:val="single" w:sz="8" w:color="CFF0FC"/>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and cash equivalents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659,007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673,658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March 31, 2018 and December 31, 2017, a total of $27.7 million and $32.3 million, respectively, of the Company’s cash and cash equivalents were held outside of the U.S. in its foreign subsidiaries to be used primarily for its China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Company’s investments consist of available-for-sale debt investments and marketable equity investments. The amortized cost, gross unrealized holding gains or losses, and fair value of the Company’s available-for-sale investments by major investments type are summarized in the tables below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6"/>
              </w:rPr>
              <w:t>March 31, 2018</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36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Gross Unrealized</w:t>
            </w:r>
          </w:p>
        </w:tc>
        <w:tc>
          <w:tcPr>
            <w:tcW w:w="26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Holding Gains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Holding Losses</w:t>
            </w: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36,529</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Bond and mutual funds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17,293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60"/>
              <w:spacing w:after="0"/>
              <w:rPr>
                <w:sz w:val="20"/>
                <w:szCs w:val="20"/>
                <w:color w:val="auto"/>
              </w:rPr>
            </w:pPr>
            <w:r>
              <w:rPr>
                <w:rFonts w:ascii="Arial" w:cs="Arial" w:eastAsia="Arial" w:hAnsi="Arial"/>
                <w:sz w:val="18"/>
                <w:szCs w:val="18"/>
                <w:color w:val="auto"/>
              </w:rPr>
              <w:t>Total investments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53,947</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1"/>
              </w:rPr>
              <w:t>December 31, 2017</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36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Gross Unrealized</w:t>
            </w:r>
          </w:p>
        </w:tc>
        <w:tc>
          <w:tcPr>
            <w:tcW w:w="26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Holding Gains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Holding Losses</w:t>
            </w: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53,985</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Bond and mutual funds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17,249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60"/>
              <w:spacing w:after="0"/>
              <w:rPr>
                <w:sz w:val="20"/>
                <w:szCs w:val="20"/>
                <w:color w:val="auto"/>
              </w:rPr>
            </w:pPr>
            <w:r>
              <w:rPr>
                <w:rFonts w:ascii="Arial" w:cs="Arial" w:eastAsia="Arial" w:hAnsi="Arial"/>
                <w:sz w:val="18"/>
                <w:szCs w:val="18"/>
                <w:color w:val="auto"/>
              </w:rPr>
              <w:t>Total investments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71,360</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At March 31, 2018, all of the available-for-sale investments had contractual maturities within one year. The Company periodically reviews its available-for-sale investments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During the three months ended March 31, 2018, the Company did not recognize any other-than-temporary impairment loss.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ind w:right="313"/>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2017</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17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37,717</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32,321</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Payroll and related accruals</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11,919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18,810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Property taxes and other</w:t>
            </w: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Professional services</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2,520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1,991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7,553</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Total accrued liabilities</w:t>
            </w:r>
          </w:p>
        </w:tc>
        <w:tc>
          <w:tcPr>
            <w:tcW w:w="17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62,859</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63,781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760" w:type="dxa"/>
            <w:vAlign w:val="bottom"/>
            <w:vMerge w:val="restart"/>
          </w:tcPr>
          <w:p>
            <w:pPr>
              <w:jc w:val="right"/>
              <w:ind w:right="570"/>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was allocated to research and development and general and administrative expense as follows (in thousands):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34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jc w:val="right"/>
              <w:ind w:right="47"/>
              <w:spacing w:after="0" w:line="155" w:lineRule="exact"/>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3"/>
                <w:szCs w:val="13"/>
                <w:color w:val="auto"/>
              </w:rPr>
            </w:pPr>
          </w:p>
        </w:tc>
        <w:tc>
          <w:tcPr>
            <w:tcW w:w="1520" w:type="dxa"/>
            <w:vAlign w:val="bottom"/>
            <w:gridSpan w:val="2"/>
          </w:tcPr>
          <w:p>
            <w:pPr>
              <w:jc w:val="right"/>
              <w:ind w:right="85"/>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10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6,370</w:t>
            </w:r>
          </w:p>
        </w:tc>
        <w:tc>
          <w:tcPr>
            <w:tcW w:w="3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3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0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10,878</w:t>
            </w:r>
          </w:p>
        </w:tc>
        <w:tc>
          <w:tcPr>
            <w:tcW w:w="3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used to estimate the fair value of stock options granted and purchases under the Company’s 2014 Employee Share Purchase Plan (“ESPP”)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using the Black-Scholes option valuation model were as follows: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33"/>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32.18</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16.16</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ESPPs</w:t>
            </w: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0.5 - 2.0</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0.5 - 2.0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54.9 - 75.3 %</w:t>
            </w:r>
          </w:p>
        </w:tc>
        <w:tc>
          <w:tcPr>
            <w:tcW w:w="3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63.7 - 77.2 %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0.8 - 1.6 %</w:t>
            </w:r>
          </w:p>
        </w:tc>
        <w:tc>
          <w:tcPr>
            <w:tcW w:w="380" w:type="dxa"/>
            <w:vAlign w:val="bottom"/>
          </w:tcPr>
          <w:p>
            <w:pPr>
              <w:spacing w:after="0"/>
              <w:rPr>
                <w:sz w:val="19"/>
                <w:szCs w:val="19"/>
                <w:color w:val="auto"/>
              </w:rPr>
            </w:pP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0.5 - 1.0 %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10.93</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8.86</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the three months ended March 31, 2018 and 2017 were due to foreign taxes.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Based upon the weight of available evidence, which includes its historical operating performance, reported cumulative net losses since inception and expected continuing net loss, the Company has established and continues to maintain a full valuation allowance against its deferred tax assets as it does not currently believe that realization of those assets is more likely than not.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Astellas is an equity investor in the Company and considered a related party. The Company recorded revenue related to collaboration agreements with Astellas of $5.2 million and $4.7 million during the three months ended March 31, 2018 and 2017, respectively. The related party revenue was recast for the three months ended March 31, 2017 as a result of adoption of the new revenue standards. See Note 1 for details.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recorded expense related to collaboration agreements with Astellas of $0.6 million and $0.3 million during the three months ended March 31, 2018 and 2017, respectively.</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March 31, 2018 and December 31, 2017, accounts receivable from Astellas were $4.5 million and $4.0 million, respectively, and amounts due to Astellas were $0.6 million and $0.3 million, respectively.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Julian N. Stern, a director of the Company from November 1996 through June 2017, is currently serving as corporate secretary of the Company and is of counsel to the law firm of Goodwin Procter LLP, which he joined in 2008. He has received, and continues to receive, no compensation from Goodwin Procter LLP since joining as counsel. The Company retains Goodwin Procter LLP as legal counsel for various matters, primarily consisting of intellectual property matters. There was no payment to Goodwin Procter LLP during the three months ended March 31, 2018. The Company’s payments to Goodwin Procter LLP during the three months ended March 31, 2017 were immaterial. As of March 31, 2018 and December 31, 2017, the balance of the accrued liability for Goodwin Proctor LLP was zero.</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2017 filed with the SEC on February 27,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were incorporated in 1993 in Delaware and are a science-based biopharmaceutical company discovering and developing first-in-class therapeutics. Roxadustat (FG-4592), our most advanced product candidate, is an oral small molecule inhibitor of hypoxia inducible factor (“HIF”) prolyl hydroxylase (“HIF-PH”) activity in Phase 3 clinical development for the treatment of anemia in chronic kidney disease (“CKD”) and myelodysplastic syndromes (“MDS”). Pamrevlumab (FG-3019), a human monoclonal antibody that inhibits the activity of connective tissue growth factor (“CTGF”) is in Phase 2 clinical development for the treatment of idiopathic pulmonary fibrosis (“IPF”), pancreatic cancer, and Duchenne muscular dystrophy (“DMD”). We are taking a global approach to the development and future commercialization of our product candidates, and this includes development and commercialization in the People’s Republic of China (“China”). We are capitalizing on our extensive experience in fibrosis and HIF biology and clinical development to advance a pipeline of innovative medicines for the treatment of anemia, fibrotic disease cancer, corneal blindness and other serious unmet medical needs.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6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jc w:val="right"/>
              <w:ind w:right="75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694"/>
              <w:spacing w:after="0" w:line="155" w:lineRule="exact"/>
              <w:rPr>
                <w:sz w:val="20"/>
                <w:szCs w:val="20"/>
                <w:color w:val="auto"/>
              </w:rPr>
            </w:pPr>
            <w:r>
              <w:rPr>
                <w:rFonts w:ascii="Arial" w:cs="Arial" w:eastAsia="Arial" w:hAnsi="Arial"/>
                <w:sz w:val="14"/>
                <w:szCs w:val="14"/>
                <w:b w:val="1"/>
                <w:bCs w:val="1"/>
                <w:color w:val="auto"/>
              </w:rPr>
              <w:t>2017 *</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80" w:type="dxa"/>
            <w:vAlign w:val="bottom"/>
            <w:gridSpan w:val="5"/>
          </w:tcPr>
          <w:p>
            <w:pPr>
              <w:jc w:val="right"/>
              <w:ind w:right="814"/>
              <w:spacing w:after="0" w:line="155" w:lineRule="exact"/>
              <w:rPr>
                <w:sz w:val="20"/>
                <w:szCs w:val="20"/>
                <w:color w:val="auto"/>
              </w:rPr>
            </w:pPr>
            <w:r>
              <w:rPr>
                <w:rFonts w:ascii="Arial" w:cs="Arial" w:eastAsia="Arial" w:hAnsi="Arial"/>
                <w:sz w:val="14"/>
                <w:szCs w:val="14"/>
                <w:b w:val="1"/>
                <w:bCs w:val="1"/>
                <w:color w:val="auto"/>
              </w:rPr>
              <w:t>(in thousands, except for per share data)</w:t>
            </w: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Revenue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31,925</w:t>
            </w:r>
          </w:p>
        </w:tc>
        <w:tc>
          <w:tcPr>
            <w:tcW w:w="12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29,442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72,524</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58,262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(41,396)</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(30,610)</w:t>
            </w: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(0.50)</w:t>
            </w: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(0.48)</w:t>
            </w:r>
          </w:p>
        </w:tc>
      </w:tr>
      <w:tr>
        <w:trPr>
          <w:trHeight w:val="4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2018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December 31, 2017</w:t>
            </w: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(in thousands)</w:t>
            </w:r>
          </w:p>
        </w:tc>
        <w:tc>
          <w:tcPr>
            <w:tcW w:w="1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659,007</w:t>
            </w:r>
          </w:p>
        </w:tc>
        <w:tc>
          <w:tcPr>
            <w:tcW w:w="12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673,658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55,267</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72,566</w:t>
            </w:r>
          </w:p>
        </w:tc>
        <w:tc>
          <w:tcPr>
            <w:tcW w:w="80" w:type="dxa"/>
            <w:vAlign w:val="bottom"/>
            <w:shd w:val="clear" w:color="auto" w:fill="CFF0FC"/>
          </w:tcPr>
          <w:p>
            <w:pPr>
              <w:spacing w:after="0"/>
              <w:rPr>
                <w:sz w:val="19"/>
                <w:szCs w:val="19"/>
                <w:color w:val="auto"/>
              </w:rPr>
            </w:pPr>
          </w:p>
        </w:tc>
      </w:tr>
    </w:tbl>
    <w:p>
      <w:pPr>
        <w:spacing w:after="0" w:line="148"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Note 1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090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revenue for the three months ended March 31, 2018 increased compared to the same period a year ago primarily due to an increase in co-development billings related to the development of roxadustat.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expenses for the three months ended March 31, 2018 increased compared to the same period a year ago primarily due to higher employee-related expenses resulting from higher average compensation level and higher headcount; higher facility related expenses relative to the prior period in which our property taxes were reduced as a result of a final settlement we obtained related to historical property tax payments; and higher stock-based compensation due to cumulative impact of stock option grant activities.</w:t>
      </w:r>
    </w:p>
    <w:p>
      <w:pPr>
        <w:spacing w:after="0" w:line="18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During the three months ended March 31, 2018, we had a net loss of $41.4 million, or net loss per basic and diluted share of $0.50, as compared to a net loss of $30.6 million for the same period a year ago, due to an increase in operating expenses, partially offset by an increase in revenue.</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Cash and cash equivalents, investments and accounts receivable totaled $724.2 million at March 31, 2018, a decrease of $30.5 million from December 31, 2017, primarily due to the cash used in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Chronic Kidney Disease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Roxadustat, the most advanced HIF-PH inhibitor in clinical development, acts by stimulating the body’s natural pathway of erythropoiesis, or red blood cell production. We, along with our collaboration partners, Astellas Pharma Inc. (“Astellas”) and AstraZeneca AB (“AstraZeneca”), are advancing roxadustat through a global Phase 3 program to support regulatory approvals in the United States (“U.S.”), Europe, Japan, and China for both dialysis-dependent CKD (“DD-CKD”) patients and non-dialysis-dependent CKD (“NDD-CKD”) patients. These Phase 3 programs are studying multiple patient populations, including incident dialysis patients and stable dialysis patients in which roxadustat is compared to epoetin alfa, as well as non-dialysis patients in which roxadustat is compared to placebo.</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our U.S. CKD anemia program, we have agreed with our partner, AstraZeneca, to complete enrollment of our Phase 3 studies in the second quarter of 2018, have the last patient visit in the third quarter of 2018, report topline individual study results in the fourth quarter of 2018, and report pooled safety data prior to the submission of the New Drug Application (“NDA”) for roxadustat in the first half of 2019.</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China Food and Drug Administration (now reorganized and known as the State Drug Administration (“SDA”)) continues to review our NDA submission for the registration of roxadustat to treat anemia for DD-CKD patients and NDD-CKD patients in China. We currently anticipate a market approval decision for our CKD anemia NDA in China by the end of 2018. We recently passed an inspection of our manufacturing facility in Cangzhou, Hebei, and received a Pharmaceutical Production Permit, a significant step before certification of this facility for commercial manufacturing of the active pharmaceutical ingredient for roxadustat.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 Japan, Astellas has completed four of its six Phase 3 anemia studies. In 2017, Astellas and FibroGen reported results from Astellas’ multi-center, open-label Phase 3 study of roxadustat in peritoneal dialysis CKD patients with anemia. Astellas recently reported topline results from two open-label Phase 3 hemodialysis studies, a long-term ESA-conversion study and an ESA-naïve correction study.</w:t>
      </w:r>
    </w:p>
    <w:p>
      <w:pPr>
        <w:spacing w:after="0" w:line="18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long-term ESA-conversion hemodialysis study evaluating roxadustat for the treatment of anemia in CKD randomized 164 patients to starting doses of either 70 mg or 100 mg of roxadustat administered orally three times weekly, followed by dose titration. Roxadustat was well-tolerated and maintained hemoglobin levels within the target hemoglobin range of 10.0 to 12.0 g/dL in 79.1% of patients at weeks 18-24 and in 71.2% of patients at weeks 46-52.</w:t>
      </w:r>
    </w:p>
    <w:p>
      <w:pPr>
        <w:spacing w:after="0" w:line="14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hemodialysis ESA-naïve correction study evaluating roxadustat for the treatment of anemia in CKD randomized 75 patients to starting doses of either 50 mg or 70 mg of roxadustat administered orally three times weekly, followed by dose titration. Roxadustat was well-tolerated and the hemoglobin response rate from baseline to end of treatment (24 weeks) was 86.5% in patients with a starting dose of 50 mg and 89.2% in patients with a starting dose of 70</w:t>
      </w:r>
    </w:p>
    <w:p>
      <w:pPr>
        <w:ind w:right="40"/>
        <w:spacing w:after="0" w:line="290" w:lineRule="auto"/>
        <w:rPr>
          <w:sz w:val="20"/>
          <w:szCs w:val="20"/>
          <w:color w:val="auto"/>
        </w:rPr>
      </w:pPr>
      <w:r>
        <w:rPr>
          <w:rFonts w:ascii="Arial" w:cs="Arial" w:eastAsia="Arial" w:hAnsi="Arial"/>
          <w:sz w:val="17"/>
          <w:szCs w:val="17"/>
          <w:color w:val="auto"/>
        </w:rPr>
        <w:t>mg. Response rate was defined as the proportion of patients who achieved hemoglobin of 10.0 g/dL or more, and who achieved a hemoglobin increase of 1.0 g/dL or more. The preliminary safety analyses for both trials was consistent with the safety profile of roxadustat in previous clinical trials.</w:t>
      </w:r>
    </w:p>
    <w:p>
      <w:pPr>
        <w:spacing w:after="0" w:line="16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Astellas expects to report topline data from its Phase 3 active-comparator, hemodialysis ESA-conversion study in the second quarter of 2018 and one of its Phase 3 NDD-CKD studies in the fourth quarter of 2018. In addition, Astellas expects to submit an NDA in Japan for anemia associated with DD-CKD in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Myelodysplastic Syndromes (MDS)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initiated a Phase 3 clinical trial to evaluate the safety and efficacy of roxadustat for treatment of anemia in MDS patients in the United States and Europe.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China, we expect to initiate our Phase 2/3 MDS clinical trial application to evaluate roxadustat for the treatment of anemia in patients with MDS in the first half of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(FG-3019) – Monoclonal Antibody Against Connective Tissue Growth Factor (CTGF)</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Pamrevlumab is our human monoclonal antibody that inhibits the activity of CTGF, a central mediator and critical common element of the progression of fibrotic and fibro-proliferative diseases. We are currently conducting Phase 2 trials in pancreatic cancer and DMD and we have completed our Phase 2 trial in IPF. Pamrevlumab has received orphan drug designation in IPF in the U.S. and recently received Fast Track designation from the U.S. Food and Drug Administration (“FDA”) for the treatment of patients with locally advanced unresectable pancreatic cancer.</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2017, we reported positive topline results from our randomized, double-blind, placebo-controlled Phase 2 clinical trial designed to evaluate the safety and efficacy of pamrevlumab in patients with mild-to-moderate IPF. We also reported topline results from two sub-studies that were added to this trial to evaluate the safety of combining pamrevlumab with recently approved IPF therapies. We expect to receive feedback from the FDA on our Phase 3 plan in IPF in mid-2018.</w:t>
      </w:r>
    </w:p>
    <w:p>
      <w:pPr>
        <w:spacing w:after="0" w:line="18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pancreatic cancer, we will report updated results from our ongoing open-label Phase 2 trial of pamrevlumab in locally advanced unresectable pancreatic cancer at the ASCO Annual Meeting in June 2018. Of the 37 patients randomized in this study, a higher percentage of the patients treated with pamrevlumab plus gemcitabine and nab-paclitaxel were eligible for surgery and were resected in comparison to the patients treated with gemcitabine and nab-paclitaxel alone. While patients continue to be monitored in this study for survival and safety, there appears to be a survival benefit for patients who have undergone tumor resection. We expect to reach agreement with the FDA on a pivotal trial design for pancreatic cancer by mid-2018.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2018 we completed enrollment of our Phase 2 open-label trial of pamrevlumab in 21 non-ambulatory DMD patients.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Astellas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June 2005, we entered into a collaboration agreement with Astellas for roxadustat for the treatment of anemia in Japan (“Japan Agreement”). In April 2006, we entered into the Europe Agreement with Astellas for roxadustat for the treatment of anemia in Europe, the Commonwealth of Independent States, the Middle East, and South Africa. Under these agreements, we provide Astellas the right to develop and commercialize roxadustat for anemia indications in these territories.</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share responsibility with Astellas for clinical development activities required for the United States (“U.S.”) and the European Union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7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The aggregate amount of such consideration received through March 31, 2018 totals $472.6 million.</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Additionally, under these agreements, Astellas pays 100% of the commercialization costs in its territories. Astellas will pay us a transfer price, based on net sales, in the low 20% range for our manufacture and delivery of roxadustat.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of March 31, 2018, Astellas had separate investments of $80.5 million in the equity of FibroGen,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AstraZeneca</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July 2013, we entered into the U.S./RoW Agreement, a collaboration agreement with AstraZeneca for roxadustat for the treatment of anemia in the U.S. and all territories not previously licensed to Astellas, except China. In July 2013, through our China subsidiary and related affiliates, we entered into the China Agreement, a collaboration agreement with AstraZeneca for roxadustat for the treatment of anemia in China. Under these agreements we provide AstraZeneca the right to develop and commercialize roxadustat for anemia in these territories. We share responsibility with AstraZeneca for clinical development activities required for U.S. regulatory approval of roxadustat.</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Now that we have reached the $116.5 million cap on our initial funding obligations (during which time we shared 50% of the joint initial development costs), all development and commercialization costs for roxadustat for the treatment of anemia in CKD in the U.S., Europe, Japan and all other markets outside of China have been paid by Astellas and AstraZeneca since reaching the cap.</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China, FibroGen (China) Medical Technology Development Co., Ltd. (“FibroGen Beijing”) will conduct the development work for CKD anemia, will hold all of the regulatory licenses issued by China regulatory authorities, and will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AstraZeneca agreements.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In October 2017, the SDA accepted our recently submitted NDA for registration of roxadustat for anemia in DD-CKD and NDD-CKD patients. This NDA submission triggered a $15.0 million milestone payment to FibroGen by AstraZeneca, which was received and fully recognized under our revenue recognition policy as license revenue in the fourth quarter of 2017. The aggregate amount of such consideration received through March 31, 2018 totals $432.2 million.</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U.S./RoW Agreement, AstraZeneca will pay for all commercialization costs in the U.S. and RoW and AstraZeneca will be responsible for the U.S. commercialization of roxadustat, with FibroGen undertaking specified promotional activities in the end-stage renal disease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China Agreement, which is conducted through FibroGen China Anemia Holdings, Ltd. (“FibroGen China”), the commercial collaboration is structured as a 50/50 profit share. AstraZeneca will conduct commercialization activities in China as well as serve as the master distributor for roxadustat and fund roxadustat launch costs in China until FibroGen Beijing has achieved profitability. At that time, AstraZeneca will recoup 50% of their historical launch costs out of initial roxadustat profits in China.</w:t>
      </w:r>
    </w:p>
    <w:p>
      <w:pPr>
        <w:spacing w:after="0" w:line="187"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In September 2016, AstraZeneca approved the protocol related to the development of roxadustat for the treatment of anemia in patients with MDS, for which we have received approval from the SDA for our clinical trial application in China for a Phase 2/3 trial and acceptance of our IND from the FDA for a Phase 3 trial in the U.S. As a result, for revenue recognition purposes, during the third quarter of 2016, we extended the estimated joint development service period for the AstraZeneca agreements from the end of 2018 to the end of 2020, to allow for development of MDS.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for paying for a substantial portion of the post-termination development costs under the agreed development plan until regulatory approval.</w:t>
      </w:r>
    </w:p>
    <w:p>
      <w:pPr>
        <w:spacing w:after="0" w:line="18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for paying for transition costs as well as make a specified payment to FibroGen China.</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Related to Collaboration Agreements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Total cash consideration received through March 31, 2018 and potential cash consideration, other than development cost reimbursement, transfer price payments, royalties and profit share, pursuant to our existing collaboration agreements are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center"/>
              <w:ind w:right="175"/>
              <w:spacing w:after="0"/>
              <w:rPr>
                <w:sz w:val="20"/>
                <w:szCs w:val="20"/>
                <w:color w:val="auto"/>
              </w:rPr>
            </w:pPr>
            <w:r>
              <w:rPr>
                <w:rFonts w:ascii="Arial" w:cs="Arial" w:eastAsia="Arial" w:hAnsi="Arial"/>
                <w:sz w:val="14"/>
                <w:szCs w:val="14"/>
                <w:b w:val="1"/>
                <w:bCs w:val="1"/>
                <w:color w:val="auto"/>
                <w:w w:val="93"/>
              </w:rPr>
              <w:t>Cash</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ind w:right="217"/>
              <w:spacing w:after="0"/>
              <w:rPr>
                <w:sz w:val="20"/>
                <w:szCs w:val="20"/>
                <w:color w:val="auto"/>
              </w:rPr>
            </w:pPr>
            <w:r>
              <w:rPr>
                <w:rFonts w:ascii="Arial" w:cs="Arial" w:eastAsia="Arial" w:hAnsi="Arial"/>
                <w:sz w:val="14"/>
                <w:szCs w:val="14"/>
                <w:b w:val="1"/>
                <w:bCs w:val="1"/>
                <w:color w:val="auto"/>
                <w:w w:val="96"/>
              </w:rPr>
              <w:t>Additional</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2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1"/>
              </w:rPr>
              <w:t>Received Through</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4"/>
              </w:rPr>
              <w:t>Potential</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Potential</w:t>
            </w:r>
          </w:p>
        </w:tc>
      </w:tr>
      <w:tr>
        <w:trPr>
          <w:trHeight w:val="171"/>
        </w:trPr>
        <w:tc>
          <w:tcPr>
            <w:tcW w:w="2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center"/>
              <w:ind w:right="175"/>
              <w:spacing w:after="0"/>
              <w:rPr>
                <w:sz w:val="20"/>
                <w:szCs w:val="20"/>
                <w:color w:val="auto"/>
              </w:rPr>
            </w:pPr>
            <w:r>
              <w:rPr>
                <w:rFonts w:ascii="Arial" w:cs="Arial" w:eastAsia="Arial" w:hAnsi="Arial"/>
                <w:sz w:val="14"/>
                <w:szCs w:val="14"/>
                <w:b w:val="1"/>
                <w:bCs w:val="1"/>
                <w:color w:val="auto"/>
                <w:w w:val="96"/>
              </w:rPr>
              <w:t>March 31, 2018</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ind w:right="217"/>
              <w:spacing w:after="0"/>
              <w:rPr>
                <w:sz w:val="20"/>
                <w:szCs w:val="20"/>
                <w:color w:val="auto"/>
              </w:rPr>
            </w:pPr>
            <w:r>
              <w:rPr>
                <w:rFonts w:ascii="Arial" w:cs="Arial" w:eastAsia="Arial" w:hAnsi="Arial"/>
                <w:sz w:val="14"/>
                <w:szCs w:val="14"/>
                <w:b w:val="1"/>
                <w:bCs w:val="1"/>
                <w:color w:val="auto"/>
                <w:w w:val="90"/>
              </w:rPr>
              <w:t>Cash Payments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Cash Payments</w:t>
            </w:r>
          </w:p>
        </w:tc>
      </w:tr>
      <w:tr>
        <w:trPr>
          <w:trHeight w:val="156"/>
        </w:trPr>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jc w:val="center"/>
              <w:ind w:right="217"/>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840" w:type="dxa"/>
            <w:vAlign w:val="bottom"/>
          </w:tcPr>
          <w:p>
            <w:pPr>
              <w:ind w:left="240"/>
              <w:spacing w:after="0"/>
              <w:rPr>
                <w:sz w:val="20"/>
                <w:szCs w:val="20"/>
                <w:color w:val="auto"/>
              </w:rPr>
            </w:pPr>
            <w:r>
              <w:rPr>
                <w:rFonts w:ascii="Arial" w:cs="Arial" w:eastAsia="Arial" w:hAnsi="Arial"/>
                <w:sz w:val="18"/>
                <w:szCs w:val="18"/>
                <w:color w:val="auto"/>
              </w:rPr>
              <w:t>Japan Agreement</w:t>
            </w:r>
          </w:p>
        </w:tc>
        <w:tc>
          <w:tcPr>
            <w:tcW w:w="11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62,593</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110,000</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172,593</w:t>
            </w:r>
          </w:p>
        </w:tc>
        <w:tc>
          <w:tcPr>
            <w:tcW w:w="120" w:type="dxa"/>
            <w:vAlign w:val="bottom"/>
          </w:tcPr>
          <w:p>
            <w:pPr>
              <w:spacing w:after="0"/>
              <w:rPr>
                <w:sz w:val="19"/>
                <w:szCs w:val="19"/>
                <w:color w:val="auto"/>
              </w:rPr>
            </w:pPr>
          </w:p>
        </w:tc>
      </w:tr>
      <w:tr>
        <w:trPr>
          <w:trHeight w:val="230"/>
        </w:trPr>
        <w:tc>
          <w:tcPr>
            <w:tcW w:w="2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Europe Agreement</w:t>
            </w:r>
          </w:p>
        </w:tc>
        <w:tc>
          <w:tcPr>
            <w:tcW w:w="9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20" w:type="dxa"/>
            <w:vAlign w:val="bottom"/>
            <w:shd w:val="clear" w:color="auto" w:fill="CFF0FC"/>
          </w:tcPr>
          <w:p>
            <w:pPr>
              <w:spacing w:after="0"/>
              <w:rPr>
                <w:sz w:val="19"/>
                <w:szCs w:val="19"/>
                <w:color w:val="auto"/>
              </w:rPr>
            </w:pPr>
          </w:p>
        </w:tc>
      </w:tr>
      <w:tr>
        <w:trPr>
          <w:trHeight w:val="223"/>
        </w:trPr>
        <w:tc>
          <w:tcPr>
            <w:tcW w:w="2840" w:type="dxa"/>
            <w:vAlign w:val="bottom"/>
          </w:tcPr>
          <w:p>
            <w:pPr>
              <w:ind w:left="500"/>
              <w:spacing w:after="0"/>
              <w:rPr>
                <w:sz w:val="20"/>
                <w:szCs w:val="20"/>
                <w:color w:val="auto"/>
              </w:rPr>
            </w:pPr>
            <w:r>
              <w:rPr>
                <w:rFonts w:ascii="Arial" w:cs="Arial" w:eastAsia="Arial" w:hAnsi="Arial"/>
                <w:sz w:val="18"/>
                <w:szCs w:val="18"/>
                <w:color w:val="auto"/>
              </w:rPr>
              <w:t>Total Astellas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472,593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445,000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917,593</w:t>
            </w:r>
          </w:p>
        </w:tc>
        <w:tc>
          <w:tcPr>
            <w:tcW w:w="120" w:type="dxa"/>
            <w:vAlign w:val="bottom"/>
          </w:tcPr>
          <w:p>
            <w:pPr>
              <w:spacing w:after="0"/>
              <w:rPr>
                <w:sz w:val="19"/>
                <w:szCs w:val="19"/>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840" w:type="dxa"/>
            <w:vAlign w:val="bottom"/>
          </w:tcPr>
          <w:p>
            <w:pPr>
              <w:ind w:left="240"/>
              <w:spacing w:after="0"/>
              <w:rPr>
                <w:sz w:val="20"/>
                <w:szCs w:val="20"/>
                <w:color w:val="auto"/>
              </w:rPr>
            </w:pPr>
            <w:r>
              <w:rPr>
                <w:rFonts w:ascii="Arial" w:cs="Arial" w:eastAsia="Arial" w:hAnsi="Arial"/>
                <w:sz w:val="18"/>
                <w:szCs w:val="18"/>
                <w:color w:val="auto"/>
              </w:rPr>
              <w:t>U.S. / RoW Agreement</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389,000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860,000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1,249,000</w:t>
            </w:r>
          </w:p>
        </w:tc>
        <w:tc>
          <w:tcPr>
            <w:tcW w:w="120" w:type="dxa"/>
            <w:vAlign w:val="bottom"/>
          </w:tcPr>
          <w:p>
            <w:pPr>
              <w:spacing w:after="0"/>
              <w:rPr>
                <w:sz w:val="19"/>
                <w:szCs w:val="19"/>
                <w:color w:val="auto"/>
              </w:rPr>
            </w:pPr>
          </w:p>
        </w:tc>
      </w:tr>
      <w:tr>
        <w:trPr>
          <w:trHeight w:val="230"/>
        </w:trPr>
        <w:tc>
          <w:tcPr>
            <w:tcW w:w="2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China Agreement</w:t>
            </w:r>
          </w:p>
        </w:tc>
        <w:tc>
          <w:tcPr>
            <w:tcW w:w="9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333,500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20" w:type="dxa"/>
            <w:vAlign w:val="bottom"/>
            <w:shd w:val="clear" w:color="auto" w:fill="CFF0FC"/>
          </w:tcPr>
          <w:p>
            <w:pPr>
              <w:spacing w:after="0"/>
              <w:rPr>
                <w:sz w:val="19"/>
                <w:szCs w:val="19"/>
                <w:color w:val="auto"/>
              </w:rPr>
            </w:pPr>
          </w:p>
        </w:tc>
      </w:tr>
      <w:tr>
        <w:trPr>
          <w:trHeight w:val="223"/>
        </w:trPr>
        <w:tc>
          <w:tcPr>
            <w:tcW w:w="2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AstraZeneca</w:t>
            </w: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432,200</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1,193,500</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20" w:type="dxa"/>
            <w:vAlign w:val="bottom"/>
            <w:tcBorders>
              <w:bottom w:val="single" w:sz="8" w:color="CFF0FC"/>
            </w:tcBorders>
          </w:tcPr>
          <w:p>
            <w:pPr>
              <w:spacing w:after="0"/>
              <w:rPr>
                <w:sz w:val="19"/>
                <w:szCs w:val="19"/>
                <w:color w:val="auto"/>
              </w:rPr>
            </w:pPr>
          </w:p>
        </w:tc>
      </w:tr>
      <w:tr>
        <w:trPr>
          <w:trHeight w:val="223"/>
        </w:trPr>
        <w:tc>
          <w:tcPr>
            <w:tcW w:w="2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904,793</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1,638,500</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These collaboration agreements also provide for reimbursement of certain fully burdened research and development costs as well as direct out of pocket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2017 *</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License revenue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67"/>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r>
      <w:tr>
        <w:trPr>
          <w:trHeight w:val="230"/>
        </w:trPr>
        <w:tc>
          <w:tcPr>
            <w:tcW w:w="2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Development and other revenue</w:t>
            </w:r>
          </w:p>
        </w:tc>
        <w:tc>
          <w:tcPr>
            <w:tcW w:w="8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31,925</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29,442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2,483</w:t>
            </w:r>
          </w:p>
        </w:tc>
        <w:tc>
          <w:tcPr>
            <w:tcW w:w="3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36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8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31,925</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2,483</w:t>
            </w: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80" w:firstLine="8"/>
        <w:spacing w:after="0" w:line="563" w:lineRule="auto"/>
        <w:tabs>
          <w:tab w:leader="none" w:pos="473"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Recast to reflect the adoption of the new revenue standards. See Note 1 to the condensed consolidated financial statements. Our revenue to date has been generated substantially from our collaboration agreements with Astellas and AstraZeneca.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12090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64" w:lineRule="auto"/>
        <w:rPr>
          <w:sz w:val="20"/>
          <w:szCs w:val="20"/>
          <w:color w:val="auto"/>
        </w:rPr>
      </w:pPr>
      <w:r>
        <w:rPr>
          <w:rFonts w:ascii="Arial" w:cs="Arial" w:eastAsia="Arial" w:hAnsi="Arial"/>
          <w:sz w:val="18"/>
          <w:szCs w:val="18"/>
          <w:color w:val="auto"/>
        </w:rPr>
        <w:t>Under our revenue recognition policy, license revenue includes amounts from upfront, non-refundable license payments and amounts allocated pursuant to the standalone selling price method from other consideration received during the periods. This revenue is generally recognized as deliverables are met and services are performed. There was no license revenue for the three months ended March 31, 2018 and 2017.</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Development revenue include co-development and other development related services. Co-development services are recognized as revenue in the period in which they are billed to our partners, excluding China. For China co-development services, revenue is deferred until the end of the development period once all performance obligations have been satisfied. Other development related services are recognized as revenue over the non-contingent development period, ranging from 36 to 89 months, based on a proportional performance method. Other revenues consist of sales of research and development material and have been included with Development and other revenue in the condensed consolidated statements of operations, as they have not been material for any of the years presented.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have not generated any revenues based on the sale of FDA or SDA approved products. In the future, we may generate revenue from product sales and from collaboration agreements in the form of license fees, milestone payments, reimbursements for collaboration services and royalties on product sales. We expect that any revenues we generate will fluctuate from quarter to quarter as a result of the uncertain timing and amount of such payments and sales.</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Development and other revenue increased $2.5 million, or 8% for the three months ended March 31, 2018, compared to the same period a year ago for the reasons discussed in the sections below.</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2017 *</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Development revenue:</w:t>
            </w: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Astellas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5,172</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4,686</w:t>
            </w:r>
          </w:p>
        </w:tc>
        <w:tc>
          <w:tcPr>
            <w:tcW w:w="240" w:type="dxa"/>
            <w:vAlign w:val="bottom"/>
          </w:tcPr>
          <w:p>
            <w:pPr>
              <w:spacing w:after="0"/>
              <w:rPr>
                <w:sz w:val="19"/>
                <w:szCs w:val="19"/>
                <w:color w:val="auto"/>
              </w:rPr>
            </w:pPr>
          </w:p>
        </w:tc>
        <w:tc>
          <w:tcPr>
            <w:tcW w:w="600" w:type="dxa"/>
            <w:vAlign w:val="bottom"/>
            <w:gridSpan w:val="2"/>
          </w:tcPr>
          <w:p>
            <w:pPr>
              <w:jc w:val="right"/>
              <w:ind w:right="42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486</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AstraZeneca</w:t>
            </w:r>
          </w:p>
        </w:tc>
        <w:tc>
          <w:tcPr>
            <w:tcW w:w="5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26,723</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1,967</w:t>
            </w: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680" w:type="dxa"/>
            <w:vAlign w:val="bottom"/>
          </w:tcPr>
          <w:p>
            <w:pPr>
              <w:ind w:left="480"/>
              <w:spacing w:after="0"/>
              <w:rPr>
                <w:sz w:val="20"/>
                <w:szCs w:val="20"/>
                <w:color w:val="auto"/>
              </w:rPr>
            </w:pPr>
            <w:r>
              <w:rPr>
                <w:rFonts w:ascii="Arial" w:cs="Arial" w:eastAsia="Arial" w:hAnsi="Arial"/>
                <w:sz w:val="18"/>
                <w:szCs w:val="18"/>
                <w:color w:val="auto"/>
              </w:rPr>
              <w:t>Total development revenue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31,895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29,442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2,453</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Other revenue</w:t>
            </w: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680" w:type="dxa"/>
            <w:vAlign w:val="bottom"/>
          </w:tcPr>
          <w:p>
            <w:pPr>
              <w:ind w:left="480"/>
              <w:spacing w:after="0"/>
              <w:rPr>
                <w:sz w:val="20"/>
                <w:szCs w:val="20"/>
                <w:color w:val="auto"/>
              </w:rPr>
            </w:pPr>
            <w:r>
              <w:rPr>
                <w:rFonts w:ascii="Arial" w:cs="Arial" w:eastAsia="Arial" w:hAnsi="Arial"/>
                <w:sz w:val="18"/>
                <w:szCs w:val="18"/>
                <w:color w:val="auto"/>
              </w:rPr>
              <w:t>Total development and other revenue</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31,925</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29,442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2,483</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48" w:lineRule="exact"/>
        <w:rPr>
          <w:sz w:val="20"/>
          <w:szCs w:val="20"/>
          <w:color w:val="auto"/>
        </w:rPr>
      </w:pPr>
    </w:p>
    <w:p>
      <w:pPr>
        <w:ind w:left="740" w:hanging="732"/>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Note 1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090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Development revenue recognized under our collaboration agreements with AstraZeneca increase $2.0 million, or 8%, and development revenue recognized under our collaboration agreements with Astellas increase $0.5 million, or 10%, primarily due to an increase in co-development billings related to the development of roxadustat.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ind w:left="46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60" w:type="dxa"/>
            <w:vAlign w:val="bottom"/>
            <w:gridSpan w:val="6"/>
          </w:tcPr>
          <w:p>
            <w:pPr>
              <w:ind w:left="2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56,974</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ind w:left="300"/>
              <w:spacing w:after="0"/>
              <w:rPr>
                <w:sz w:val="20"/>
                <w:szCs w:val="20"/>
                <w:color w:val="auto"/>
              </w:rPr>
            </w:pPr>
            <w:r>
              <w:rPr>
                <w:rFonts w:ascii="Arial" w:cs="Arial" w:eastAsia="Arial" w:hAnsi="Arial"/>
                <w:sz w:val="18"/>
                <w:szCs w:val="18"/>
                <w:color w:val="auto"/>
                <w:w w:val="90"/>
              </w:rPr>
              <w:t>46,732</w:t>
            </w:r>
          </w:p>
        </w:tc>
        <w:tc>
          <w:tcPr>
            <w:tcW w:w="260" w:type="dxa"/>
            <w:vAlign w:val="bottom"/>
          </w:tcPr>
          <w:p>
            <w:pPr>
              <w:spacing w:after="0"/>
              <w:rPr>
                <w:sz w:val="19"/>
                <w:szCs w:val="19"/>
                <w:color w:val="auto"/>
              </w:rPr>
            </w:pP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10,242</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15,550</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90"/>
              </w:rPr>
              <w:t>11,530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4,020</w:t>
            </w: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22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9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72,524</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0"/>
              </w:rPr>
              <w:t>58,262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14,262</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operating expenses increased $14.3 million, or 24%, for the three months ended March 31, 2018, compared to the same period a year ago, for the reasons discussed in the sections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Research and development expenses consist of third 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incurred during the three months ended March 31, 2018 and 2017:</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1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98"/>
              </w:rPr>
              <w:t>Phase of Development</w:t>
            </w: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60" w:type="dxa"/>
            <w:vAlign w:val="bottom"/>
            <w:gridSpan w:val="2"/>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0" w:type="dxa"/>
            <w:vAlign w:val="bottom"/>
            <w:gridSpan w:val="4"/>
          </w:tcPr>
          <w:p>
            <w:pPr>
              <w:jc w:val="right"/>
              <w:ind w:right="630"/>
              <w:spacing w:after="0" w:line="155"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Roxadustat</w:t>
            </w:r>
          </w:p>
        </w:tc>
        <w:tc>
          <w:tcPr>
            <w:tcW w:w="1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Phase 3</w:t>
            </w:r>
          </w:p>
        </w:tc>
        <w:tc>
          <w:tcPr>
            <w:tcW w:w="1160" w:type="dxa"/>
            <w:vAlign w:val="bottom"/>
            <w:tcBorders>
              <w:top w:val="single" w:sz="8" w:color="CFF0FC"/>
            </w:tcBorders>
            <w:gridSpan w:val="2"/>
            <w:shd w:val="clear" w:color="auto" w:fill="CFF0FC"/>
          </w:tcPr>
          <w:p>
            <w:pPr>
              <w:jc w:val="right"/>
              <w:ind w:right="822"/>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8"/>
              </w:rPr>
              <w:t>37,424</w:t>
            </w:r>
          </w:p>
        </w:tc>
        <w:tc>
          <w:tcPr>
            <w:tcW w:w="2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gridSpan w:val="2"/>
            <w:shd w:val="clear" w:color="auto" w:fill="CFF0FC"/>
          </w:tcPr>
          <w:p>
            <w:pPr>
              <w:jc w:val="right"/>
              <w:ind w:right="85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8"/>
              </w:rPr>
              <w:t>29,952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Pamrevlumab</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Phase 2</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12,848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11,361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FG-6874</w:t>
            </w:r>
          </w:p>
        </w:tc>
        <w:tc>
          <w:tcPr>
            <w:tcW w:w="16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Phase 1</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FG-5200</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Preclinical</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56,974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5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46,732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continue to increase in the future as we advance our product candidates through clinical trials and expand our product candidate portfolio.</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Research and development expenses increased $10.2 million, or 22%, for the three months ended March 31, 2018, compared to the same period a year ago. The increase was primarily due to increases in employee-related costs of $4.1 million, allocated facility related expense of $4.0 million, stock-based compensation expense of $1.5 million and outside services of $0.6 million. Employee-related costs increased due to higher headcount and higher average compensation level. Facility related expenses, as part of the allocated overhead costs, was higher relative to the prior period in which our property taxes were reduced as a result of a final settlement we obtained related to historical property tax payments. Stock-based compensation expense increased due to cumulative impact of stock option grant activities. Outside services costs increased due to higher scientific contract work related to roxadustat and other HIF-PH inhibitors.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and Administrative Expenses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General and administrative expenses consist primarily of employee-related expenses for executive, operational, finance, legal, compliance, and human resource functions. Other general and administrative expenses include facility-related costs and professional fees, accounting and legal services, other outside services, recruiting fees and expenses associated with obtaining and maintaining patents.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and development and potential commercialization of our product candidates. We also anticipate increased expenses, including exchange listing and SEC requirements, director and officer insurance premiums, legal, audit and tax fees, regulatory compliance programs, and investor relations costs associated with being a public company and ceasing to be an emerging growth company. Additionally, if and when we believe the first regulatory approval of one of our product candidates appears likely, we anticipate an increase in payroll and related expenses as a result of our preparation for commercial operations, especially as it relates to the sales and marketing of our product candidates.</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General and administrative expenses increased $4.0 million, or 35%, for the three months ended March 31, 2018, compared to the same period a year ago, primarily due to increases in employee-related costs of $1.3 million, facility related expense of $1.3 million and stock-based compensation expense of $1.0 million. Employee-related costs increased due to higher average compensation level, higher headcount, and increased recruiting activities. Stock-based compensation expense increased due to cumulative impact of stock option grant activities. Facility related expenses, as part of the allocated overhead costs, was higher relative to the prior period in which our property taxes were reduced as a result of a final settlement we obtained related to historical property tax payments.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 (Expense), Net</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2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6"/>
              </w:rPr>
              <w:t>Three Months Ended March 31,</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Change</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net:</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(2,769)</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(2,375)</w:t>
            </w:r>
          </w:p>
        </w:tc>
        <w:tc>
          <w:tcPr>
            <w:tcW w:w="560" w:type="dxa"/>
            <w:vAlign w:val="bottom"/>
            <w:gridSpan w:val="2"/>
          </w:tcPr>
          <w:p>
            <w:pPr>
              <w:jc w:val="right"/>
              <w:ind w:right="387"/>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(394)</w:t>
            </w: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and other, net</w:t>
            </w:r>
          </w:p>
        </w:tc>
        <w:tc>
          <w:tcPr>
            <w:tcW w:w="1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1,426</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580" w:type="dxa"/>
            <w:vAlign w:val="bottom"/>
          </w:tcPr>
          <w:p>
            <w:pPr>
              <w:ind w:left="480"/>
              <w:spacing w:after="0"/>
              <w:rPr>
                <w:sz w:val="20"/>
                <w:szCs w:val="20"/>
                <w:color w:val="auto"/>
              </w:rPr>
            </w:pPr>
            <w:r>
              <w:rPr>
                <w:rFonts w:ascii="Arial" w:cs="Arial" w:eastAsia="Arial" w:hAnsi="Arial"/>
                <w:sz w:val="18"/>
                <w:szCs w:val="18"/>
                <w:color w:val="auto"/>
              </w:rPr>
              <w:t>Total interest and other, net</w:t>
            </w:r>
          </w:p>
        </w:tc>
        <w:tc>
          <w:tcPr>
            <w:tcW w:w="11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1,032</w:t>
            </w:r>
          </w:p>
        </w:tc>
        <w:tc>
          <w:tcPr>
            <w:tcW w:w="240" w:type="dxa"/>
            <w:vAlign w:val="bottom"/>
          </w:tcPr>
          <w:p>
            <w:pPr>
              <w:spacing w:after="0"/>
              <w:rPr>
                <w:sz w:val="19"/>
                <w:szCs w:val="19"/>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(60) %</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Interest expense includes payments made for imputed interest related to the facility lease financing obligations for our leased facilities in San Francisco and China, as well as interest related to the Technology Development Center of the Republic of Finland product development obligations. Interest expense increased $0.4 million, or 17%, for the three months ended March 31, 2018, compared to the same period a year ago, primarily due to a reduction in the imputed interest resulting from the government rent subsidy received by FibroGen China in 2017.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 and Other, Net</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Interest income and other,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Interest income and other, net increased $1.4 million, or 221%, for the three months ended March 31, 2018, compared to the same period a year ago primarily due to higher interest earned on our cash, cash equivalents and investments associated with the higher average balances.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92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w w:val="94"/>
              </w:rPr>
              <w:t>Three Months Ended March 31,</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 *</w:t>
            </w:r>
          </w:p>
        </w:tc>
        <w:tc>
          <w:tcPr>
            <w:tcW w:w="6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60" w:type="dxa"/>
            <w:vAlign w:val="bottom"/>
            <w:gridSpan w:val="2"/>
          </w:tcPr>
          <w:p>
            <w:pPr>
              <w:jc w:val="center"/>
              <w:ind w:right="319"/>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70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w w:val="95"/>
              </w:rPr>
              <w:t>(41,297)</w:t>
            </w:r>
          </w:p>
        </w:tc>
        <w:tc>
          <w:tcPr>
            <w:tcW w:w="106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2"/>
              </w:rPr>
              <w:t>(30,550)</w:t>
            </w: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jc w:val="right"/>
              <w:ind w:right="214"/>
              <w:spacing w:after="0"/>
              <w:rPr>
                <w:sz w:val="20"/>
                <w:szCs w:val="20"/>
                <w:color w:val="auto"/>
              </w:rPr>
            </w:pPr>
            <w:r>
              <w:rPr>
                <w:rFonts w:ascii="Arial" w:cs="Arial" w:eastAsia="Arial" w:hAnsi="Arial"/>
                <w:sz w:val="18"/>
                <w:szCs w:val="18"/>
                <w:color w:val="auto"/>
              </w:rPr>
              <w:t>99</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Effective tax rate</w:t>
            </w:r>
          </w:p>
        </w:tc>
        <w:tc>
          <w:tcPr>
            <w:tcW w:w="17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r>
    </w:tbl>
    <w:p>
      <w:pPr>
        <w:spacing w:after="0" w:line="148" w:lineRule="exact"/>
        <w:rPr>
          <w:sz w:val="20"/>
          <w:szCs w:val="20"/>
          <w:color w:val="auto"/>
        </w:rPr>
      </w:pPr>
    </w:p>
    <w:p>
      <w:pPr>
        <w:ind w:right="1780" w:firstLine="8"/>
        <w:spacing w:after="0" w:line="530" w:lineRule="auto"/>
        <w:tabs>
          <w:tab w:leader="none" w:pos="738"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Recast to reflect the adoption of the new revenue standards. See Note 1 to the condensed consolidated financial statements. The provisions for income taxes for the three months ended March 31, 2018 and 2017 were due to foreign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12090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ind w:right="220"/>
        <w:spacing w:after="0" w:line="264"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and expected continuing net loss, we have established and continue to maintain a full valuation allowance against our deferred tax assets as we do not currently believe that realization of those assets is more likely than not.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Conditions</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have historically funded our operations principally from the sale of convertible preferred stock and common stock (including our public offering proceeds) and from the execution of certain collaboration agreements involving license payments, milestones and reimbursement for development services.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March 31, 2018, we had cash and cash equivalents of $659.0 million. Cash is invested in accordance with our investment policy, primarily with a view to liquidity and capital preservation. Investments, consisting principally of corporate and government debt securities and stated at fair value, are also available as a source of liquidity. As of March 31, 2018, we had short-term and long-term investments of $44.8 million and $10.5 million, respectively. As of March 31, 2018, a total of $27.7 million of our cash and cash equivalents was held outside of the U.S. in our foreign subsidiaries to be used primarily for our China operations.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To date, we have not generated any revenue from product sales. We do not know when, or if, we will generate any revenue from product sales. We do not expect to generate significant revenue from product sales unless and until we obtain regulatory approval of and commercialize one or more of our current or future product candidates. We anticipate that we will continue to generate losses for the foreseeable future, and we expect the losses to increase as we continue the development of, and seek regulatory approvals for, our product candidates, and begin to commercialize any approved products. To date, we have funded certain portions of our research and development and manufacturing efforts in China and Europe through outside parties. There is no guarantee that sufficient funds will be available to continue to fund these development efforts through commercialization or otherwise.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our existing cash and cash equivalents, short-term and long-term investments and accounts receivable will be sufficient to meet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anticipated cash requirements for at least the next 12 months from the date of this Quarterly Report on Form 10-Q. However, our liquidity assumptions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over time, and we could utilize our available financial resources sooner than we currently expect. In addition, we may elect to raise additional funds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time through equity, equity-linked or debt financing arrangements. Our forecast of the period of time through which our financial resources will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adequate to support our operations is a forward-looking statement and involves risks and uncertainties, and actual results could vary as a result of a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factors. We have based this estimate on assumptions that may prove to be wrong, and we could utilize our available capital resources sooner than we currently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 Our future capital requirements and the adequacy of available funds will depend on many factors, including those set forth under Part II, Item 1A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Risk Fact</w:t>
      </w:r>
      <w:r>
        <w:rPr>
          <w:rFonts w:ascii="Arial" w:cs="Arial" w:eastAsia="Arial" w:hAnsi="Arial"/>
          <w:sz w:val="16"/>
          <w:szCs w:val="16"/>
          <w:color w:val="auto"/>
        </w:rPr>
        <w:t>ors” in this Quarterly Report on Form 10-Q. We may not be able to secure additional financing to meet our operating requirements on acceptable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or at all. If we raise additional funds by issuing equity or equity-linked securities, the ownership of our existing stockholders will be diluted. If we raise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 financing by the incurrence of indebtedness, we will be subject to increased fixed payment obligations and could also be subject to restrictive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covenants, such as limitations on our ability to incur additional debt, and other operating restrictions that could adversely impact our ability to conduct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If we are unable to obtain needed additional funds, we will have to reduce our operating expenses, which would impair our growth prospects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could otherwise negatively impact our business.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set forth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4"/>
          </w:tcPr>
          <w:p>
            <w:pPr>
              <w:jc w:val="right"/>
              <w:ind w:right="50"/>
              <w:spacing w:after="0" w:line="155"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0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(31,963)</w:t>
            </w:r>
          </w:p>
        </w:tc>
        <w:tc>
          <w:tcPr>
            <w:tcW w:w="420" w:type="dxa"/>
            <w:vAlign w:val="bottom"/>
            <w:gridSpan w:val="2"/>
          </w:tcPr>
          <w:p>
            <w:pPr>
              <w:jc w:val="right"/>
              <w:ind w:right="29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(27,135)</w:t>
            </w: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r>
      <w:tr>
        <w:trPr>
          <w:trHeight w:val="223"/>
        </w:trPr>
        <w:tc>
          <w:tcPr>
            <w:tcW w:w="20" w:type="dxa"/>
            <w:vAlign w:val="bottom"/>
          </w:tcPr>
          <w:p>
            <w:pPr>
              <w:spacing w:after="0"/>
              <w:rPr>
                <w:sz w:val="19"/>
                <w:szCs w:val="19"/>
                <w:color w:val="auto"/>
              </w:rPr>
            </w:pPr>
          </w:p>
        </w:tc>
        <w:tc>
          <w:tcPr>
            <w:tcW w:w="5360" w:type="dxa"/>
            <w:vAlign w:val="bottom"/>
          </w:tcPr>
          <w:p>
            <w:pPr>
              <w:ind w:left="480"/>
              <w:spacing w:after="0"/>
              <w:rPr>
                <w:sz w:val="20"/>
                <w:szCs w:val="20"/>
                <w:color w:val="auto"/>
              </w:rPr>
            </w:pPr>
            <w:r>
              <w:rPr>
                <w:rFonts w:ascii="Arial" w:cs="Arial" w:eastAsia="Arial" w:hAnsi="Arial"/>
                <w:sz w:val="18"/>
                <w:szCs w:val="18"/>
                <w:color w:val="auto"/>
              </w:rPr>
              <w:t>Net decrease in cash and cash equivalents</w:t>
            </w:r>
          </w:p>
        </w:tc>
        <w:tc>
          <w:tcPr>
            <w:tcW w:w="7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Net cash used in operating activities was $32.0 million for the three months ended March 31, 2018 and consisted primarily of net loss of $41.4 million adjusted for non-cash items of $12.5 million and a net decrease in operating assets and liabilities of $3.1 million. The significant non-cash items included stock-based compensation expense of $10.9 million and depreciation expense of $1.5 million. The significant items in the changes in operating assets and liabilities included decreases resulted from accounts payable of $2.0 million, accrued liabilities of $1.1 million and accounts receivable of $1.5 million, partially offset by an increase resulted from prepaid expenses and other current assets of $1.4 million. The changes in accounts payable and accrued liabilities were primarily driven by clinical trial activities and the timing of payments. The change in accounts receivable was related to the timing of the receipt of upfront payments and recognition of revenues under our collaboration agreements with Astellas and AstraZeneca. The change in prepaid expenses and other current assets was primarily driven by the timing of invoicing and payments.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Net cash used in operating activities was $27.1 million for the three months ended March 31, 2017 and consisted primarily of net loss of $30.6 million adjusted for non-cash items of $10.5 million and a net decrease in operating assets and liabilities of $7.0 million. The significant non-cash items included stock-based compensation expense of $8.4 million and depreciation expense of $1.5 million. The significant items in the changes in operating assets and liabilities included decreases resulted from accounts payable of $3.3 million, prepaid expenses and other current assets of $2.9 million, accrued liabilities of $1.9 million and deferred revenue of $1.2 million, partially offset by increases resulted from accounts receivable of $3.2 million. The changes in accounts payable and accrued liabilities were primarily driven by clinical trial activities and the timing of payments. The changes in deferred revenue and accounts receivable were related to the timing of the receipt of upfront payments and recognition of revenues under our collaboration agreements with Astellas and AstraZeneca. The change in prepaid expenses and other current assets was primarily related to the refund receivable associated with the final settlement we obtained during the period, resulting in a total of $3.0 million reduction in assessed property tax.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and proceeds from the maturity and sale of investments.</w:t>
      </w:r>
    </w:p>
    <w:p>
      <w:pPr>
        <w:spacing w:after="0" w:line="170"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Net cash provided by investing activities was $15.3 million for the three months ended March 31, 2018 and consisted of proceeds from maturities of available-for-sale securities of $17.2 million, partially offset by cash used in purchases of property and equipment of $1.8 million.</w:t>
      </w:r>
    </w:p>
    <w:p>
      <w:pPr>
        <w:spacing w:after="0" w:line="14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Net cash provided by investing activities was $23.4 million for the three months ended March 31, 2017 and consisted of proceeds from maturities of available-for-sale securities of $13.9 million and sales of available-for-sale securities of $10.2 million, partially offset by cash used in purchases of property and equipment of $0.6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repayments of our lease liability.</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cash provided by financing activities was $2.0 million for the three months ended March 31, 2018 and consisted primarily of $9.0 million of proceeds from the issuance of common stock upon exercise of stock options and purchases under ESPP, partially offset by $6.8 million of cash paid for payroll taxes on restricted stock unit releases.</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Net cash provided by financing activities was $0.6 million for the three months ended March 31, 2017 and consisted primarily of $3.1 million of proceeds from the issuance of common stock upon exercise of stock options, partially offset by $2.4 million of cash paid for payroll taxes on restricted stock unit releases.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During the three months ended March 31, 2018,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have been no material changes in our contractual obligations compared to those disclosed in our Annual Report on Form 10-K for the year ended December 31,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There have been no material changes in our critical accounting policies, estimates and judgments during the three months ended March 31, 2018 compared with the disclosures in Part II, Item 7 of our Annual Report on Form 10-K for the year ended December 31, 2017, except for the following: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revenues to date have been generated from our collaboration agreements.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collaboration agreements include multiple performance obligations comprised of promised services, or bundles of services, that are distinct. Services that are not distinct are combined with other services in the agreement until they form a distinct bundle of services. Our process for identifying performance obligations and an enumeration of each obligation for each agreement is outlined in Note 2 “Collaboration Agreements” to our condensed consolidated financial statements. Determining the performance obligations within a collaboration agreement often involves significant judgment and is specific to the facts and circumstances contained in each agreement.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identified the following material promises under our collaboration agreements: (1) license of FibroGen technology, (2) the performance of co-development services, including manufacturing of clinical supplies and other services during the development period, and (3) manufacture of commercial supply. The evaluation as to whether these promises are distinct, and therefore represent separate performance obligations, is described in more details in Note 2 “Collaboration Agreements” to our condensed consolidated financial statements.</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 revenue recognition purposes, we determine that the term of our collaboration agreements begin on the effective date and ends upon the completion of all performance obligations contained in the agreements. In each agreement, the contract term is defined as the period in which parties to the contract have present and enforceable rights and obligations. We believe that the existence of what it considers to be substantive termination penalties on the part of the counterparty create sufficient incentive for the counterparty to avoid exercising its right to terminate the agreement unless in exceptionally rare situations.</w:t>
      </w:r>
    </w:p>
    <w:p>
      <w:pPr>
        <w:spacing w:after="0" w:line="15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transaction price for each collaboration agreement is determined based on the amount of consideration we expect to be entitled for satisfying all performance obligations within the agreement. Our collaboration agreements include payments to us of one or more of the following: non-refundable upfront license fees; co-development billings; development, regulatory, and commercial milestone payments; and royalties on net sales of licensed products.</w:t>
      </w:r>
    </w:p>
    <w:p>
      <w:pPr>
        <w:spacing w:after="0" w:line="14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Upfront license fees are non-contingent and non-refundable in nature and are included in the transaction price at the point when the license fees become due to us.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6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Co-development billings resulting from our research and development efforts, which are reimbursable under our collaboration agreements, are considered variable consideration. Determining the amount of variable consideration from co-development billings requires us to make estimates of future research and development efforts, which involves significant judgment. Co-development billings are allocated entirely to the co-development services performance obligation when amounts are related specifically to research and development efforts necessary to satisfy the performance obligation, and such an allocation is consistent with the allocation objective.</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Milestone payments are also considered variable consideration, which requires us to make estimates of when achievement of a particular milestone becomes probable. Similar to other forms of variable consideration, milestone payments are included in the transaction price when it becomes probable that such inclusion would not result in a significant revenue reversal. Milestone payments are therefore included in the transaction price when achievement of the milestone becomes probable.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arrangements that include sales-based royalties and for which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our collaboration arrangements.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transaction price is allocated to performance obligations based on their relative standalone selling price (“SSP”), with the exception of co-development billings allocated entirely to co-development services performance obligations. The SSP is determined based on observable prices at which we separately sell the products and services. If an SSP is not directly observable, then we will estimate the SSP considering marketing conditions, entity-specific factors, and information about the customer or class of customer that is reasonably available. The process for determining SSP involves significant judgment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6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Significant judgment may be required in determining whether a performance obligation is distinct, determining the amount of variable consideration to be included in the transaction price, and estimating the SSP of each performance obligation. An enumeration of our significant judgments is outlined in Note 2 “Collaboration Agreements” to our consolidated condensed financial statements.</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 each performance obligation identified within an arrangement, we determine the period over which the promised services are transferred and the performance obligation is satisfied. Service revenue is recognized over time based on progress toward complete satisfaction of the performance obligation. We use an input method to measure progress toward the satisfaction of co-development services and certain other related performance obligations, which is based on costs of labor hours or full time equivalents and out-of-pocket expenses incurred relative to total expected costs to be incurred. We believe this measure of progress provides a faithful depiction of the transfer of services because other measures do not measure as accurately how we transfer our performance obligations to our collaboration partners.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(“ASU 2014-09”), which supersedes the revenue recognition requirements in Accounting Standards Codification (“ASC”) 605,</w:t>
      </w:r>
      <w:r>
        <w:rPr>
          <w:rFonts w:ascii="Arial" w:cs="Arial" w:eastAsia="Arial" w:hAnsi="Arial"/>
          <w:sz w:val="16"/>
          <w:szCs w:val="16"/>
          <w:i w:val="1"/>
          <w:iCs w:val="1"/>
          <w:color w:val="auto"/>
        </w:rPr>
        <w:t xml:space="preserve"> Revenue Recognition</w:t>
      </w:r>
      <w:r>
        <w:rPr>
          <w:rFonts w:ascii="Arial" w:cs="Arial" w:eastAsia="Arial" w:hAnsi="Arial"/>
          <w:sz w:val="16"/>
          <w:szCs w:val="16"/>
          <w:color w:val="auto"/>
        </w:rPr>
        <w:t>. ASU 2014-09 is based on the principle that revenue is recognized to depict the transfer of goods or services to customers in an amount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Subsequently, the FASB has issued the following standards related to ASU 2014-09: ASU No. 2016-08, </w:t>
      </w:r>
      <w:r>
        <w:rPr>
          <w:rFonts w:ascii="Arial" w:cs="Arial" w:eastAsia="Arial" w:hAnsi="Arial"/>
          <w:sz w:val="16"/>
          <w:szCs w:val="16"/>
          <w:i w:val="1"/>
          <w:iCs w:val="1"/>
          <w:color w:val="auto"/>
        </w:rPr>
        <w:t>Revenue from Contracts with Customers (Topic 606): Principal versus Agent Considerations</w:t>
      </w:r>
      <w:r>
        <w:rPr>
          <w:rFonts w:ascii="Arial" w:cs="Arial" w:eastAsia="Arial" w:hAnsi="Arial"/>
          <w:sz w:val="16"/>
          <w:szCs w:val="16"/>
          <w:color w:val="auto"/>
        </w:rPr>
        <w:t xml:space="preserve">; ASU No. 2016-10, </w:t>
      </w:r>
      <w:r>
        <w:rPr>
          <w:rFonts w:ascii="Arial" w:cs="Arial" w:eastAsia="Arial" w:hAnsi="Arial"/>
          <w:sz w:val="16"/>
          <w:szCs w:val="16"/>
          <w:i w:val="1"/>
          <w:iCs w:val="1"/>
          <w:color w:val="auto"/>
        </w:rPr>
        <w:t>Revenue from Contracts with Customers (Topic 606): Identifying Performance Obligations and Licensing</w:t>
      </w:r>
      <w:r>
        <w:rPr>
          <w:rFonts w:ascii="Arial" w:cs="Arial" w:eastAsia="Arial" w:hAnsi="Arial"/>
          <w:sz w:val="16"/>
          <w:szCs w:val="16"/>
          <w:color w:val="auto"/>
        </w:rPr>
        <w:t>;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 and ASU No. 2016-20,</w:t>
      </w:r>
      <w:r>
        <w:rPr>
          <w:rFonts w:ascii="Arial" w:cs="Arial" w:eastAsia="Arial" w:hAnsi="Arial"/>
          <w:sz w:val="16"/>
          <w:szCs w:val="16"/>
          <w:i w:val="1"/>
          <w:iCs w:val="1"/>
          <w:color w:val="auto"/>
        </w:rPr>
        <w:t xml:space="preserve"> Technical Corrections and Improvements to Topic 606, Revenue from Contracts with Customers </w:t>
      </w:r>
      <w:r>
        <w:rPr>
          <w:rFonts w:ascii="Arial" w:cs="Arial" w:eastAsia="Arial" w:hAnsi="Arial"/>
          <w:sz w:val="16"/>
          <w:szCs w:val="16"/>
          <w:color w:val="auto"/>
        </w:rPr>
        <w:t>(collectively, the “new revenue standards”). Under ASC 606, we recognize revenue when our customer obtains</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of promised goods or services, in an amount that reflects the consideration which we expect to receive in exchange for those goods or services. To determine revenue recognition for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determines those that are performance obligations and assesses whether each promised good or service is distinct. We then recognize as revenue the amount of the transaction price that is allocated to the respective performance obligation when (or as) the performance obligation is satisfied. We adopted the new revenue standards as of January 1, 2018 using the full retrospective method, which required us to recast the prior reporting period presented in the condensed consolidated financial statements. The primary impact upon adoption of the new revenue standards relates to the manner in which revenue is recognized for co-development billings and milestone payments under our collaboration arrangements. Under the new revenue standards, both of these elements of consideration are considered variable consideration which requires us to make estimates of when co-development billings become due or when achievement of a particular milestone becomes probable. Payments are included in the transaction price when it becomes probable that inclusion would not lead to a significant revenue reversal. We have recast our condensed consolidated statement of operations and condensed balance sheet from amounts previously reported due to the adoption of the new revenue standards, which resulted in an increase in revenue of $2.6 million for the three months ended March 31, 2017. The adoption of the new revenue standards resulted in an increase in revenue of $5.3 million and $3.6 million for the years ended December 31, 2017 and 2016, respectively, and an increase in the opening accumulative deficit of $43.7 million as of January 1, 2016. The adoption of the new revenue standards had no impact to our previously reported condensed consolidated statement of cash flows. Refer to Note 1 to the condensed consolidated financial statements for details.</w:t>
      </w:r>
    </w:p>
    <w:p>
      <w:pPr>
        <w:spacing w:after="0" w:line="38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w:t>
      </w:r>
      <w:r>
        <w:rPr>
          <w:rFonts w:ascii="Arial" w:cs="Arial" w:eastAsia="Arial" w:hAnsi="Arial"/>
          <w:sz w:val="18"/>
          <w:szCs w:val="18"/>
          <w:color w:val="auto"/>
        </w:rPr>
        <w:t>. This guidance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was effective for the annual reporting period beginning after December 15, 2017 and interim periods within those annual periods. We adopted this guidance as of January 1, 2018 using the modified retrospective approach, which resulted in a cumulative-effect adjustment of $1.3 million as a decrease in accumulated deficit on January 1, 2018, and an increase in accumulated other comprehensive loss. The adoption of this guidance had no impact to our condensed consolidated statement of operations or condensed consolidated statement of cash flows for the three months ended March 31, 2018. Refer to Note 1 to the condensed consolidated financial statements for details.</w:t>
      </w:r>
    </w:p>
    <w:p>
      <w:pPr>
        <w:spacing w:after="0" w:line="19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 - Stock Compensation (Topic 718): Scope of Modification Accounting</w:t>
      </w:r>
      <w:r>
        <w:rPr>
          <w:rFonts w:ascii="Arial" w:cs="Arial" w:eastAsia="Arial" w:hAnsi="Arial"/>
          <w:sz w:val="17"/>
          <w:szCs w:val="17"/>
          <w:color w:val="auto"/>
        </w:rPr>
        <w:t>. This guidance provides guidance about which changes to the terms or conditions of a stock-based payment award require an entity to apply modification accounting in Topic 718. This guidance was effective for annual reporting period beginning after December 15, 2017, including interim periods. We adopted this guidance as of January 1, 2018, and the adoption of this guidance had no impact to our condensed consolidated financial statements.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This guidance requires companies to recognize the income tax effects of intercompany sales or transfer of assets, other than inventory, in the income statement as income tax expense (or benefit) in the period the sale or transfer occurs. The exception to recognizing the income tax effects of intercompany sales or transfer sales or transfer of assets remains in place for intercompany inventory sales and transfers. This guidance was effective for annual reporting period beginning after December 15, 2017, including interim periods. We adopted this guidance as of January 1, 2018 using the modified retrospective method. The adoption of this guidance did not result in any recognition of previously unrecognized deferred charges using a modified retrospective method, thus had no impact to our condensed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 - Reporting Comprehensive Income: Reclassification of Certain Tax effects from</w:t>
      </w:r>
      <w:r>
        <w:rPr>
          <w:rFonts w:ascii="Arial" w:cs="Arial" w:eastAsia="Arial" w:hAnsi="Arial"/>
          <w:sz w:val="16"/>
          <w:szCs w:val="16"/>
          <w:color w:val="auto"/>
        </w:rPr>
        <w:t xml:space="preserve">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This guidance allows for the reclassification from accumulated other comprehensive income to retained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stranded tax effects arising from the change in the reduction of the U.S. federal statutory income tax rate from 35% to 21%. This guidance is effective for annual reporting period beginning after December 15, 2018, including interim periods, with early adoption permitted. We will adopt this guidance on January 1, 2019 and do not anticipate a material reclassification between our accumulated other comprehensive loss and accumulated deficit upon adoption.</w:t>
      </w:r>
    </w:p>
    <w:p>
      <w:pPr>
        <w:spacing w:after="0" w:line="15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We are currently evaluating the impact on our consolidated financial statements upon the adoption of this guidance.</w:t>
      </w:r>
    </w:p>
    <w:p>
      <w:pPr>
        <w:spacing w:after="0" w:line="17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annual reporting periods beginning after December 15, 2018, including interim periods within that reporting period, and requires a modified retrospective adoption, with early adoption permitted. We will adopt this guidance as of January 1, 2019 and are currently evaluating the related accounting, transition, disclosure requirements and the impact on our consolidated financial statements upon the adoption of this guidance.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We believe there has been no material change in our exposure to market risks as disclosed in our Annual Report on Form 10-K for the year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our disclosure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controls and procedures as of the end of the period covered by this Quarterly Report on Form 10-Q. Disclosure controls and procedures (as defined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Rules 13a-15(e) and 15d-15(e) under the Exchange Act) are designed to provide reasonable assurance that information required to be disclosed by a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reports that it files or submits under the Exchange Act is recorded, processed, summarized and reported, within the time periods specified in the SEC’s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rules and forms and that such information is accumulated and communicated to the company’s management, including its Chief Executive Officer and Chief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 as appropriate to allow timely decisions regarding required disclosure.</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Based on management’s evaluation, our principal executive officer and principal financial officer have concluded that our disclosure controls and procedures were effective as of March 31, 2018 at the reasonable assurance level.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March 31, 2018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7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We have marked with an asterisk (*) those risks described below that reflect substantive changes from the risks described under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included in our Annual Report on Form 10-K for the year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History of Operating Losses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are a clinical-stage biopharmaceutical company with two lead product candidates in clinical development, roxadustat in anemia in chronic kidney disease (“CKD”) and myelodysplastic syndromes (“MDS”), and pamrevlumab (FG-3019) in idiopathic pulmonary fibrosis (“IPF”), pancreatic cancer and Duchenne muscular dystrophy (“DMD”). Pharmaceutical product development is a highly risky undertaking. To date, we have focused our efforts and most of our resources on hypoxia-inducible factor (“HIF”), and fibrosis biology research, as well as developing our lead product candidates. We are not profitable and, other than in 2006 and 2007 due to income received from our Astellas Pharma Inc. (“Astellas”) collaboration, have incurred losses each year since our inception. We have not generated any significant revenue based on product sales to date. We continue to incur significant research and development and other expenses related to our ongoing operations. Our net loss for the years ended December 31, 2017, 2016, and 2015, recast from amounts previously reported due to the adoption of the new revenue standards, were approximately $120.9 million, $58.1 million, and $94.2 million, respectively. As of March 31, 2018, we had an accumulated deficit of $670.8 million. As of March 31, 2018, we had capital resources consisting of cash, cash equivalents and short-term investments of $703.8 million plus $10.5 million of long-term investments classified as available for sale securities. Despite contractual development and cost coverage commitments from our collaboration partners, AstraZeneca AB (“AstraZeneca”) and Astellas, and the potential to receive milestone and other payments from these partners, we anticipate we will continue to incur losses for the foreseeable future, and we anticipate these losses will increase as we continue our development of, and seek regulatory approval for our product candidates. If we do not successfully develop and obtain regulatory approval for our existing or any future product candidates and effectively manufacture, market and sell any product candidates that are approved, we may never generate product sales, and even if we do generate product sales,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late-stage clinical development of roxadustat, grow our operations in the People’s Republic of China (“China”), expand our clinical development efforts on pamrevlumab, seek regulatory approval, prepare for the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In particular, in our planned Phase 3 clinical trial program for roxadustat, which we believe will be the largest Phase 3 program ever conducted for an anemia product candidate, we are expecting to enroll more than 8,000 patients for our U.S. and European programs alone. We are conducting this Phase 3 program in conjunction with Astellas and AstraZeneca, and we are substantially dependent on Astellas and AstraZeneca for the funding of this large program.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2017 public offerings, our existing cash and cash equivalents, short-term and long-term investments and accounts receivable, and expected third party collaboration revenues will allow us to fund our operating plans through at least the next 12 months. Our operating plans or third party collaborations may change as a result of many factors, which are discussed in more detail below,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17"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of progress in the development of our product candidates;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development efforts for our product candidates, such as pamrevlumab, that are not subject to reimbursement from our collaboration partners;</w:t>
      </w:r>
    </w:p>
    <w:p>
      <w:pPr>
        <w:spacing w:after="0" w:line="62"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costs necessary to obtain regulatory approvals, if any, for our product candidates in the United States (“U.S.”), China and other jurisdictions, and the costs of post-marketing studies that could be required by regulatory authorities in jurisdictions where approval is obtained;</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continuation of our existing collaborations and entry into new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time and unreimbursed costs necessary to commercialize products in territories in which our product candidates are approved for sale;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revenues from any future sales of our products as well as revenue earned from profit share, royalties and milestones;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of reimbursement or third party payor pricing available to our products;</w:t>
      </w:r>
    </w:p>
    <w:p>
      <w:pPr>
        <w:spacing w:after="0" w:line="117"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establishing and maintaining manufacturing operations and obtaining third party commercial supplies of our products, if any, manufactured in accordance with regulatory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we incur in maintaining domestic and foreign operations, including operations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compliance costs;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costs we incur in the filing, prosecution, maintenance and defense of our extensive patent portfolio and other intellectual property rights.</w:t>
      </w:r>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89" w:lineRule="exact"/>
        <w:rPr>
          <w:sz w:val="20"/>
          <w:szCs w:val="20"/>
          <w:color w:val="auto"/>
        </w:rPr>
      </w:pPr>
    </w:p>
    <w:p>
      <w:pPr>
        <w:ind w:right="2580"/>
        <w:spacing w:after="0" w:line="483" w:lineRule="auto"/>
        <w:rPr>
          <w:sz w:val="20"/>
          <w:szCs w:val="20"/>
          <w:color w:val="auto"/>
        </w:rPr>
      </w:pPr>
      <w:r>
        <w:rPr>
          <w:rFonts w:ascii="Arial" w:cs="Arial" w:eastAsia="Arial" w:hAnsi="Arial"/>
          <w:sz w:val="16"/>
          <w:szCs w:val="16"/>
          <w:b w:val="1"/>
          <w:bCs w:val="1"/>
          <w:i w:val="1"/>
          <w:iCs w:val="1"/>
          <w:color w:val="auto"/>
        </w:rPr>
        <w:t xml:space="preserve">All of our recent revenue has been earned from collaboration partners for our product candidates under development.* </w:t>
      </w:r>
      <w:r>
        <w:rPr>
          <w:rFonts w:ascii="Arial" w:cs="Arial" w:eastAsia="Arial" w:hAnsi="Arial"/>
          <w:sz w:val="16"/>
          <w:szCs w:val="16"/>
          <w:color w:val="auto"/>
        </w:rPr>
        <w:t>Substantially all of our revenues recognized in recent years have been from our collaboration partners.</w:t>
      </w:r>
    </w:p>
    <w:p>
      <w:pPr>
        <w:spacing w:after="0" w:line="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will require substantial additional capital to achieve our development and commercialization goals, which for our lead product candidate, roxadustat, is currently contemplated to be provided under our existing third party collaborations with Astellas and AstraZeneca.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either or both of these collaborations were to be terminated, we could require significant additional capital in order to proceed with development and commercialization of our product candidates, or we may require additional partnering in order to help fund such development and commercialization. If adequate funds or partners are not available to us on a timely basis or on favorable terms, we may be required to delay, limit, reduce or terminate our research and development efforts or other operations.</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progress our development efforts and achieve milestones under our collaboration agreements, our revenues may decrease and our activities may fail to lead to commercial products.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Substantially all of our revenues to date have been, and a significant portion of our future revenues are expected to be, derived from our existing collaboration agreements. Revenues from research and development collaborations depend upon continuation of the collaborations, reimbursement of development costs, the achievement of milestones and royalties and profits from our product sales, if any, derived from future products developed from our research. If we are unable to successfully advance the development of our product candidates or achieve milestones, revenues under our collaboration agreements will be substantially less than expected.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substantially dependent on the success of our lead product candidate, roxadustat, and our second compound in development, pamrevlumab.</w:t>
      </w:r>
    </w:p>
    <w:p>
      <w:pPr>
        <w:spacing w:after="0" w:line="14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To date, we have invested a substantial portion of our efforts and financial resources in the research and development of roxadustat, which is currently our lead product candidate. Roxadustat is our only product candidate that has advanced into a potentially pivotal trial, and it may be years before the studies required for its approval are completed, if ever. Our other product candidates are less advanced in development and may never enter into pivotal studies. We have completed 26 Phase 1 and 2 clinical studies with roxadustat in North America, Europe and Asia, in which more than 1,400 subjects have participated and for which we reported favorable primary and secondary safety and efficacy endpoint results. Based on our discussions with regulatory authorities, we believe that we have an acceptable plan for the conduct of our Phase 3 clinical programs to support New Drug Application (“NDA”) submissions in the U.S. and China. We have discussed our Phase 3 clinical development program with three national health authorities in the EU and obtained scientific advice from the European Medicines Agency. Our near-term prospects, including maintaining our existing collaborations with Astellas and AstraZeneca, will depend heavily on successful Phase 3 development and commercialization of roxadustat.</w:t>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other lead product candidate, pamrevlumab, is currently in clinical development for IPF, pancreatic cancer and DMD. Pamrevlumab requires substantial further development and investment. We do not have a collaboration partner for support of this compound, and, while we have promising open-label safety data and potential signals of efficacy, we would need to complete larger and more extensive controlled clinical trials to validate the results to date in order to continue further development of this product candidate. In addition, although there are many potentially promising indications beyond IPF, pancreatic cancer and DMD, we are still exploring indications for which further development of, and investment for, pamrevlumab may be appropriate. Accordingly, the costs and time to complete development and related risks are currently unknown. Moreover, pamrevlumab is a monoclonal antibody, which may require experience and expertise that we may not currently possess as well as financial resources that are potentially greater than those required for our small molecule lead compound, roxadustat.</w:t>
      </w:r>
    </w:p>
    <w:p>
      <w:pPr>
        <w:spacing w:after="0" w:line="2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clinical and commercial success of roxadustat and pamrevlumab will depend on a number of factors, many of which are beyond our control, and we may be unable to complete the development or commercialization of roxadustat or pamrevlumab.</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clinical and commercial success of roxadustat and pamrevlumab will depend on a number of factors, including the following:</w:t>
      </w:r>
    </w:p>
    <w:p>
      <w:pPr>
        <w:spacing w:after="0" w:line="117" w:lineRule="exact"/>
        <w:rPr>
          <w:sz w:val="20"/>
          <w:szCs w:val="20"/>
          <w:color w:val="auto"/>
        </w:rPr>
      </w:pPr>
    </w:p>
    <w:p>
      <w:pPr>
        <w:ind w:left="1040" w:right="340" w:hanging="519"/>
        <w:spacing w:after="0" w:line="312"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timely initiation, continuation and completion of our Phase 3 clinical trials for roxadustat, which will depend substantially upon requirements for such trials imposed by the U.S. Food and Drug Administration (“FDA”) and other regulatory agencies and bodies and the continued commitment and coordinated and timely performance by our third party collaboration partners, AstraZeneca and Astellas;</w:t>
      </w:r>
    </w:p>
    <w:p>
      <w:pPr>
        <w:spacing w:after="0" w:line="38" w:lineRule="exact"/>
        <w:rPr>
          <w:rFonts w:ascii="Arial" w:cs="Arial" w:eastAsia="Arial" w:hAnsi="Arial"/>
          <w:sz w:val="16"/>
          <w:szCs w:val="16"/>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timely initiation and completion of our Phase 2 clinical trials for pamrevlumab, including in IPF, pancreatic cancer and DMD;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demonstrate the safety and efficacy of our product candidates to the satisfaction of the relevant regulatory authorities;</w:t>
      </w:r>
    </w:p>
    <w:p>
      <w:pPr>
        <w:spacing w:after="0" w:line="128" w:lineRule="exact"/>
        <w:rPr>
          <w:rFonts w:ascii="Arial" w:cs="Arial" w:eastAsia="Arial" w:hAnsi="Arial"/>
          <w:sz w:val="17"/>
          <w:szCs w:val="17"/>
          <w:color w:val="auto"/>
        </w:rPr>
      </w:pPr>
    </w:p>
    <w:p>
      <w:pPr>
        <w:ind w:left="1040" w:right="5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are required by the FDA or other regulatory authorities to conduct additional clinical trials, and the scope and nature of such clinical trials, prior to approval to market our products;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right="38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foreign regulatory authorities, including pricing and reimbursement determinations;</w:t>
      </w:r>
    </w:p>
    <w:p>
      <w:pPr>
        <w:spacing w:after="0" w:line="62"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successfully commercialize our product candidates, if approved, for marketing and sale by the FDA or foreign regulatory authorities, whether alone or in collaboration with others;</w:t>
      </w:r>
    </w:p>
    <w:p>
      <w:pPr>
        <w:spacing w:after="0" w:line="62"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and the ability of our third 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15" w:lineRule="exact"/>
        <w:rPr>
          <w:rFonts w:ascii="Arial" w:cs="Arial" w:eastAsia="Arial" w:hAnsi="Arial"/>
          <w:sz w:val="16"/>
          <w:szCs w:val="16"/>
          <w:color w:val="auto"/>
        </w:rPr>
      </w:pPr>
    </w:p>
    <w:p>
      <w:pPr>
        <w:ind w:left="1040" w:right="6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success in educating health care providers and patients about the benefits, risks, administration and use of our product candidates, if approved;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our product candidates, if approved, as safe and effective by patients and the healthcare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success of efforts to enter into relationships with large dialysis organizations involving the administration of roxadustat to dialysis patients;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achievement and maintenance of compliance with all regulatory requirements applicable to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maintenance of an acceptable safety profile of our products following any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pricing or reimbursement for our products by third party payors;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enforce successfully our intellectual property rights for our product candidates and against the products of potential competitors;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avoid or succeed in third party patent interference or patent infringement claims.</w:t>
      </w:r>
    </w:p>
    <w:p>
      <w:pPr>
        <w:spacing w:after="0" w:line="225"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Many of these factors are beyond our control. Accordingly, we cannot assure you that we will ever be able to achieve profitability through the sale of, or royalties from, our product candidates. If we or our collaboration partners are not successful in obtaining approval for and commercializing our product candidates, or are delayed in completing those efforts, our business and operations would be adversely affected.</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 or such approval may be delayed or limited, due to a number of factors, many of which are beyond our control.</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or pamrevlumab or any of our other product candidates.</w:t>
      </w:r>
    </w:p>
    <w:p>
      <w:pPr>
        <w:spacing w:after="0" w:line="18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have not obtained regulatory approval for any of our product candidates and it is possible that roxadustat and pamrevlumab will never receive regulatory approval in any country. Regulatory authorities may take actions or impose requirements that delay, limit or deny approval of roxadustat or pamrevlumab for many reasons, including, among others:</w:t>
      </w:r>
    </w:p>
    <w:p>
      <w:pPr>
        <w:spacing w:after="0" w:line="73" w:lineRule="exact"/>
        <w:rPr>
          <w:sz w:val="20"/>
          <w:szCs w:val="20"/>
          <w:color w:val="auto"/>
        </w:rPr>
      </w:pPr>
    </w:p>
    <w:p>
      <w:pPr>
        <w:ind w:left="1040" w:right="6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failure to adequately demonstrate to the satisfaction of regulatory authorities that roxadustat is safe and effective in treating anemia in CKD or that pamrevlumab is safe and effective in treating IPF, pancreatic cancer or DMD;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product candidates may exhibit an unacceptable safety signal as they advance through clinical trials, in particular controlled Phase 3 trials;</w:t>
      </w:r>
    </w:p>
    <w:p>
      <w:pPr>
        <w:spacing w:after="0" w:line="140" w:lineRule="exact"/>
        <w:rPr>
          <w:rFonts w:ascii="Arial" w:cs="Arial" w:eastAsia="Arial" w:hAnsi="Arial"/>
          <w:sz w:val="16"/>
          <w:szCs w:val="16"/>
          <w:color w:val="auto"/>
        </w:rPr>
      </w:pPr>
    </w:p>
    <w:p>
      <w:pPr>
        <w:ind w:left="1040" w:right="2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research organizations (“CROs”) that conduct clinical trials on our behalf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third party contractors manufacturing our product candidates may not maintain current good manufacturing practices (“cGMP”), successfully pass inspection or meet other applicable manufacturing regulatory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 or</w:t>
      </w:r>
    </w:p>
    <w:p>
      <w:pPr>
        <w:spacing w:after="0" w:line="117" w:lineRule="exact"/>
        <w:rPr>
          <w:rFonts w:ascii="Arial" w:cs="Arial" w:eastAsia="Arial" w:hAnsi="Arial"/>
          <w:sz w:val="18"/>
          <w:szCs w:val="18"/>
          <w:color w:val="auto"/>
        </w:rPr>
      </w:pPr>
    </w:p>
    <w:p>
      <w:pPr>
        <w:ind w:left="1040" w:right="240" w:hanging="519"/>
        <w:spacing w:after="0" w:line="308"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principal investigators may determine that one or more serious adverse events (“SAEs”), is related or possibly related to roxadustat, and any such determination may adversely affect our ability to obtain regulatory approval, whether or not the determination is correct.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and successfully market roxadustat. Because our business and operations in the near-term are almost entirely dependent upon roxadustat, any significant delays or impediments to regulatory approval could have a material adverse effect on our business and prospects.</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Furthermore, in both the U.S. and China, we also expect to be required to perform additional clinical trials in order to obtain approval or as a condition to maintaining approval due to post-marketing requirements. If the FDA requires a risk evaluation and mitigation strategy (“REMS”), for any of our product candidates if approved, the substantial cost and expense of complying with a REMS or other post-marketing requirements may limit our ability to successfully commercialize our product candidates.</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Preclinical, Phase 1 and Phase 2 clinical trial results may not be indicative of the results that may be obtained in larger, controlled Phase 3 clinical trials required for approval.*</w:t>
      </w:r>
    </w:p>
    <w:p>
      <w:pPr>
        <w:spacing w:after="0" w:line="6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piloted a limited number of Phase 2 clinical trials with pamrevlumab. We have conducted a randomized placebo-controlled study in 103 IPF patients with sub-studies in an additional 57 IPF patients comparing pamrevlumab to one of two standards of care, an open-label Phase 2 dose escalation study of pamrevlumab for IPF in 89 patients and a randomized double-blind placebo controlled study for liver fibrosis in subjects with hepatitis B, and we are currently conducting an open-label randomized, active-control, neoadjuvant Phase 2 trial in pancreatic cancer combining pamrevlumab with nab-paclitaxel plus gemcitabine in 37 patients. We cannot be sure that the results we have received to date from these trials will be substantiated in double-blinded pivotal trials with larger numbers of patients, that larger trials will demonstrate the efficacy of pamrevlumab for these or other indications, or that safety issues will not be uncovered in further trials. In the Phase 2 clinical trial for IPF, we used quantitative high-resolution computed tomography (“quantitative HRCT”), to measure the extent of lung fibrosis. While we believe that quantitative HRCT is an accurate measure of lung fibrosis, it is a novel technology that has not yet been accepted by the FDA as a primary endpoint in pivotal clinical trials. In addition, while we believe that the limited animal and human studies conducted to date suggest that pamrevlumab has the potential to arrest or reverse fibrosis and reduce tumor mass in some patients or diseases, we cannot be sure that these results will be indicative of the effects of pamrevlumab in larger human trials. In addition, the IPF and pancreatic cancer patient populations are extremely ill and routinely experience SAEs, including death, which may be attributed to pamrevlumab in a manner that negatively impacts the safety profile of our product candidate. If the additional clinical trials that we are planning or are currently conducting for pamrevlumab do not show favorable efficacy results or result in safety concerns, or if we do not meet our clinical endpoints with statistical significance, or demonstrate an acceptable risk-benefit profile, we may be prevented from or delayed in obtaining marketing approval for pamrevlumab in one or both of these indications.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the past we developed an earlier generation product candidate aimed at treating anemia in CKD that resulted in a clinical hold for a safety signal seen in that product in Phase 2 clinical trials. The clinical hold applied to that product candidate and roxadustat was lifted for both product candidates after submission of the requested information to the FDA. While we have not seen similar safety concerns involving roxadustat to date, our Phase 2 clinical trials have involved a relatively small number of patients exposed to roxadustat for a relatively short period of time compared to the Phase 3 clinical trials that we are conducting, and only a fraction of the patients in the Phase 2 clinical trials were randomized to placebo. Accordingly, the Phase 2 clinical trials that we have conducted may not have uncovered safety issues, even if they exist. Some of the safety concerns associated with the treatment of patients with anemia in CKD using erythropoiesis stimulating agents (“ESAs”) did not emerge for many years until placebo-controlled studies had been conducted in large numbers of patients. And while the data monitoring committee for our global Phase 3 anemia trials has consistently determined that our trials should continue without modification to the protocol, safety issues may still be discovered upon review of unblinded data when studies are completed. The biochemical pathways that we believe are affected by roxadustat are implicated in a variety of biological processes and disease conditions, and it is possible that the use of roxadustat to treat larger numbers of patients will demonstrate unanticipated adverse effects, including possible drug interactions, which may negatively impact the safety profile, use and market acceptance of roxadustat. We studied the potential interaction between roxadustat and three statins (atorvastatin, rosuvastatin and simvastatin), which are used to lower levels of lipids in the blood. An adverse effect associated with increased statin plasma concentration is myopathy, which typically presents in a form of myalgia. The studies indicated the potential for increased exposure to those statins when roxadustat is taken simultaneously with those statins and suggested the need for statin dose reductions for patients receiving higher statin doses. We performed additional clinical pharmacology studies to evaluate if the effect of any such interaction could be minimized or eliminated by a modification of the dosing schedule that would separate the administration of roxadustat and the statin, however, such studies showed no minimization of effect. It is possible that the potential for interaction between roxadustat and statins could lead to label provisions for statins or roxadustat relating, for example, to dose scheduling or recommended statin dose limitations. In CKD patients, statin therapy is often initiated earlier than treatment for anemia, and risks of myopathy have been shown to decrease with increased time on drug. While we believe the prior statin treatment history of such patients at established doses may reduce the risk of adverse effects from any interaction with roxadustat and facilitate any appropriate dose adjustments, we cannot be sure that this will be the case.</w:t>
      </w:r>
    </w:p>
    <w:p>
      <w:pPr>
        <w:spacing w:after="0" w:line="18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Phase 3 trials include a major adverse cardiac event (“MACE”) safety endpoint, which is a composite endpoint designed to identify major safety concerns, in particular relating to cardiovascular events such as cardiovascular death, myocardial infarction and stroke. In addition, we expect that our Phase 3 clinical trials supporting approval in Europe will be required to include MACE+ as a safety endpoint which, in addition to the MACE endpoints, also incorporates measurements of hospitalization rates due to heart failure or unstable angina. As a result, our ongoing Phase 3 clinical trials may identify unanticipated safety concerns in the patient population under study. The FDA has also informed us that the MACE endpoint will need to be evaluated separately for our Phase 3 trials in non-dialysis dependent (“NDD”)-CKD patients and our Phase 3 trials in dialysis dependent (“DD”)-CKD patients. The MACE endpoint will be evaluated in pooled analysis across Phase 3 studies of similar study populations and requires demonstration of non-inferiority relative to comparator, which means that the MACE event rate in roxadustat-treated patients must have less than a specified probability of exceeding the rate in the comparator trial by a specified hazard ratio. The number of patients necessary in order to permit a statistical analysis with adequate ability to detect the relative risk of MACE or MACE+ events in different arms of the trial, referred to as statistical power, depends on a number of factors, including the rate at which MACE or MACE+ events occur per patient-year in the trial, treatment duration of the patients, the required hazard ratio, and the required statistical power and confidence intervals.</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we cannot be sure that the potential advantages we believe roxadustat may have for treatment of patients with anemia in CKD, as compared to the use of ESAs, will be substantiated by our larger U.S. and European Phase 3 clinical trials, or that we will be able to include a discussion of such advantages in our labeling should we obtain approval. We believe that roxadustat may have certain benefits as compared to ESAs based on the data from our Phase 2 clinical trials and China Phase 3 trials conducted to date, including safety benefits, the absence of a hypertensive effect, the potential to lower cholesterol levels and the potential to correct anemia without the use of IV iron. However, our belief that roxadustat may offer those benefits is based on a limited amount of data from our clinical trials to date, and our understanding of the likely mechanisms of action for roxadustat. Some of these benefits, such as those associated with the apparent effects on blood pressure and cholesterol, are not fully understood and, even if roxadustat receives marketing approval, we do not expect that it will be approved for the treatment of high blood pressure or high cholesterol based on the data from our Phase 3 trials, and we may not be able to refer to any such benefits in the labeling. While the data from our Phase 2 trials suggests roxadustat may reduce low-density lipoprotein (“LDL”), and reduce the ratio of LDL to high-density lipoprotein (“HDL”), the data show it may also reduce HDL, which may be a risk to patients. In addition, causes of the safety concerns associated with the use of ESAs to achieve specified target Hb levels have not been fully elucidated. While we believe that the issues giving rise to these concerns with ESAs are likely due to factors other than the Hb levels achieved, we cannot be certain that roxadustat will not be associated with similar, or more severe, safety concerns.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early-stage development, and we may face similar setbacks. In addition, the CKD patient population has many afflictions that may cause severe illness or death, which may be attributed to roxadustat in a manner that negatively impacts the safety profile of our product candidate. If the results of our ongoing or future clinical trials for roxadustat are inconclusive with respect to efficacy, if we do not meet our clinical endpoints with statistical significance, or if there are unanticipated safety concerns or adverse events that emerge during clinical trials, we may be prevented from or delayed in obtaining marketing approval for roxadustat, and even if we obtain marketing approval, any sales of roxadustat may suffer.</w:t>
      </w:r>
    </w:p>
    <w:p>
      <w:pPr>
        <w:spacing w:after="0" w:line="2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do not know whether our ongoing or planned Phase 3 clinical trials in roxadustat or Phase 2 clinical trials in pamrevlumab will need to be redesigned based on interim results, be able to achieve sufficient enrollment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(“IRB”) approval or guidance;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addition, we could encounter delays if a clinical trial is suspended or terminated by us, by the relevant IRBs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and operations and prospects.</w:t>
      </w:r>
    </w:p>
    <w:p>
      <w:pPr>
        <w:spacing w:after="0" w:line="2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Adverse events and SAEs that emerge during treatment with our product candidates or other compounds acting through similar biological pathways may be deemed to be related to our product candidate and may result in:</w:t>
      </w:r>
    </w:p>
    <w:p>
      <w:pPr>
        <w:spacing w:after="0" w:line="50"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Phase 3 clinical trial development plan becoming longer and more extensive;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regulatory authorities increasing the data and information required to approve our product candidates and imposing other requirements;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6"/>
          <w:szCs w:val="16"/>
          <w:i w:val="1"/>
          <w:iCs w:val="1"/>
          <w:color w:val="auto"/>
        </w:rPr>
        <w:t>Business — Our Development Program for Roxadustat</w:t>
      </w:r>
      <w:r>
        <w:rPr>
          <w:rFonts w:ascii="Arial" w:cs="Arial" w:eastAsia="Arial" w:hAnsi="Arial"/>
          <w:sz w:val="16"/>
          <w:szCs w:val="16"/>
          <w:color w:val="auto"/>
        </w:rPr>
        <w:t>” and “</w:t>
      </w:r>
      <w:r>
        <w:rPr>
          <w:rFonts w:ascii="Arial" w:cs="Arial" w:eastAsia="Arial" w:hAnsi="Arial"/>
          <w:sz w:val="16"/>
          <w:szCs w:val="16"/>
          <w:i w:val="1"/>
          <w:iCs w:val="1"/>
          <w:color w:val="auto"/>
        </w:rPr>
        <w:t>Business — Pamrevlumab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Treatment of Fibrosis and Cancer</w:t>
      </w:r>
      <w:r>
        <w:rPr>
          <w:rFonts w:ascii="Arial" w:cs="Arial" w:eastAsia="Arial" w:hAnsi="Arial"/>
          <w:sz w:val="16"/>
          <w:szCs w:val="16"/>
          <w:color w:val="auto"/>
        </w:rPr>
        <w:t>” for a discussion of the adverse events and SAEs that have emerged in clinical trials of roxadustat and pamrevlumab.</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There have been other products, including ESAs, for which safety concerns have been uncovered following approval by regulatory authorities. Such safety concerns have led to labeling changes or withdrawal of ESAs products from the market. While our most advanced product candidate is chemically unique from ESAs, it or any of our product candidates may be subject to similar risks. For example, roxadustat for use in anemia in CKD is being developed to address a very diverse patient population expected to have many serious health conditions at the time of administration of roxadustat, including diabetes, high blood pressure and declining kidney function.</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fail to enroll a sufficient number of patients in our clinical trials in a timely manner, which could delay or prevent clinical trials of our product candidates.</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w:t>
      </w:r>
    </w:p>
    <w:p>
      <w:pPr>
        <w:spacing w:after="0" w:line="73"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physicians’ and patients’ perceptions of the potential advantages of our product candidates being studied in relation to available therapies or other products under development;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CRO’s and our trial sites’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Patients may be unwilling to participate in our clinical trials for roxadustat due to adverse events observed in other drug treatments of anemia in CKD, and patients currently controlling their disease with existing ESAs may be reluctant to participate in a clinical trial with an investigational drug. We may not be able to successfully initiate or continue clinical trials if we cannot rapidly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could have a material and adverse effect on our business and prospects.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or third party manufacturers on which we rely cannot manufacture sufficient quantities of our product candidates, or at sufficient quality, we may experience delays in development, regulatory approval, launch or commercialization.</w:t>
      </w:r>
    </w:p>
    <w:p>
      <w:pPr>
        <w:spacing w:after="0" w:line="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Completion of our clinical trials and commercialization of our product candidates require access to, or development of, facilities to manufacture our product candidates at sufficient yields and at commercial scale. We have not yet entered into any commercial supply agreements with third-party manufacturers. We have limited experience manufacturing, or managing third parties in manufacturing any of our product candidates in the volumes that are expected to be necessary to support large-scale clinical trials and sales. In addition, we have limited experience forecasting or coordinating forecasting supply for launch or commercialization, which is a complex process involving our third-party manufacturers and for roxadustat our collaboration partners. We may not be able to sufficiently forecast supplies for commercial launch, or do so in a timely manner and our efforts to establish these manufacturing capabilities may not meet our requirements as to quantities, scale-up, yield, cost, potency or quality in compliance with cGMP.</w:t>
      </w:r>
    </w:p>
    <w:p>
      <w:pPr>
        <w:spacing w:after="0" w:line="16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have a limited amount of roxadustat and pamrevlumab in storage, limited capacity reserved at our third-party manufacturers, and there are long lead times required to manufacture and scale-up the manufacture of additional supply, as required for both late-stage clinical trials and commercial supply. If we are unable to forecast, order or manufacture sufficient quantities of roxadustat or pamrevlumab on a timely basis, it may delay our development, launch or commercialization in some or all indications we are currently pursuing. For example, prior to agreement with regulatory authorities on the scope of our Phase 3 IPF trial design, there is uncertainty as to whether our supply plans will meet our clinical requirements in a timely manner. Any delay or interruption in the supply of our product candidates or products could have a material adverse effect on our business and operations.</w:t>
      </w:r>
    </w:p>
    <w:p>
      <w:pPr>
        <w:spacing w:after="0" w:line="16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clinical trials must be conducted with product produced under applicable cGMP regulations. Failure to comply with these regulations may require us to repeat clinical trials, which would delay the regulatory approval process. We and even an experienced third party manufacturer may encounter difficulties in production, which difficulties may include:</w:t>
      </w:r>
    </w:p>
    <w:p>
      <w:pPr>
        <w:spacing w:after="0" w:line="73" w:lineRule="exact"/>
        <w:rPr>
          <w:sz w:val="20"/>
          <w:szCs w:val="20"/>
          <w:color w:val="auto"/>
        </w:rPr>
      </w:pPr>
    </w:p>
    <w:p>
      <w:pPr>
        <w:ind w:left="1040" w:right="7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supply chain issues, including coordination of multiple contractors in our supply chain;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timely availability and shelf life requirements of raw materials and supplies;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 and</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natural disasters, such as floods, storms, earthquakes, tsunamis, and droughts, or accidents such as fire, that affect facilities, possibly limit or postpone production, and increase costs.</w:t>
      </w:r>
    </w:p>
    <w:p>
      <w:pPr>
        <w:spacing w:after="0" w:line="2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With respect to roxadustat, we expect that regulatory approvals, if obtained at all, will limit the approved indicated uses for which roxadustat may be marketed, as ESAs have been subject to significant safety limitations on usage as directed by the “Black Box” warnings included in their labels. Refer to “</w:t>
      </w:r>
      <w:r>
        <w:rPr>
          <w:rFonts w:ascii="Arial" w:cs="Arial" w:eastAsia="Arial" w:hAnsi="Arial"/>
          <w:sz w:val="18"/>
          <w:szCs w:val="18"/>
          <w:i w:val="1"/>
          <w:iCs w:val="1"/>
          <w:color w:val="auto"/>
        </w:rPr>
        <w:t>Business — Roxadustat for the Treatment of Anemia in Chronic Kidney Disease — Limitations of the Current Standard of Care for Anemia in CKD</w:t>
      </w:r>
      <w:r>
        <w:rPr>
          <w:rFonts w:ascii="Arial" w:cs="Arial" w:eastAsia="Arial" w:hAnsi="Arial"/>
          <w:sz w:val="18"/>
          <w:szCs w:val="18"/>
          <w:color w:val="auto"/>
        </w:rPr>
        <w:t>”. In addition, in the past, an approved ESA was voluntarily withdrawn due to serious safety issues discovered after approval.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that limit the market opportunity for roxadustat. These warnings could include warnings against exceeding specified Hb targets and other warnings that derive from the lack of clarity regarding the basis for the safety issues associated with ESAs, even if our Phase 3 clinical trials do not themselves raise safety concerns.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As an organization, we have never completed a Phase 3 clinical trial or received approval for an NDA before, and may be unable to do so efficiently or at all for roxadustat or any product candidate we are developing.*</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currently conducting Phase 2 clinical trials for pamrevlumab and plan on initiating Phase 3 clinical trials for pamrevlumab in the future. We have initiated Phase 3 clinical trials of roxadustat. The conduct of Phase 3 clinical trials and the submission of a successful NDA is a complicated process. As an organization, we have not completed a Phase 3 clinical trial before, have limited experience in preparing, submitting and prosecuting regulatory filings, and have not received approval for an NDA before. Consequently, we may be unable to successfully and efficiently execute and complete necessary clinical trials in a way that leads to NDA submission and approval of roxadustat or for any other product candidate we are developing, even if our earlier stage clinical trials are successful. We may require more time and incur greater costs than our competitors and may not succeed in obtaining regulatory approvals of product candidates that we develop. Failure to commence or complete, or delays in, our planned clinical trials would prevent us from or delay us in commercializing roxadustat or any other product candidate we are developing.</w:t>
      </w:r>
    </w:p>
    <w:p>
      <w:pPr>
        <w:spacing w:after="0" w:line="17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in order for any Phase 3 clinical trial to support an NDA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trial sites, principal investigators or other third parties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or perform additional clinical trials before approving our marketing applications. They may even reject our application for approval or refuse to accept our future applications for an extended time period. For example in China in March 2016, the China Food and Drug Administration (now reorganized and known as the State Drug Administration (“SDA”)) issued guidance related to its clinical trial data integrity regulations. While trial sites and CROs bear liability for the accuracy and authenticity of data they are directly responsible for, the sponsor ultimately bears full responsibility for submitted clinical data and the drug application dossier. Fraudulent clinical data could result in a ban in China of a sponsor’s product-related NDA applications for three years and other NDA applications for one year. We have taken extensive steps to ensure the integrity of our China clinical data. However, we cannot assure you that upon inspection by a regulatory authority, such regulatory authority will determine that any of our clinical trials comply with GCP requirements or that our results will be deemed authentic or may be used in support of our regulatory submissions.</w:t>
      </w:r>
    </w:p>
    <w:p>
      <w:pPr>
        <w:spacing w:after="0" w:line="286" w:lineRule="exact"/>
        <w:rPr>
          <w:sz w:val="20"/>
          <w:szCs w:val="20"/>
          <w:color w:val="auto"/>
        </w:rPr>
      </w:pPr>
    </w:p>
    <w:p>
      <w:pPr>
        <w:jc w:val="both"/>
        <w:ind w:right="18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or maintain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62"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sales and marketing teams;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2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If roxadustat is approved and launched commercially, competing drugs are expected to include ESAs, particularly in those patient segments where ESAs 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used. Currently available ESAs include epoetin alfa (EPOGEN </w:t>
      </w:r>
      <w:r>
        <w:rPr>
          <w:rFonts w:ascii="Arial" w:cs="Arial" w:eastAsia="Arial" w:hAnsi="Arial"/>
          <w:sz w:val="14"/>
          <w:szCs w:val="14"/>
          <w:color w:val="auto"/>
        </w:rPr>
        <w:t>®</w:t>
      </w:r>
      <w:r>
        <w:rPr>
          <w:rFonts w:ascii="Arial" w:cs="Arial" w:eastAsia="Arial" w:hAnsi="Arial"/>
          <w:sz w:val="17"/>
          <w:szCs w:val="17"/>
          <w:color w:val="auto"/>
        </w:rPr>
        <w:t xml:space="preserve">, marketed by Amgen Inc. in the U.S., Procrit </w:t>
      </w:r>
      <w:r>
        <w:rPr>
          <w:rFonts w:ascii="Arial" w:cs="Arial" w:eastAsia="Arial" w:hAnsi="Arial"/>
          <w:sz w:val="14"/>
          <w:szCs w:val="14"/>
          <w:color w:val="auto"/>
        </w:rPr>
        <w:t>®</w:t>
      </w:r>
      <w:r>
        <w:rPr>
          <w:rFonts w:ascii="Arial" w:cs="Arial" w:eastAsia="Arial" w:hAnsi="Arial"/>
          <w:sz w:val="17"/>
          <w:szCs w:val="17"/>
          <w:color w:val="auto"/>
        </w:rPr>
        <w:t xml:space="preserve"> and Erypo </w:t>
      </w:r>
      <w:r>
        <w:rPr>
          <w:rFonts w:ascii="Arial" w:cs="Arial" w:eastAsia="Arial" w:hAnsi="Arial"/>
          <w:sz w:val="14"/>
          <w:szCs w:val="14"/>
          <w:color w:val="auto"/>
        </w:rPr>
        <w:t>®</w:t>
      </w:r>
      <w:r>
        <w:rPr>
          <w:rFonts w:ascii="Arial" w:cs="Arial" w:eastAsia="Arial" w:hAnsi="Arial"/>
          <w:sz w:val="17"/>
          <w:szCs w:val="17"/>
          <w:color w:val="auto"/>
        </w:rPr>
        <w:t xml:space="preserve">/Eprex </w:t>
      </w:r>
      <w:r>
        <w:rPr>
          <w:rFonts w:ascii="Arial" w:cs="Arial" w:eastAsia="Arial" w:hAnsi="Arial"/>
          <w:sz w:val="14"/>
          <w:szCs w:val="14"/>
          <w:color w:val="auto"/>
        </w:rPr>
        <w:t>®</w:t>
      </w:r>
      <w:r>
        <w:rPr>
          <w:rFonts w:ascii="Arial" w:cs="Arial" w:eastAsia="Arial" w:hAnsi="Arial"/>
          <w:sz w:val="17"/>
          <w:szCs w:val="17"/>
          <w:color w:val="auto"/>
        </w:rPr>
        <w:t>, marketed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Johnson &amp; Johnson Inc., and Espo </w:t>
      </w:r>
      <w:r>
        <w:rPr>
          <w:rFonts w:ascii="Arial" w:cs="Arial" w:eastAsia="Arial" w:hAnsi="Arial"/>
          <w:sz w:val="13"/>
          <w:szCs w:val="13"/>
          <w:color w:val="auto"/>
        </w:rPr>
        <w:t>®</w:t>
      </w:r>
      <w:r>
        <w:rPr>
          <w:rFonts w:ascii="Arial" w:cs="Arial" w:eastAsia="Arial" w:hAnsi="Arial"/>
          <w:sz w:val="16"/>
          <w:szCs w:val="16"/>
          <w:color w:val="auto"/>
        </w:rPr>
        <w:t xml:space="preserve"> marketed by Kyowa Hakko Kirin in Japan and China), darbepoetin (Amgen/Kyowa Hakko Kirin’s Aranesp </w:t>
      </w:r>
      <w:r>
        <w:rPr>
          <w:rFonts w:ascii="Arial" w:cs="Arial" w:eastAsia="Arial" w:hAnsi="Arial"/>
          <w:sz w:val="13"/>
          <w:szCs w:val="13"/>
          <w:color w:val="auto"/>
        </w:rPr>
        <w:t>®</w:t>
      </w:r>
      <w:r>
        <w:rPr>
          <w:rFonts w:ascii="Arial" w:cs="Arial" w:eastAsia="Arial" w:hAnsi="Arial"/>
          <w:sz w:val="16"/>
          <w:szCs w:val="16"/>
          <w:color w:val="auto"/>
        </w:rPr>
        <w:t xml:space="preserve"> and NESP</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 and Mircera</w:t>
      </w:r>
      <w:r>
        <w:rPr>
          <w:rFonts w:ascii="Arial" w:cs="Arial" w:eastAsia="Arial" w:hAnsi="Arial"/>
          <w:sz w:val="14"/>
          <w:szCs w:val="14"/>
          <w:color w:val="auto"/>
        </w:rPr>
        <w:t xml:space="preserve"> ® </w:t>
      </w:r>
      <w:r>
        <w:rPr>
          <w:rFonts w:ascii="Arial" w:cs="Arial" w:eastAsia="Arial" w:hAnsi="Arial"/>
          <w:sz w:val="16"/>
          <w:szCs w:val="16"/>
          <w:color w:val="auto"/>
        </w:rPr>
        <w:t>marketed by Hoffmann-La Roche (“Roche”) outside of the U.S. and by Vifor Pharma (formerly a company of Galenica Group (“Vifor”)),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Roche licensee, in the U.S. and Puerto Rico, as well as biosimilar versions of these currently marketed ESA products. ESAs have been used in the treatment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anemia in CKD for more than 20 years, serving a significant majority of DD-CKD patients. While NDD-CKD patients who are not under the care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nephrologists, including those with diabetes and hypertension, do not typically receive ESAs and are often left untreated, some patients under nephrology care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receiving ESA therapy. It may be difficult to encourage healthcare providers and patients to switch to roxadustat from products with which they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become familiar.</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may also face competition from potential new anemia therapies currently in clinical development, including in those patient segments not currently addressed by ESAs. Companies such as GlaxoSmithKline plc (“GSK”), Bayer Corporation (“Bayer”), Akebia Therapeutics, Inc. (“Akebia”), and Japan Tobacco, who are currently developing HIF prolyl hydroxylase (“HIF-PH”) inhibitors for anemia in CKD indications. We may face competition for patient recruitment and enrollment for clinical trials and potentially in commercial sales. Akebia is currently conducting two Phase 3 studies in NDD–CKD, one started in December 2015 and the other in February 2016, and initiated two Phase 3 studies in DD-CKD, one started in July 2016 and the other in August 2016. Akebia also started a Phase 2 study in May 2017 with 20-week dosing in ESA-hyporesponsive DD-CKD patients, and a Phase 3 study with three-times a week dosing in August 2017. Both of these studies have been either terminated or withdrawn as of April 2018, and Akebia plans to replace these with new modified designs of studies, which are yet to be initiated. In November 2017, Mitsubishi Tanabe Pharmaceutical Corporation, Akebia’s collaboration partner, started a Phase 3 clinical study of its HIF-PH inhibitor vadadustat in Japan in patients who are either NDD-CKD or receiving peritoneal dialysis. GSK started Phase 3 studies in NDD-CKD and DD-CKD in the U.S. in September 2016, and in Japan in June 2016. Bayer has completed global Phase 2 studies and announced in May 2017 its HIF-PH inhibitor is now in continued development in Japan only, and started Japan Phase 3 studies in NDD-CKD and DD-CKD in December 2017. Beginning in September 2017, Japan Tobacco is currently conducting four Phase 3 open label studies in NDD-CKD and DD-CKD as well as a Phase 3 ESA-controlled study in NDD-CKD and DD-CKD in Japan. Some of these product candidates may enter the market prior to roxadustat.</w:t>
      </w:r>
    </w:p>
    <w:p>
      <w:pPr>
        <w:spacing w:after="0" w:line="17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In addition, there are other companies developing biologic therapies for the treatment of other anemia indications that we may also seek to pursue in the future, including anemia of MDS. For example, Acceleron Pharma Inc., in partnership with Celgene Corporation, is in Phase 3 development of protein therapeutic candidates to treat anemia and associated complications in patients with ß-thalassemia and MDS, and has received orphan drug status from the EMA and FDA for these indications. There may also be new therapies for renal-related diseases that could limit the market or level of reimbursement available for roxadustat if and when it is commercialized.</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China, biosimilars of epoetin alfa are offered by Chinese pharmaceutical companies such as EPIAO marketed by 3SBio Inc. as well as more than 15 other local manufacturers. We may also face competition by HIF-PH inhibitors from other companies such as Akebia, Bayer, and GSK, which was authorized by the SDA to conduct trials in China to support its ex-China regulatory filings. Akebia announced in December 2015 that it has entered into a development and commercialization partnership with Mitsubishi Tanabe Pharmaceutical Corporation for its HIF-PH inhibitor vadadustat in Japan, Taiwan, South Korea, India, and certain other countries in Asia, and announced in April 2017 an expansion of their U.S. collaboration with Otsuka to add markets, including China. 3SBio Inc. also announced in 2016 its plan on beginning a Phase 1 clinical trial of a HIF-PH inhibitor for the China market.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The introduction of biosimilar ESAs into the market in the U.S. may occur by the time roxadustat enters the market and may alter the competitive and pricing landscape of anemia therapy in DD-CKD patients under the end stage renal disease bundle. The patents for Amgen’s epoetin alfa, EPOGEN, expired in 2004 in the European Union (“EU”), and the final material patents in the U.S. expired in May 2015. Several biosimilar versions of currently marketed ESAs are available for sale in the EU, China and other territories. In the U.S., a few ESA biosimilars are currently under development or regulatory review, including Retacrit® (epoetin zeta), marketed by Pfizer in Europe and for which Pfizer resubmitted a Biologics License Application (“BLA”) after receiving a complete response letter (“CRL”) from the FDA denying approval of its BLA submitted in October 2015. While FDA’s Advisory Committee recommended approving the BLA in May 2017, FDA issued another CRL on June 22, 2017. Sandoz, a division of Novartis, markets Binocrit </w:t>
      </w:r>
      <w:r>
        <w:rPr>
          <w:rFonts w:ascii="Arial" w:cs="Arial" w:eastAsia="Arial" w:hAnsi="Arial"/>
          <w:sz w:val="14"/>
          <w:szCs w:val="14"/>
          <w:color w:val="auto"/>
        </w:rPr>
        <w:t>®</w:t>
      </w:r>
      <w:r>
        <w:rPr>
          <w:rFonts w:ascii="Arial" w:cs="Arial" w:eastAsia="Arial" w:hAnsi="Arial"/>
          <w:sz w:val="17"/>
          <w:szCs w:val="17"/>
          <w:color w:val="auto"/>
        </w:rPr>
        <w:t xml:space="preserve"> (epoetin alfa) in Europe and plans to file a biosimilar BLA in 2017 in the U.S.</w:t>
      </w:r>
    </w:p>
    <w:p>
      <w:pPr>
        <w:spacing w:after="0" w:line="17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majority of the current CKD anemia market focuses on dialysis patients, who visit dialysis centers on a regular basis, typically three-times a week, and anemia therapies are administered as part of the visit. Two of the largest operators of dialysis clinics in the U.S., DaVita Healthcare Partners Inc. (“DaVita”) and Fresenius Medical Care AG &amp; Co. KGaA (“Fresenius”), collectively provide dialysis care to approximately 70% of U.S. dialysis patients, and therefore have historically won long-term contracts including rebate terms with Amgen. In January 2017, DaVita entered into a new 6-year sourcing and supply agreement with Amgen that is effective through 2022. Fresenius’ contract with Amgen expired in 2015, and Fresenius is now administering Mircera</w:t>
      </w:r>
      <w:r>
        <w:rPr>
          <w:rFonts w:ascii="Arial" w:cs="Arial" w:eastAsia="Arial" w:hAnsi="Arial"/>
          <w:sz w:val="14"/>
          <w:szCs w:val="14"/>
          <w:color w:val="auto"/>
        </w:rPr>
        <w:t>®</w:t>
      </w:r>
      <w:r>
        <w:rPr>
          <w:rFonts w:ascii="Arial" w:cs="Arial" w:eastAsia="Arial" w:hAnsi="Arial"/>
          <w:sz w:val="17"/>
          <w:szCs w:val="17"/>
          <w:color w:val="auto"/>
        </w:rPr>
        <w:t xml:space="preserve"> in a significant portion of its U.S. dialysis patients since Mircera was made available by Vifor. Successful penetration of this market may require a significant agreement with Fresenius or DaVita on favorable terms and on a timely basis.</w:t>
      </w:r>
    </w:p>
    <w:p>
      <w:pPr>
        <w:spacing w:after="0" w:line="19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pamrevlumab is approved and launched commercially to treat IPF, competing drugs are expected to include Roche’s pirfenidone, which is approved for marketing in Europe, Canada, Japan and the U.S., and Boehringer Ingelheim Pharma GmbH &amp; Co. KG’s nintedanib which has been approved in the U.S. and EU. Nintedanib is also in development for non-small cell lung cancer and ovarian cancer. Other potential competitive product candidates in various stages of Phase 2 development for IPF include Promedior Inc.’s PRM-151, Biogen-Idec’s STX-100, Prometic Life Sciences Inc.’s PBI-4050, and Kadmon Holdings, Inc.’s KD025. Galapagos NV recently announced its plans to start two Phase 3 trials in IPF later this year with its compound GLPG1690. Moreover, Promedior Inc. published an abstract as part of the 2018 American Thoracic Society Conference indicating that it achieved a positive outcome in its Phase 2 trial for IPF with its compound PRM-151.</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If pamrevlumab is approved and launched commercially to treat pancreatic cancer, we expect it to be used in combination instead of as monotherapy, and, likely competition for pamrevlumab would be from other agents also seeking approval in combination with gemcitibine and nab-paclitaxel from companies such as NewLink Genetics Corporation, Merrimack Pharmaceuticals, Inc. (“Merrimack”) and Halozyme Therapeutics, Inc. Gemcitabine and/or nab-paclitaxel are the current standard of care in the first-line treatment of metastatic pancreatic cancer. Celgene Corporation’s Abraxane </w:t>
      </w:r>
      <w:r>
        <w:rPr>
          <w:rFonts w:ascii="Arial" w:cs="Arial" w:eastAsia="Arial" w:hAnsi="Arial"/>
          <w:sz w:val="15"/>
          <w:szCs w:val="15"/>
          <w:color w:val="auto"/>
        </w:rPr>
        <w:t>®</w:t>
      </w:r>
      <w:r>
        <w:rPr>
          <w:rFonts w:ascii="Arial" w:cs="Arial" w:eastAsia="Arial" w:hAnsi="Arial"/>
          <w:sz w:val="18"/>
          <w:szCs w:val="18"/>
          <w:color w:val="auto"/>
        </w:rPr>
        <w:t xml:space="preserve"> (nab-paclitaxel) was launched in the U.S. and Europe in 2013 and 2014, and was the first drug approved in this disease in nearly a decade. In 2015, Merrimack received FDA approval for the use of ONIVYDE (irinotecan liposome injection) for the treatment of patients with metastatic adenocarcinoma of the pancreas after disease progression following gemcitabine-based therapy.</w:t>
      </w:r>
    </w:p>
    <w:p>
      <w:pPr>
        <w:spacing w:after="0" w:line="18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If pamrevlumab is approved and launched commercially to treat DMD, pamrevlumab may face competition for some patients from Sarepta Therapeutics, Inc. (“Sarepta”), as well as PTC Therapeutics, Santhera Pharmaceuticals, Catabasis Pharmaceuticals, Pfizer, Summit Therapeutics plc (“Summit”), and Tivorsan Pharmaceuticals. Sarepta is researching and developing clinical candidates for many of the specific mutations in the dystrophin gene and received accelerated approval in the U.S. for its first drug Exondys 51 (eteplirsen). The approval is limited to patients who have a confirmed mutation in the DMD gene that is amenable to exon 51 skipping. This mutation represents a subset of approximately 13% of patients with DMD. Marathon Pharmaceuticals received approval for its drug Emflaza (deflazacort) on February 9, 2017 and on March 16, 2017 announced that it had sold the commercialization rights to Emflaza to PTC Therapeutics. PTC Therapeutics’ product ataluren (Translarna </w:t>
      </w:r>
      <w:r>
        <w:rPr>
          <w:rFonts w:ascii="Arial" w:cs="Arial" w:eastAsia="Arial" w:hAnsi="Arial"/>
          <w:sz w:val="13"/>
          <w:szCs w:val="13"/>
          <w:color w:val="auto"/>
        </w:rPr>
        <w:t>TM</w:t>
      </w:r>
      <w:r>
        <w:rPr>
          <w:rFonts w:ascii="Arial" w:cs="Arial" w:eastAsia="Arial" w:hAnsi="Arial"/>
          <w:sz w:val="16"/>
          <w:szCs w:val="16"/>
          <w:color w:val="auto"/>
        </w:rPr>
        <w:t>) received conditional approval in Europe in 2014 and a complete response letter from the FDA in October of 2017 stating that the FDA is unable to approve the application in its current form. Translarna targets a different set of DMD patients from those being targeted by Sarepta’s existing exon-skipping therapeutic candidate; however it is also limited to a subset of patients who carry a specific mutation.</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Conversely, pamrevlumab and some other potential competitors are intended to treat DMD patients regardless of the specific mutation. For example, Santhera Pharmaceuticals reported positive Phase 3 data with its drug idebenone (Raxone </w:t>
      </w:r>
      <w:r>
        <w:rPr>
          <w:rFonts w:ascii="Arial" w:cs="Arial" w:eastAsia="Arial" w:hAnsi="Arial"/>
          <w:sz w:val="14"/>
          <w:szCs w:val="14"/>
          <w:color w:val="auto"/>
        </w:rPr>
        <w:t>®</w:t>
      </w:r>
      <w:r>
        <w:rPr>
          <w:rFonts w:ascii="Arial" w:cs="Arial" w:eastAsia="Arial" w:hAnsi="Arial"/>
          <w:sz w:val="17"/>
          <w:szCs w:val="17"/>
          <w:color w:val="auto"/>
        </w:rPr>
        <w:t xml:space="preserve">/Catena </w:t>
      </w:r>
      <w:r>
        <w:rPr>
          <w:rFonts w:ascii="Arial" w:cs="Arial" w:eastAsia="Arial" w:hAnsi="Arial"/>
          <w:sz w:val="14"/>
          <w:szCs w:val="14"/>
          <w:color w:val="auto"/>
        </w:rPr>
        <w:t>®</w:t>
      </w:r>
      <w:r>
        <w:rPr>
          <w:rFonts w:ascii="Arial" w:cs="Arial" w:eastAsia="Arial" w:hAnsi="Arial"/>
          <w:sz w:val="17"/>
          <w:szCs w:val="17"/>
          <w:color w:val="auto"/>
        </w:rPr>
        <w:t>) in a trial measuring changes in lung function for DMD patients, however the FDA has asked for additional data from an ongoing trial prior to considering Raxone for approval. Previously we had expected this additional trial to be confirmatory rather than necessary for submission. Idebenone is a synthetic short-chain benzoquinone and a cofactor for the enzyme NAD(P)H:quinone oxidoreductase (NQO1). Pfizer’s product candidate, which is in Phase 2 development to treat DMD, is an antibody targeting myostatin which is a protein that regulates muscle growth. The goal of the program is to increase muscle growth and muscle strength in patients with DMD. Summit and Tivorsan Pharmaceuticals are both working on drugs involving the utrophin pathway. Utrophin is a protein similar to dystrophin that is potentially implicated in all DMD patients. Summit is conducting a Phase 2 trial and reported positive interim data from this trial on January 25, 2018. Summit anticipates reporting topline data in the third quarter of 2018.</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October 2016, Summit and Sarepta announced a collaboration in which the companies have agreed to collaborate on Summit’s utrophin modulator pipeline including its lead candidate ezutromid. The companies will co-develop the pipeline and Sarepta will receive the rights to the compounds in Europe, Turkey, and the Commonwealth of Independent States. Sarepta also has an option on the rights to the program for Latin America. Summit will retain commercialization rights in all other countries including the U.S.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Catabasis Pharmaceuticals recently reported positive Phase 2 data from its clinical trial candidate edasalonexent. Edasalonexent was reported to have preserved muscle function and slowed the progression of DMD compared to rates of change in the control period prior to treatment with edasalonexent. The company plans to start a placebo controlled Phase 3 trial in 2018.</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FG-5200 is approved and launched to treat corneal blindness resulting from partial thickness corneal damage without active inflammation and infection in China, it is likely to compete with other products designed to treat corneal damage. For example, in April 2015, a subsidiary of China Regenerative Medicine International Limited received approval for their acellular porcine cornea stroma medical device to treat patients in China with corneal ulcers and in April 2016, Guangzhou Yourvision Biotech Co. Ltd, a subsidiary of Guanhao Biotech, received approval for their acellular porcine cornea medical device to treat patients in China with infectious keratitis that does not respond to drug treatment.</w:t>
      </w:r>
    </w:p>
    <w:p>
      <w:pPr>
        <w:spacing w:after="0" w:line="188"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comparators, whether placebo or active, in order to compare pamrevlumab against another drug, which may be the new standard of care.</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into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2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 party payors and others in the health care community.</w:t>
      </w:r>
    </w:p>
    <w:p>
      <w:pPr>
        <w:spacing w:after="0" w:line="6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Even if we obtain marketing approval for roxadustat, pamrevlumab or any other product candidates that we may develop or acquire in the future, these product candidates may not gain market acceptance among physicians, third party payors, patients and others in the health care community. Market acceptance of any approved product depends on a number of other factors, including:</w:t>
      </w:r>
    </w:p>
    <w:p>
      <w:pPr>
        <w:spacing w:after="0" w:line="73" w:lineRule="exact"/>
        <w:rPr>
          <w:sz w:val="20"/>
          <w:szCs w:val="20"/>
          <w:color w:val="auto"/>
        </w:rPr>
      </w:pPr>
    </w:p>
    <w:p>
      <w:pPr>
        <w:ind w:left="1040" w:right="8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safety, efficacy and convenience of treatment in relation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or pricing by third party payors and government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ability of treatment providers, such as dialysis clinics, to enter into relationships with us without violating their existing agreement;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No or limited reimbursement or insurance coverage of our approved products, if any, by third party payors may render our products less attractive to patients and healthcare providers.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Market acceptance and sales of any approved products will depend significantly on reimbursement or coverage of our products by the Chinese government or third party payors, and may be affected by existing and future healthcare reform measures or prices of related products for which the government or third party reimbursement applies. Coverage and reimbursement by the government or a third party payor may depend upon a number of factors, including the payor’s determination that use of a product is:</w:t>
      </w:r>
    </w:p>
    <w:p>
      <w:pPr>
        <w:spacing w:after="0" w:line="79"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cycle for the Chinese government to update their reimbursement lists (national or provincial) is unpredictable and is beyond the control of companies.</w:t>
      </w:r>
    </w:p>
    <w:p>
      <w:pPr>
        <w:spacing w:after="0" w:line="24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which we may not be able to provide. Furthermore, the reimbursement policies of third party payors may significantly change in a manner that renders our clinical data insufficient for adequate reimbursement or otherwise limits the successful marketing of our products. Even if we obtain coverage for our product candidates, third party payors may not establish adequate reimbursement amounts, which may reduce the demand for, or the price of, our products. If reimbursement is not available or is available only to limited levels, we may not be able to commercialize certain of our products.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Price controls may limit the price at which products such as roxadustat, if approved, are sold. For example, reference pricing is used by various EU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 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our collaborations with Astellas or AstraZeneca were terminated, or if Astellas or AstraZeneca were to prioritize other initiatives over their collaborations with us, whether as a result of a change of control or otherwise, our ability to successfully develop and commercialize our lead product candidate, roxadustat, would suffer.</w:t>
      </w:r>
    </w:p>
    <w:p>
      <w:pPr>
        <w:spacing w:after="0" w:line="73"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Conflicts with our collaboration partners could jeopardize our collaboration agreements and our ability to commercialize product candidates.</w:t>
      </w:r>
    </w:p>
    <w:p>
      <w:pPr>
        <w:spacing w:after="0" w:line="1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collaboration partners have certain rights to control decisions regarding the development and commercialization of our product candidates with respect to which they are providing funding. If we have a disagreement over strategy and activities,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 novel drug such as roxadustat in the dialysis market.</w:t>
      </w:r>
    </w:p>
    <w:p>
      <w:pPr>
        <w:spacing w:after="0" w:line="1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With respect to our collaboration agreements for roxadustat, there are additional complexities in that we and our collaboration partners, Astellas and AstraZeneca, must reach consensus on our Phase 3 development program.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planned Phase 3 clinical studies.</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and we should be precluded from such internal activities. Moreover, disagreements with our collaboration partners could develop over rights to our intellectual property.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w:t>
      </w:r>
    </w:p>
    <w:p>
      <w:pPr>
        <w:spacing w:after="0" w:line="17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7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rely on third parties for the conduct of most of our preclinical and clinical trials for our product candidates, and if our third party contractors do not properly and successfully perform their obligations under our agreements with them, we may not be able to obtain or may be delayed in receiving regulatory approvals for our product candidates.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 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Phase 3 development program for roxadustat. We compete with many other companies for the resources of these third parties, and large pharmaceutical companies often have significantly more extensive agreements and relationships with such third party providers, and such third 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time period. We cannot assure you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clinical studies and product manufacturing, and these third parties may not perform satisfactorily.</w:t>
      </w:r>
    </w:p>
    <w:p>
      <w:pPr>
        <w:spacing w:after="0" w:line="6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do not have any operating manufacturing facilities at this time other than our roxadustat and FG-5200 manufacturing facility in China, and our current commercial manufacturing facility plans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Risks arising from our reliance on third party manufacturers include:</w:t>
      </w:r>
    </w:p>
    <w:p>
      <w:pPr>
        <w:spacing w:after="0" w:line="80" w:lineRule="exact"/>
        <w:rPr>
          <w:sz w:val="20"/>
          <w:szCs w:val="20"/>
          <w:color w:val="auto"/>
        </w:rPr>
      </w:pPr>
    </w:p>
    <w:p>
      <w:pPr>
        <w:ind w:left="1040" w:right="30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 party manufacturers for all aspects of manufacturing activities, including regulatory compliance and quality control and assurance;</w:t>
      </w:r>
    </w:p>
    <w:p>
      <w:pPr>
        <w:spacing w:after="0" w:line="62"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negatively impact our planned development and commercialization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7" w:lineRule="exact"/>
        <w:rPr>
          <w:rFonts w:ascii="Arial" w:cs="Arial" w:eastAsia="Arial" w:hAnsi="Arial"/>
          <w:sz w:val="18"/>
          <w:szCs w:val="18"/>
          <w:color w:val="auto"/>
        </w:rPr>
      </w:pPr>
    </w:p>
    <w:p>
      <w:pPr>
        <w:ind w:left="1040" w:right="9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disruptions to the operations of our third party manufacturers or suppliers unrelated to our product, including the bankruptcy of the manufacturer or supplier or a catastrophic event affecting our manufacturers or suppliers.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 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9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Any of our third party manufacturers may terminate their engagement with us at any time and we have not yet entered into any commercial supply agreements for the manufacture of active pharmaceutical ingredients (“APIs”) or drug products. With respect to roxadustat, AstraZeneca and Astellas have certain rights to assume manufacturing of roxadustat and the existence of those rights may limit our ability to enter into favorable long-term supply agreements, if at all, with other third party manufacturers. In addition, our product candidates and any products that we may develop may compete with other product candidates and products for access and prioritization to manufacture. Certain third party manufacturers may be contractually prohibited from manufacturing our product due to non-compete agreements with our competitors or a commitment to grant another party priority relative to our products. There are a limited number of third party manufacturers that operate under cGMP and that might be capable of manufacturing to meet our requirements. Due to the limited number of third party manufacturers with the contractual freedom, expertise, required regulatory approvals and facilities to manufacture our products on a commercial scale, identifying and qualifying a replacement third party manufacturer would be expensive and time-consuming and may cause delay or interruptions in the production of our product candidates or products, which in turn may delay, prevent or impair our development and commercialization efforts.</w:t>
      </w:r>
    </w:p>
    <w:p>
      <w:pPr>
        <w:spacing w:after="0" w:line="18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have a letter agreement with IRIX Pharmaceuticals, Inc. (“IRIX”), a third 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 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(“Patheon”), acquired IRIX, and in 2017 ThermoFisher Scientific Inc. acquired Patheon.</w:t>
      </w:r>
    </w:p>
    <w:p>
      <w:pPr>
        <w:spacing w:after="0" w:line="18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any third 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 party manufacturer we expect to enter into technical transfer agreements and share our know-how with the third party manufacturer, which can be time-consuming and may result in delays. These delays could result in a suspension or delay of our Phase 3 clinical trials or, if roxadustat is approved and marketed, a failure to satisfy patient demand.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do not have an alternative supplier of certain components of our product candidates. To date, we have used purchase orders for the supply of materials that we use in our product candidates. We may be unable to enter into long-term commercial supply arrangements with our vendors,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 Moreover, we currently do not have any agreements for the commercial production of those materials.</w:t>
      </w:r>
    </w:p>
    <w:p>
      <w:pPr>
        <w:spacing w:after="0" w:line="15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logistics of our supply chain, which include shipment of materials and intermediates from countries such as China and India add additional time and risk to the manufacture of our product candidates. While we have in the past maintained sufficient inventory of materials, API, and drug product to meet our and our collaboration partners’ needs for roxadustat to date, the lead time and regulatory approvals required to source from and into countries outside of the U.S. increase the risk of delay and potential shortages of supply.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(“AIA”), effective March 16, 2013. This system also includes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disputes with third parties and competitors may be costly and time consuming, and may negatively affect our competitive position.</w:t>
      </w:r>
    </w:p>
    <w:p>
      <w:pPr>
        <w:spacing w:after="0" w:line="1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party to, or be threatened with, future litigation or other proceedings regarding intellectual property rights with respect to our product candidates and competing products.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our product candidates progress toward commercialization, we or our collaboration partners may be subject to patent infringement claims from third parties. We attempt to ensure that our product candidates do not infringe third 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intend, if necessary, to vigorously enforce our intellectual property in order to protect the proprietary position of our product candidates, including roxadustat and pamrevlumab. Active efforts to enforce our patents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Moreover, third parties may continue to initiate new proceedings in the U.S. and foreign jurisdictions to challenge our patents from time to time.</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may consider administrative proceedings and other means for challenging third party patents and patent applications. Third parties may also challenge our patents and patent applications, through interference, reexamination, IPR, and post-grant review proceedings before the U.S. Patent and Trademark Office (“USPTO”) or through other comparable proceedings, such as oppositions or invalidation proceedings, before foreign patent offices.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 Even if we are successful, participation in administrative proceedings before the USPTO or a foreign patent office may result in substantial costs and time on the part of our management and other employees. For example, oppositions have been filed against four FibroGen European patents (European Patent Nos. 1463823, 1633333, 2322155, and 2322153) within our HIF Anemia-related Technologies Patent Portfolio.</w:t>
      </w:r>
    </w:p>
    <w:p>
      <w:pPr>
        <w:spacing w:after="0" w:line="1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reliance on third 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9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29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73"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5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 party products may compete with our product candidates, and our patents or other intellectual property rights may not be effective or sufficient to prevent them from competing.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6" w:lineRule="exact"/>
        <w:rPr>
          <w:sz w:val="20"/>
          <w:szCs w:val="20"/>
          <w:color w:val="auto"/>
        </w:rPr>
      </w:pPr>
    </w:p>
    <w:p>
      <w:pPr>
        <w:ind w:left="1040" w:right="16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28" w:lineRule="exact"/>
        <w:rPr>
          <w:rFonts w:ascii="Arial" w:cs="Arial" w:eastAsia="Arial" w:hAnsi="Arial"/>
          <w:sz w:val="17"/>
          <w:szCs w:val="17"/>
          <w:color w:val="auto"/>
        </w:rPr>
      </w:pPr>
    </w:p>
    <w:p>
      <w:pPr>
        <w:ind w:left="1040" w:right="16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1040" w:right="20" w:hanging="519"/>
        <w:spacing w:after="0" w:line="312" w:lineRule="auto"/>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regulatory approval process is highly uncertain and we may not obtain regulatory approval for the commercialization of our product candidates.</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neither roxadustat nor pamrevlumab, nor any future product candidates we may discover, in-license or acquire and seek to develop in the future, will ever obtain regulatory approval.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from the FDA or other regulatory authorities for many reasons, including:</w:t>
      </w:r>
    </w:p>
    <w:p>
      <w:pPr>
        <w:spacing w:after="0" w:line="117"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U.S. where the standard of care is potentially different from that in the U.S.;</w:t>
      </w:r>
    </w:p>
    <w:p>
      <w:pPr>
        <w:spacing w:after="0" w:line="62"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 party manufacturers with whom we contract for clinical and commercial supplies;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Even if we believe our current or planned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8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our product candidates obtain marketing approval, we will be subject to more extensive healthcare laws, regulation and enforcement and our failure to comply with those laws could have a material adverse effect on our results of operations and financial condition.</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we obtain approval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U.S. include:</w:t>
      </w:r>
    </w:p>
    <w:p>
      <w:pPr>
        <w:spacing w:after="0" w:line="57" w:lineRule="exact"/>
        <w:rPr>
          <w:sz w:val="20"/>
          <w:szCs w:val="20"/>
          <w:color w:val="auto"/>
        </w:rPr>
      </w:pPr>
    </w:p>
    <w:p>
      <w:pPr>
        <w:ind w:left="1040" w:hanging="519"/>
        <w:spacing w:after="0" w:line="264"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3" w:lineRule="exact"/>
        <w:rPr>
          <w:rFonts w:ascii="Arial" w:cs="Arial" w:eastAsia="Arial" w:hAnsi="Arial"/>
          <w:sz w:val="18"/>
          <w:szCs w:val="18"/>
          <w:color w:val="auto"/>
        </w:rPr>
      </w:pPr>
    </w:p>
    <w:p>
      <w:pPr>
        <w:jc w:val="both"/>
        <w:ind w:left="1040" w:right="260" w:hanging="519"/>
        <w:spacing w:after="0" w:line="264"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 party payors that are false or fraudulent;</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62"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HIPAA, as amended by Health Information Technology and Clinical Health Act, and its implementing regulations, which imposes certain requirements relating to the privacy, security, and transmission of individually identifiable health information;</w:t>
      </w:r>
    </w:p>
    <w:p>
      <w:pPr>
        <w:spacing w:after="0" w:line="62" w:lineRule="exact"/>
        <w:rPr>
          <w:rFonts w:ascii="Arial" w:cs="Arial" w:eastAsia="Arial" w:hAnsi="Arial"/>
          <w:sz w:val="18"/>
          <w:szCs w:val="18"/>
          <w:color w:val="auto"/>
        </w:rPr>
      </w:pPr>
    </w:p>
    <w:p>
      <w:pPr>
        <w:ind w:left="1040" w:right="20" w:hanging="519"/>
        <w:spacing w:after="0" w:line="259"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(“PPACA”), which requires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hanging="519"/>
        <w:spacing w:after="0" w:line="291" w:lineRule="auto"/>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foreign and state law equivalents of each of the above federal laws, such as the U.S. Foreign Corrupt Practices Act (“FCPA”), anti-kickback and false claims laws that may apply to items or services reimbursed by any third 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59" w:lineRule="exact"/>
        <w:rPr>
          <w:rFonts w:ascii="Arial" w:cs="Arial" w:eastAsia="Arial" w:hAnsi="Arial"/>
          <w:sz w:val="16"/>
          <w:szCs w:val="16"/>
          <w:color w:val="auto"/>
        </w:rPr>
      </w:pPr>
    </w:p>
    <w:p>
      <w:pPr>
        <w:ind w:left="1040" w:hanging="519"/>
        <w:spacing w:after="0" w:line="273"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(“VA”) due to our inability to obtain regulatory approval. While there have been recent VA policy changes that appear to allow for sale of drugs from non-TAA approved countries, this policy may change or there may be additional policies or legislation that affect our ability to sell drug to the U.S. Government.</w:t>
      </w:r>
    </w:p>
    <w:p>
      <w:pPr>
        <w:spacing w:after="0" w:line="17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scope of these laws and our lack of experience in establishing the compliance programs necessary to comply with this complex and evolving regulatory environment increases the risks that we may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2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impact of recent U.S. healthcare reform, its potential partial or full repeal, and other changes in the healthcare industry and in healthcare spending is currently unknown, and may adversely affect our business model.</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commercial potential for our approved products, if any,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which could similarly impact the commercial potential for our products.</w:t>
      </w:r>
    </w:p>
    <w:p>
      <w:pPr>
        <w:spacing w:after="0" w:line="17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the Centers for Medicare and Medicaid Services (“CMS”) based on the average cost per treatment, including the cost of ESAs and IV iron doses, typically without adjustment for usage. It is unknown whether roxadustat, if approved, will be included in the payment bundle.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More recently, the PPACA was enacted in 2010 with a goal of reducing the cost of healthcare and substantially changing the way healthcare is financed by both government and private insurers. The PPACA,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U.S. since the PPACA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It is likely that federal and state legislatures within the U.S.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9"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demand for any products that may be approved for sale;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 and profitability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pricing, coverage and reimbursement applicable to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to successfully position and market any approved product;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taxes applicable to our pharmaceutical product revenues.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Some of the provisions of the PPACA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PPACA.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replace elements of the Affordable Care Act that are repealed. Given these possibilities and others we may not anticipate, the full extent to which our business, results of operations and financial condition could be adversely affected by the recent proposed legislation and the Executive Order is uncertain. The implementation of cost containment measures or other healthcare reforms may prevent us from being able to generate revenue, attain profitability, or commercialize our drugs.</w:t>
      </w:r>
    </w:p>
    <w:p>
      <w:pPr>
        <w:spacing w:after="0" w:line="16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Furthermore,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the U.S. Congress of the FDA’s approval process may significantly delay or prevent regulatory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conduct, or contract others to conduct, animal testing in the future, which could harm our research and development activities.</w:t>
      </w:r>
    </w:p>
    <w:p>
      <w:pPr>
        <w:spacing w:after="0" w:line="14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17"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report financial information or data accurately;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or disclose unauthorized activities to us.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2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are establishing international operations and seeking approval to commercialize our product candidates outside of the U.S., in particular in China, and a number of risks associated with international operations could materially and adversely affect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29"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right="22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U.S. and foreign taxes, including withholding of payroll taxes;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pharmaceutical industry in China is subject to comprehensive government regulation and supervision, encompassing the approval, registration, manufacturing, packaging, licensing and marketing of new drugs. Refer to “</w:t>
      </w:r>
      <w:r>
        <w:rPr>
          <w:rFonts w:ascii="Arial" w:cs="Arial" w:eastAsia="Arial" w:hAnsi="Arial"/>
          <w:sz w:val="17"/>
          <w:szCs w:val="17"/>
          <w:i w:val="1"/>
          <w:iCs w:val="1"/>
          <w:color w:val="auto"/>
        </w:rPr>
        <w:t>Business — Government Regulation — Regulation in China</w:t>
      </w:r>
      <w:r>
        <w:rPr>
          <w:rFonts w:ascii="Arial" w:cs="Arial" w:eastAsia="Arial" w:hAnsi="Arial"/>
          <w:sz w:val="17"/>
          <w:szCs w:val="17"/>
          <w:color w:val="auto"/>
        </w:rPr>
        <w:t>”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Chinese authorities have become increasingly vigilant in enforcing laws in the pharmaceutical industry, in some cases launching industry-wide investigations, oftentimes appearing to focus on foreign companies. The costs and time necessary to respond to an investigation can be material. Any failure by us or our partners to maintain compliance with applicable laws and regulations or obtain and maintain required licenses and permits may result in the suspension or termination of our business activities in China.</w:t>
      </w:r>
    </w:p>
    <w:p>
      <w:pPr>
        <w:spacing w:after="0" w:line="29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Patients’ use of traditional Chinese medicine in violation of study protocols in our China studies may lead the SDA and regulators in other jurisdictions in which we are seeking approval to suspend our studies, reject our study data and withhold approval for roxadustat.</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common issue encountered in conducting clinical studies in China is patients’ use of traditional Chinese medicine in violation of study protocols. We believe that many patients with anemia in CKD are currently being treated with traditional Chinese medicine, and it is possible that such patients may continue their use of traditional Chinese medicine after enrollment in our studies and in violation of study protocols. If the patients participating in our China clinical studies do not comply with study protocols and continue to use traditional Chinese medicine, adverse events may emerge in our studies that are due to such traditional Chinese medicine or the interaction between such traditional Chinese medicine and roxadustat. In addition, the use of traditional Chinese medicine by patients in our studies may confound our study results. The occurrence of such adverse events or the confounding of our study results may lead the SDA and regulators in other jurisdictions in which we are seeking approval to, among other things, suspend our studies, reject our study data and withhold approval for roxadustat.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b w:val="1"/>
          <w:bCs w:val="1"/>
          <w:i w:val="1"/>
          <w:iCs w:val="1"/>
          <w:color w:val="auto"/>
        </w:rPr>
        <w:t>We are planning on using our own manufacturing facilities in China to produce roxadustat API, roxadustat drug product, and FG-5200 corneal implants. As an organization, we have limited experience in the construction, licensure, and operation of a manufacturing plant, and accordingly we cannot assure you we will be able to meet regulatory requirements to operate our plant and to sell our products.*</w:t>
      </w:r>
    </w:p>
    <w:p>
      <w:pPr>
        <w:spacing w:after="0" w:line="5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have two manufacturing facilities in China, with one located in Beijing and the other in Cangzhou, Hebei. We will not receive a license for commercial manufacture of roxadustat in either facility until after NDA approval. In addition, if we choose to manufacture API at our Cangzhou facility, we will have to complete a manufacturing site change for API, from Beijing to Cangzhou. As an organization, we have limited experience building and licensing manufacturing facilities that must be constructed, licensed and operated in conformity with applicable cGMP, building and other requirements. There can be no assurance that we will be successful or timely in receiving licensure in Cangzhou or Beijing, either of which would be expected to delay or preclude our ability to develop and commercialize roxadustat in China and may materially adversely affect our business and operations and prospects in China.</w:t>
      </w:r>
    </w:p>
    <w:p>
      <w:pPr>
        <w:spacing w:after="0" w:line="16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will be obligated to comply with continuing cGMP requirements and there can be no assurance that we will receive and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succeed for licensure or continue to be successful in meeting these requirements.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would require separate approval for the manufacture of FG-5200. In addition, we may convert the existing manufacturing process of FG-5200 to a semi-automated process, which may require us to show that implants from our new manufacturing process are comparable to the implants from our existing manufacturing process. There can be no assurance that we will successfully receive licensure and maintain approval for the manufacture of FG-5200, either of which would be expected to delay or preclude our ability to develop FG-5200 in China and may materially adversely affect our business and operations and prospects in China.</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Manufacturing facilities in China are subject to periodic unannounced inspections by the SDA and other regulatory authorities. We expect to depend on these facilities for our product candidates and business operations in China. Natural disasters or other unanticipated catastrophic events, including power interruptions, water shortages, storms, fires,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 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2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decision to seek approval in China for roxadustat prior to approval in the U.S. or Europe is largely unprecedented and could be subject to significant risk, delay and expense.</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subsidiary FibroGen (China) Medical Technology Development Co., Ltd. (“FibroGen Beijing”), is currently seeking approval for roxadustat in China as a Domestic Class 1 Drug, which we believe, if approved, would be the first SDA approval of a first in class drug candidate while Phase 3 trials are ongoing in the U.S. and Europe. Because of this largely novel regulatory pathway, the SDA approval process may take longer than we currently expect, or the SDA may require us to submit additional data, including data from the U.S. or European Phase 3 trials. In addition, negative data from the U.S. or European Phase 3 trials could affect the SDA approval process. Any such development delays would result in significant delay in our commercialization plans for roxadustat in China. Elements of our plan for approval of roxadustat and other product candidates in China are based on communications with the SDA, some of which are not reflected in formal written communications, regulations, findings or determinations. Accordingly, while we believe we have understandings with the SDA regarding the domestic drug approval process and the clinical and manufacturing (including bio-equivalency) data currently required for approval and the timing and process of a potential approval, the regulatory authorities may later determine that changes are required in the drug approval process, or that additional or different clinical or manufacturing data must be generated, any of which could significantly delay approval of roxadustat or any of our other product candidates, and materially and adversely affect our plans and operations in China. It is possible that other unforeseen delays in the China regulatory process could have a material adverse effect on our development and commercialization of roxadustat in China.</w:t>
      </w:r>
    </w:p>
    <w:p>
      <w:pPr>
        <w:spacing w:after="0" w:line="16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For example, prior to enrolling our Phase 3 studies, the Ministry of Science and Technology established a new approval process to obtain routine blood and urine samples that contain genetic information. Our Phase 3 CKD clinical trial sites have received such approval, but applications are reviewed only on a quarterly basis, thus new studies or work at additional clinical trial sites could be delayed until they receive such approval.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addition, there are new and evolving environmental and manufacturing regulations in China. The application thereof may impact our API manufacturing location or strategy. In order to prevent or mitigate any delay in commercialization, we are establishing a 5,500 square meter commercial API manufacturing facility in Cangzhou, Hebei, with the intention of being operational shortly after NDA approval. We have limited experience building and licensing manufacturing facilities that must be constructed, licensed and operated in conformity with applicable cGMP, and building and other requirements. Any delays related to these regulations or our new manufacturing facility could adversely affect the cost timing of our commercialization in China.</w:t>
      </w:r>
    </w:p>
    <w:p>
      <w:pPr>
        <w:spacing w:after="0" w:line="158"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In May 2016, China announced implementation of a three-year pilot program for the Marketing Authorization Holder System (“MAH”) in certain piloted regions. We have applied to participate in this program, and if accepted, we may be able to outsource drug product or API manufacturing to third parties. However, we cannot know if we will be accepted into the MAH program, or how long such program will be available.</w:t>
      </w:r>
    </w:p>
    <w:p>
      <w:pPr>
        <w:spacing w:after="0" w:line="2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Even if roxadustat is approved in China, we and our collaboration partner in China, AstraZeneca, may experience difficulties in successfully generating sales of roxadustat in China.</w:t>
      </w:r>
    </w:p>
    <w:p>
      <w:pPr>
        <w:spacing w:after="0" w:line="6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and AstraZeneca have a profit sharing arrangement with respect to roxadustat in China. Even if roxadustat is approved for sale in China, we and AstraZeneca may experience difficulties in our marketing, commercialization and sales efforts in China, and our business and operations could be adversely affected. In particular, sales of roxadustat in China may be limited due to the complex nature of the healthcare system, low average personal income, lack of patient cost reimbursement, pricing controls, poorly developed infrastructure and potentially rapid competition from other products.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treatment of anemia in CKD in China is highly competitive.</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Even if roxadustat is approved in China, it will face intense competition in the market for treatment of anemia in CKD. Roxadustat would compete with ESAs, which are offered by established multinational pharmaceutical companies such as Kyowa Hakko Kirin China Pharmaceutical Co., Ltd., Roche and Chinese pharmaceutical companies such as 3SBio Inc. and Di’ao Group Chengdu Diao Jiuhong Pharmaceutical Factory. Many of these competitors have substantially greater name recognition, scientific, financial, and marketing resources, as well as established distribution capabilities. Many of our competitors have more resources to develop or acquire, and more experience in developing or acquiring, new products and in creating market awareness for those products. Many of these competitors have significantly more experience than we have in navigating the Chinese regulatory framework regarding the development, manufacturing and marketing of drugs in China, as well as in marketing and selling anemia products in China. Additionally, we believe that most patients with anemia in CKD in China are currently being treated with traditional Chinese medicine, which is widely accepted and highly prevalent in China. Traditional Chinese medicine treatments are often oral and thus convenient and low-cost, and practitioners of traditional Chinese medicine are numerous and accessible in China. As a result, it may be difficult to persuade patients with anemia in CKD to switch from traditional Chinese medicine to roxadustat.</w:t>
      </w:r>
    </w:p>
    <w:p>
      <w:pPr>
        <w:spacing w:after="0" w:line="2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Chinese government is implementing a new “Two Invoices” regulation which could affect the way we structure our distributorship relationships in China for roxadustat.*</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Chinese government is implementing new regulations that may impact our current distribution plans. These regulations generally require that at most two invoices may be issued throughout the distribution chain, which may affect the structure of the FibroGen-AstraZeneca commercial distribution plan by imposing higher costs or slowing our ability under the agreement to sell products to our principal customers. Any change in distribution would be expected to have an adverse impact on the cost of delivery of product to the end user customer, potentially raising cost of operations through the chain of distribution and potentially delaying launch or initial sales. Although we have time to prepare for these changes in advance of our commercial launch, we may not have sufficient visibility or understanding of the implementation across some or all of the various provinces, the result of which may be a delay in the planned distribution efforts and near-term potential for sales growth in China for roxadustat as we and our distribution partners understand and adjust our distribution plans in response to the new regulation. Failure to comply with the Two-Invoice regulations would prevent us from accessing the market in China.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assurance that roxadustat will be included in the Medical Insurance Catalogs.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Eligible participants in the national basic medical insurance program in China, which consists of mostly urban residents, are entitled to reimbursement from the social medical insurance fund for up to the entire cost of medicines that are included in the Medical Insurance Catalogs. Refer to “</w:t>
      </w:r>
      <w:r>
        <w:rPr>
          <w:rFonts w:ascii="Arial" w:cs="Arial" w:eastAsia="Arial" w:hAnsi="Arial"/>
          <w:sz w:val="18"/>
          <w:szCs w:val="18"/>
          <w:i w:val="1"/>
          <w:iCs w:val="1"/>
          <w:color w:val="auto"/>
        </w:rPr>
        <w:t>Business —</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Regulation — Regulation in China</w:t>
      </w:r>
      <w:r>
        <w:rPr>
          <w:rFonts w:ascii="Arial" w:cs="Arial" w:eastAsia="Arial" w:hAnsi="Arial"/>
          <w:sz w:val="18"/>
          <w:szCs w:val="18"/>
          <w:color w:val="auto"/>
        </w:rPr>
        <w:t>.” We believe that the inclusion of a drug in the Medical Insurance Catalogs can substantially improve the</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a drug in China. The Ministry of Labor and Social Security in China (“MLSS”) together with other government authorities, select medicines to be included in the Medical Insurance Catalogs based on a variety of factors, including treatment requirements, frequency of use, effectiveness and price. The MLSS also occasionally removes medicines from such catalogs. There can be no assurance that roxadustat will be included, and once included, remain in the Medical Insurance Catalogs. The exclusion or removal of roxadustat from the Medical Insurance Catalogs may materially and adversely affect sales of roxadustat.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the tender processes for the purchase of medicines by state-owned and state-controlled hospitals.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Most hospitals in China participate in collective tender processes for the purchase of medicines listed in the Medical Insurance Catalogs and medicines that are consumed in large volumes and commonly prescribed for clinical uses. During a collective tender process, the hospitals will establish a committee consisting of recognized pharmaceutical experts. The committee will assess the bids submitted by the various participating pharmaceutical manufacturers, taking into consideration, among other things, the quality and price of the drug product and the service and reputation of the manufacturer. Only drug products that have been selected in the collective tender processes may be purchased by participating hospitals. If we are unable to win purchase contracts through the collective tender processes in which we decide to participate, there will be limited demand for roxadustat, and sales revenues from roxadustat will be materially and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FG-5200 can be manufactured successfully and achieve regulatory approval, we may not achieve commercial success.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not yet received a license to manufacture FG-5200 in our Beijing manufacturing facility or at scale, and we will have to show that FG-5200 produced in our China manufacturing facility meets the applicable regulatory requirements. There can be no assurance that we can meet these requirements or that FG-5200 can be approved for development, manufacture and sale in China.</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Even if we are able to manufacture and develop FG-5200 as a medical device in China, the size and length of any potential clinical trials required for approval are uncertain and we are unable to predict the time and investment required to obtain regulatory approval. Moreover, even if FG-5200 can be successfully developed for approval in China, our product candidate would require extensive training and investment in assisting physicians in the use of FG-5200.</w:t>
      </w:r>
    </w:p>
    <w:p>
      <w:pPr>
        <w:spacing w:after="0" w:line="2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6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(“VIE”) structure.</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2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FibroGen Beijing would be subject to restrictions on paying dividends or making other payments to us, which may restrict our ability to satisfy our liquidity requirements.*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plan to conduct all of our business in China through FibroGen China Anemia Holdings, Ltd. and FibroGen Beijing. We may rely on dividends and royalties paid by FibroGen Beijing for a portion of our cash needs, including the funds necessary to service any debt we may incur and to pay our operating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March 31, 2018, approximately $3.8 million of our cash and cash equivalents is held in China.</w:t>
      </w:r>
    </w:p>
    <w:p>
      <w:pPr>
        <w:spacing w:after="0" w:line="2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roxadustat is approved for sale in China, 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of the tax treaties, we could be subject to additional taxes, which could adversely affect our financial condition and results of operations.</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December 22, 2017, the U.S. enacted the Tax Cuts and Jobs Act (“Tax Act”) that instituted fundamental changes to the taxation of multinational corporations. The Tax Act includes changes to the taxation of foreign earnings by implementing a dividend exemption system, expansion of the current anti-deferral rules, a minimum tax on low-taxed foreign earnings and new measures to deter base erosion. The Tax Act also includes a permanent reduction in the corporate tax rate to 21%, repeal of the corporate alternative minimum tax, expensing of capital investment, and limitation of the deduction for interest expense. Furthermore, as part of the transition to the new tax system, a one-time transition tax is imposed on a U.S. shareholder’s historical undistributed earnings of foreign affiliates. Although the Tax Act is generally effective January 1, 2018, GAAP requires recognition of the tax effects of new legislation during the reporting period that includes the enactment date, which was December 22, 2017.</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 impacts of the Tax Act, the SEC provided guidance that allows us to record provisional amounts for those impacts, with the requirement that the accounting be completed in a period not to exceed one year from the date of enactment. As of March 31, 2018, we have not completed the accounting for the tax effects of the Tax Act. Therefore, we have recorded provisional amounts for the effects of the Tax Act. For the three months ended March 31, 2018, no changes have been made to the provisional amounts previously recorded. The primary impact of the Tax Act relates to the re-measurement of deferred tax assets and liabilities resulting from the change in the corporate tax rate (“Corporate Tax Rate Change”). We are evaluating other accounting policies with respect to other provisions of the Tax Act.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laws and regulations governing corruption, which will require us to develop, maintain, and implement costly compliance programs.*</w:t>
      </w:r>
    </w:p>
    <w:p>
      <w:pPr>
        <w:spacing w:after="0" w:line="14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must comply with a wide range of laws and regulations to prevent corruption, bribery, and other unethical business practices, including the FCPA, anti-bribery and anti-corruption laws in other countries, particularly China. The creation and implementation of international business practices compliance programs is costly and such programs are difficult to enforce, particularly where reliance on third parties is required.</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6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 party agents in connection with the prescription of certain pharmaceuticals. If our employees, affiliates, distributors or third 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could have a material adverse effect on us.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China’s economic, political or social conditions or government policies could have a material adverse effect on our business and operations.*</w:t>
      </w:r>
    </w:p>
    <w:p>
      <w:pPr>
        <w:spacing w:after="0" w:line="15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Chinese society and the Chinese economy continue to undergo significant change. Adverse changes in the political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structure of foreign investment in this industry. We are unable to predict the frequency and scope of such policy changes, any of which could materially and adversely affect FibroGen Beijing’s liquidity, access to capital and its ability to conduct business in China. Any failure on our part to comply with changing government regulations and policies could result in the loss of our ability to develop and commercialize our product candidates in China.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As part of a sweeping government restructuring effort, on March 17, 2018, China’s highest legislative body, the National People’s Congress, approved a plan to establish a State Administration for Market Regulation (“SAMR”), which will merge and undertake the responsibilities previously held by the State Administration for Industry and Commerce, the General Administration of Quality Supervision, Inspection and Quarantine, the Certification and Accreditation Administration, the Standardization Administration of China, and the China Food and Drug Administration (“CFDA”), as well as anti-monopoly responsibilities previously held by the National Development and Reform Commission, Ministry of Commerce, and the Anti-Monopoly Office under the State Council. The restructuring also established a new State Drug Administration (the “SDA”) which has taken over much of the functions of the CFDA and will be supervised by the SAMR, while maintaining branches at the provincial level. A major government restructuring such as this one could cause significant delays and cost increases to our development, manufacturing, approval, and commercialization timelines in China. Government leadership and officials may be assigned new roles and responsibilities, and may create new policies and priorities, and existing rules may be interpreted differently. It will take time for the restructuring to be fully implemented and the new structure to operate efficiently. As a result, our existing plans could be delayed or modified due to changes in regulations, policies or personnel decisions, all of which could have a material adverse impact on our operating results and business prospects.</w:t>
      </w:r>
    </w:p>
    <w:p>
      <w:pPr>
        <w:spacing w:after="0" w:line="2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relating to the United Kingdom’s referendum vote in favor of leaving the EU could adversely affect us.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United Kingdom held a referendum on June 23, 2016 in which a majority voted for the United Kingdom’s withdrawal from the EU, commonly referred to as “Brexit”. As a result of this vote, negotiations are expected to commence to determine the terms of the United Kingdom’s withdrawal from the EU as well as its relationship with the EU going forward, including the terms of trade between the United Kingdom and the EU. The effects of the United Kingdom’s withdrawal from the EU, and the perceptions as to its impact, are expected to be far-reaching and may adversely affect business activity and economic conditions in Europe and globally and could continue to contribute to instability in global financial markets, including foreign exchange markets. The United Kingdom’s withdrawal from the EU could also have the effect of disrupting the free movement of goods, services and people between the United Kingdom and the EU and could also lead to legal uncertainty and potentially divergent national laws and regulations as the United Kingdom determines which EU laws to replace or replicate, including laws that could impact our ability, or our collaborator’s ability in the case of roxadustat, to obtain approval of our products or sell our products in the United Kingdom. However, the full effects of such withdrawal are uncertain and will depend on any agreements the United Kingdom may make to retain access to EU markets. Lastly, as a result of the United Kingdom’s withdrawal from the EU, other European countries may seek to conduct referenda with respect to their continuing membership with the EU. Given these possibilities and others we may not anticipate, as well as the lack of comparable precedent, the full extent to which our business, results of operations and financial condition could be adversely affected by the United Kingdom’s withdrawal from the EU is uncertain.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our company.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personnel, in particular our chief executive officer, we may be unable to successfully develop our product candidates, conduct our clinical trials and commercialize our product candidates.*</w:t>
      </w:r>
    </w:p>
    <w:p>
      <w:pPr>
        <w:spacing w:after="0" w:line="62"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are highly dependent on our chief executive officer, Thomas B. Neff, and other members of our senior management team. The loss of the services of Mr. Neff or any of these other individuals would be expected to significantly negatively impact the development and commercialization of our product candidates, our existing collaborative relationships and our ability to successfully implement our business strategy.</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7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64"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termination of further development of unapproved product candidates or significantly reduced demand for any approved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 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June 2017,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depend on sophisticated information technology systems to operate our business and a cyber-attack or other breach of these systems could have a material adverse effect on our business.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have recently upgraded our disaster data recovery program,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w:t>
      </w:r>
    </w:p>
    <w:p>
      <w:pPr>
        <w:spacing w:after="0" w:line="2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Our headquarters and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7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and some of the third party service providers on which we depend for various support functions, such as data storage,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highly volatile, and you may not be able to resell your shares at or above your purchase price.</w:t>
      </w:r>
    </w:p>
    <w:p>
      <w:pPr>
        <w:spacing w:after="0" w:line="1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3" w:lineRule="exact"/>
        <w:rPr>
          <w:sz w:val="20"/>
          <w:szCs w:val="20"/>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right="10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7" w:lineRule="exact"/>
        <w:rPr>
          <w:rFonts w:ascii="Arial" w:cs="Arial" w:eastAsia="Arial" w:hAnsi="Arial"/>
          <w:sz w:val="18"/>
          <w:szCs w:val="18"/>
          <w:color w:val="auto"/>
        </w:rPr>
      </w:pPr>
    </w:p>
    <w:p>
      <w:pPr>
        <w:ind w:left="1040" w:right="82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publication of research reports by securities analysts about us or our competitors or our industry or negative recommendations or withdrawal of research coverage by securities analysts;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ineffectiveness of our internal controls;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announced strategic decisions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fluctuations in the valuation of the biotechnology industry and particular companies perceived by investors to be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natural disasters such as earthquakes and other calamities;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have broad discretion in the use of the net proceeds from our underwritten public offerings of common stock completed on April 11, 2017 (the “April 2017 Offering”) and completed on August 24, 2017 (the “August 2017 Offering”) and may not use them effectively.</w:t>
      </w:r>
    </w:p>
    <w:p>
      <w:pPr>
        <w:spacing w:after="0" w:line="3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net proceeds from the April 2017 Offering is intended to be used to fund the expansion of product development in China, including developing roxadustat in additional indications beyond CKD, manufacturing and commercialization activities, as well as for general corporate purposes. The net proceeds from the August 2017 Offering is intended to be used to fund the expansion of product development, including our development of pamrevlumab beyond current Phase 2 programs, manufacturing and commercialization activities, as well as for general corporate purposes. These general corporate purposes, may include, among other things, funding research and development, clinical trials, vendor payables, potential regulatory submissions, hiring additional personnel and capital expenditures. However, we have no current commitments or obligations to use the net proceeds in the manner described above. Our management has broad discretion in the application of the balance of the net proceeds from the April 2017 Offering and the August 2017 Offering, and could spend the proceeds in ways our stockholders may not agree with or that fails to improve our business or enhance the value of our common stock. The failure by our management to use these funds effectively could result in financial losses that could harm our business, cause the price of our common stock to decline and delay the development of our product candidates.</w:t>
      </w:r>
    </w:p>
    <w:p>
      <w:pPr>
        <w:spacing w:after="0" w:line="28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our company or fail to regularly publish reports on us, we could lose visibility in the financial markets, which in turn could cause our stock price or trading volume to decline.</w:t>
      </w:r>
    </w:p>
    <w:p>
      <w:pPr>
        <w:spacing w:after="0" w:line="2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As of April 30, 2018, our executive officers, directors and principal stockholders, together with their respective affiliates, owned approximately 35.39%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April 30, 2018.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30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Additional remedial measures that may be imposed in the proceedings instituted by the SEC against five China based accounting firms, including the Chinese affiliate of our independent registered public accounting firm, could result in our consolidated financial statements being determined to not be in compliance with the requirements of the Exchange Act.</w:t>
      </w:r>
    </w:p>
    <w:p>
      <w:pPr>
        <w:spacing w:after="0" w:line="7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of 2002 against the Chinese affiliates of the “big four” accounting firms, including PricewaterhouseCoopers Zhong Tian CPAs Limited, the Chinese affiliate of our independent registered public accounting firm. The Rule 102(e) proceedings initiated by the SEC relate to these firms’ failure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Chinese law and specific directives issued by the China Securities Regulatory Commission (“CSRC”). The issues raised by the proceedings are not specific to our auditors or to us.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January 2014, an administrative law judge reached an initial decision that the Chinese affiliates of the “big four” accounting firms should be barred from practicing before the SEC for a period of six months. In February 2015, the Chinese affiliates of the “big four”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If future document productions fail to meet specified criteria, the SEC retains authority to impose a variety of additional remedial measures on the firms depending on the nature of the failure.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cannot predict if the SEC will further review the four firms’ compliance with specified criteria or if such further review would result in the SEC imposing additional penalties such as suspensions or commencing any further administrative proceedings. Although it does not play a substantial role (as defined under PCAOB standards) in the audit of our consolidated financial statements, if PricewaterhouseCoopers Zhong Tian CPAs Limited were denied, temporarily, the ability to practice before the SEC, our ability to produce audited consolidated financial statements for our company could be affected and we could be determined not to be in compliance with the requirements of the Exchange Act. Such a determination could ultimately lead to the delisting of our shares from the NASDAQ Global Select Market or deregistration from the SEC, or both, which would substantially reduce or effectively terminate the trading of our stock.</w:t>
      </w:r>
    </w:p>
    <w:p>
      <w:pPr>
        <w:spacing w:after="0" w:line="2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our company. In connection with these acquisitions or investments, we may:</w:t>
      </w:r>
    </w:p>
    <w:p>
      <w:pPr>
        <w:spacing w:after="0" w:line="73" w:lineRule="exact"/>
        <w:rPr>
          <w:sz w:val="20"/>
          <w:szCs w:val="20"/>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3" w:lineRule="exact"/>
        <w:rPr>
          <w:sz w:val="20"/>
          <w:szCs w:val="20"/>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reprioritization of our development programs and even cessation of development and commercialization of our current product candidates;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34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5" w:lineRule="exact"/>
        <w:rPr>
          <w:sz w:val="20"/>
          <w:szCs w:val="20"/>
          <w:color w:val="auto"/>
        </w:rPr>
      </w:pPr>
    </w:p>
    <w:p>
      <w:pPr>
        <w:ind w:left="104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right="14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8"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are also subject to non-income taxes, such as payroll, sales, use, value-added, net worth, property, gross receipts, and goods and services taxes in the U.S., state and local, or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1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December 22, 2017, the U.S. enacted the Tax Act that instituted fundamental changes to the taxation of multinational corporations. The Tax Act includes changes to the taxation of foreign earnings by implementing a dividend exemption system, expansion of the current anti-deferral rules, a minimum tax on low-taxed foreign earnings and new measures to deter base erosion. The Tax Act also includes a permanent reduction in the corporate tax rate to 21%, repeal of the corporate alternative minimum tax, expensing of capital investment, and limitation of the deduction for interest expense. Furthermore, as part of the transition to the new tax system, a one-time transition tax is imposed on a U.S. shareholder’s historical undistributed earnings of foreign affiliates. Although the Tax Act is generally effective January 1, 2018, GAAP requires recognition of the tax effects of new legislation during the reporting period that includes the enactment date, which was December 22, 2017.</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 impacts of the Tax Act, the SEC provided guidance that allows us to record provisional amounts for those impacts, with the requirement that the accounting be completed in a period not to exceed one year from the date of enactment. As of March 31, 2018, we have not completed the accounting for the tax effects of the Tax Act. Therefore, we have recorded provisional amounts for the effects of the Tax Act. For the three months ended March 31, 2018, no changes have been made to the provisional amounts previously recorded. The primary impact of the Tax Act relates to the re-measurement of deferred tax assets and liabilities resulting from the Corporate Tax Rate Change. We are evaluating other accounting policies with respect to other provisions of the Tax Act.</w:t>
      </w:r>
    </w:p>
    <w:p>
      <w:pPr>
        <w:spacing w:after="0" w:line="30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1"/>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20" w:type="dxa"/>
            <w:vAlign w:val="bottom"/>
            <w:gridSpan w:val="19"/>
          </w:tcPr>
          <w:p>
            <w:pPr>
              <w:ind w:left="600"/>
              <w:spacing w:after="0"/>
              <w:rPr>
                <w:sz w:val="20"/>
                <w:szCs w:val="20"/>
                <w:color w:val="auto"/>
              </w:rPr>
            </w:pPr>
            <w:r>
              <w:rPr>
                <w:rFonts w:ascii="Arial" w:cs="Arial" w:eastAsia="Arial" w:hAnsi="Arial"/>
                <w:sz w:val="14"/>
                <w:szCs w:val="14"/>
                <w:b w:val="1"/>
                <w:bCs w:val="1"/>
                <w:color w:val="auto"/>
              </w:rPr>
              <w:t>Exhibit Description</w:t>
            </w:r>
          </w:p>
        </w:tc>
      </w:tr>
      <w:tr>
        <w:trPr>
          <w:trHeight w:val="318"/>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220" w:type="dxa"/>
            <w:vAlign w:val="bottom"/>
            <w:tcBorders>
              <w:top w:val="single" w:sz="8" w:color="auto"/>
            </w:tcBorders>
            <w:gridSpan w:val="22"/>
          </w:tcPr>
          <w:p>
            <w:pPr>
              <w:spacing w:after="0"/>
              <w:rPr>
                <w:rFonts w:ascii="Arial" w:cs="Arial" w:eastAsia="Arial" w:hAnsi="Arial"/>
                <w:sz w:val="18"/>
                <w:szCs w:val="18"/>
                <w:color w:val="0000EE"/>
                <w:w w:val="95"/>
              </w:rPr>
            </w:pPr>
            <w:hyperlink r:id="rId108">
              <w:r>
                <w:rPr>
                  <w:rFonts w:ascii="Arial" w:cs="Arial" w:eastAsia="Arial" w:hAnsi="Arial"/>
                  <w:sz w:val="18"/>
                  <w:szCs w:val="18"/>
                  <w:color w:val="0000EE"/>
                  <w:w w:val="95"/>
                </w:rPr>
                <w:t>Amended and Restated Certificate of Incorporation of FibroGen, Inc.</w:t>
              </w:r>
            </w:hyperlink>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35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Amended and Restated Bylaws of FibroGen, Inc.</w:t>
              </w:r>
            </w:hyperlink>
          </w:p>
        </w:tc>
        <w:tc>
          <w:tcPr>
            <w:tcW w:w="1420" w:type="dxa"/>
            <w:vAlign w:val="bottom"/>
            <w:tcBorders>
              <w:top w:val="single" w:sz="8" w:color="0000EE"/>
            </w:tcBorders>
            <w:gridSpan w:val="7"/>
          </w:tcPr>
          <w:p>
            <w:pPr>
              <w:spacing w:after="0"/>
              <w:rPr>
                <w:sz w:val="24"/>
                <w:szCs w:val="24"/>
                <w:color w:val="auto"/>
              </w:rPr>
            </w:pPr>
          </w:p>
        </w:tc>
        <w:tc>
          <w:tcPr>
            <w:tcW w:w="240" w:type="dxa"/>
            <w:vAlign w:val="bottom"/>
            <w:gridSpan w:val="6"/>
          </w:tcPr>
          <w:p>
            <w:pPr>
              <w:spacing w:after="0"/>
              <w:rPr>
                <w:sz w:val="24"/>
                <w:szCs w:val="24"/>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5220" w:type="dxa"/>
            <w:vAlign w:val="bottom"/>
            <w:gridSpan w:val="22"/>
          </w:tcPr>
          <w:p>
            <w:pPr>
              <w:spacing w:after="0"/>
              <w:rPr>
                <w:rFonts w:ascii="Arial" w:cs="Arial" w:eastAsia="Arial" w:hAnsi="Arial"/>
                <w:sz w:val="18"/>
                <w:szCs w:val="18"/>
                <w:color w:val="0000EE"/>
              </w:rPr>
            </w:pPr>
            <w:hyperlink r:id="rId110">
              <w:r>
                <w:rPr>
                  <w:rFonts w:ascii="Arial" w:cs="Arial" w:eastAsia="Arial" w:hAnsi="Arial"/>
                  <w:sz w:val="18"/>
                  <w:szCs w:val="18"/>
                  <w:color w:val="0000EE"/>
                </w:rPr>
                <w:t>Form of Common Stock Certificate.</w:t>
              </w:r>
            </w:hyperlink>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5220" w:type="dxa"/>
            <w:vAlign w:val="bottom"/>
            <w:gridSpan w:val="22"/>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Investor Rights Agreement by and among FibroGen, Inc. and certain of</w:t>
              </w:r>
            </w:hyperlink>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its stockholders, dated as of December 1995.</w:t>
              </w:r>
            </w:hyperlink>
          </w:p>
        </w:tc>
        <w:tc>
          <w:tcPr>
            <w:tcW w:w="80" w:type="dxa"/>
            <w:vAlign w:val="bottom"/>
            <w:gridSpan w:val="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5220" w:type="dxa"/>
            <w:vAlign w:val="bottom"/>
            <w:gridSpan w:val="22"/>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Investor Rights Agreement by and among FibroGen, Inc. and certain of</w:t>
              </w:r>
            </w:hyperlink>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its warrant holders, dated as of February 8, 2000.</w:t>
              </w:r>
            </w:hyperlink>
          </w:p>
        </w:tc>
        <w:tc>
          <w:tcPr>
            <w:tcW w:w="1600" w:type="dxa"/>
            <w:vAlign w:val="bottom"/>
            <w:tcBorders>
              <w:top w:val="single" w:sz="8" w:color="0000EE"/>
            </w:tcBorders>
            <w:gridSpan w:val="12"/>
          </w:tcPr>
          <w:p>
            <w:pPr>
              <w:spacing w:after="0"/>
              <w:rPr>
                <w:sz w:val="17"/>
                <w:szCs w:val="17"/>
                <w:color w:val="auto"/>
              </w:rPr>
            </w:pPr>
          </w:p>
        </w:tc>
        <w:tc>
          <w:tcPr>
            <w:tcW w:w="80" w:type="dxa"/>
            <w:vAlign w:val="bottom"/>
            <w:gridSpan w:val="2"/>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5180" w:type="dxa"/>
            <w:vAlign w:val="bottom"/>
            <w:tcBorders>
              <w:bottom w:val="single" w:sz="8" w:color="0000EE"/>
            </w:tcBorders>
            <w:gridSpan w:val="21"/>
          </w:tcPr>
          <w:p>
            <w:pPr>
              <w:spacing w:after="0"/>
              <w:rPr>
                <w:rFonts w:ascii="Arial" w:cs="Arial" w:eastAsia="Arial" w:hAnsi="Arial"/>
                <w:sz w:val="18"/>
                <w:szCs w:val="18"/>
                <w:color w:val="0000EE"/>
                <w:w w:val="89"/>
              </w:rPr>
            </w:pPr>
            <w:hyperlink r:id="rId113">
              <w:r>
                <w:rPr>
                  <w:rFonts w:ascii="Arial" w:cs="Arial" w:eastAsia="Arial" w:hAnsi="Arial"/>
                  <w:sz w:val="18"/>
                  <w:szCs w:val="18"/>
                  <w:color w:val="0000EE"/>
                  <w:w w:val="89"/>
                </w:rPr>
                <w:t>Warrant to Purchase 11,076 Shares of Common Stock issued to Bristow</w:t>
              </w:r>
            </w:hyperlink>
          </w:p>
        </w:tc>
        <w:tc>
          <w:tcPr>
            <w:tcW w:w="4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2"/>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Investments, L.P, dated as of February 8, 2000.</w:t>
              </w:r>
            </w:hyperlink>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4940" w:type="dxa"/>
            <w:vAlign w:val="bottom"/>
            <w:tcBorders>
              <w:bottom w:val="single" w:sz="8" w:color="0000EE"/>
            </w:tcBorders>
            <w:gridSpan w:val="15"/>
          </w:tcPr>
          <w:p>
            <w:pPr>
              <w:spacing w:after="0"/>
              <w:rPr>
                <w:rFonts w:ascii="Arial" w:cs="Arial" w:eastAsia="Arial" w:hAnsi="Arial"/>
                <w:sz w:val="18"/>
                <w:szCs w:val="18"/>
                <w:color w:val="0000EE"/>
                <w:w w:val="89"/>
              </w:rPr>
            </w:pPr>
            <w:hyperlink r:id="rId114">
              <w:r>
                <w:rPr>
                  <w:rFonts w:ascii="Arial" w:cs="Arial" w:eastAsia="Arial" w:hAnsi="Arial"/>
                  <w:sz w:val="18"/>
                  <w:szCs w:val="18"/>
                  <w:color w:val="0000EE"/>
                  <w:w w:val="89"/>
                </w:rPr>
                <w:t>Common Stock Purchase Agreement by and between FibroGen, Inc.</w:t>
              </w:r>
            </w:hyperlink>
          </w:p>
        </w:tc>
        <w:tc>
          <w:tcPr>
            <w:tcW w:w="28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2"/>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and AstraZeneca AB, dated as of October 20, 2014.</w:t>
              </w:r>
            </w:hyperlink>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5220" w:type="dxa"/>
            <w:vAlign w:val="bottom"/>
            <w:gridSpan w:val="22"/>
          </w:tcPr>
          <w:p>
            <w:pPr>
              <w:spacing w:after="0"/>
              <w:rPr>
                <w:rFonts w:ascii="Arial" w:cs="Arial" w:eastAsia="Arial" w:hAnsi="Arial"/>
                <w:sz w:val="18"/>
                <w:szCs w:val="18"/>
                <w:color w:val="0000EE"/>
              </w:rPr>
            </w:pPr>
            <w:hyperlink r:id="rId115">
              <w:r>
                <w:rPr>
                  <w:rFonts w:ascii="Arial" w:cs="Arial" w:eastAsia="Arial" w:hAnsi="Arial"/>
                  <w:sz w:val="18"/>
                  <w:szCs w:val="18"/>
                  <w:color w:val="0000EE"/>
                </w:rPr>
                <w:t>Shareholders’ Agreement by and among FibroGen International</w:t>
              </w:r>
            </w:hyperlink>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Borders>
              <w:top w:val="single" w:sz="8" w:color="0000EE"/>
            </w:tcBorders>
            <w:gridSpan w:val="12"/>
          </w:tcPr>
          <w:p>
            <w:pPr>
              <w:spacing w:after="0" w:line="196" w:lineRule="exact"/>
              <w:rPr>
                <w:rFonts w:ascii="Arial" w:cs="Arial" w:eastAsia="Arial" w:hAnsi="Arial"/>
                <w:sz w:val="18"/>
                <w:szCs w:val="18"/>
                <w:color w:val="0000EE"/>
                <w:w w:val="93"/>
              </w:rPr>
            </w:pPr>
            <w:hyperlink r:id="rId115">
              <w:r>
                <w:rPr>
                  <w:rFonts w:ascii="Arial" w:cs="Arial" w:eastAsia="Arial" w:hAnsi="Arial"/>
                  <w:sz w:val="18"/>
                  <w:szCs w:val="18"/>
                  <w:color w:val="0000EE"/>
                  <w:w w:val="93"/>
                </w:rPr>
                <w:t>(Cayman) Limited and certain of its shareholders, dated as of</w:t>
              </w:r>
            </w:hyperlink>
          </w:p>
        </w:tc>
        <w:tc>
          <w:tcPr>
            <w:tcW w:w="62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115">
              <w:r>
                <w:rPr>
                  <w:rFonts w:ascii="Arial" w:cs="Arial" w:eastAsia="Arial" w:hAnsi="Arial"/>
                  <w:sz w:val="18"/>
                  <w:szCs w:val="18"/>
                  <w:color w:val="0000EE"/>
                  <w:w w:val="87"/>
                </w:rPr>
                <w:t>September 8, 2017.</w:t>
              </w:r>
            </w:hyperlink>
          </w:p>
        </w:tc>
        <w:tc>
          <w:tcPr>
            <w:tcW w:w="3000" w:type="dxa"/>
            <w:vAlign w:val="bottom"/>
            <w:tcBorders>
              <w:top w:val="single" w:sz="8" w:color="0000EE"/>
            </w:tcBorders>
            <w:gridSpan w:val="8"/>
          </w:tcPr>
          <w:p>
            <w:pPr>
              <w:spacing w:after="0"/>
              <w:rPr>
                <w:sz w:val="17"/>
                <w:szCs w:val="17"/>
                <w:color w:val="auto"/>
              </w:rPr>
            </w:pPr>
          </w:p>
        </w:tc>
        <w:tc>
          <w:tcPr>
            <w:tcW w:w="820" w:type="dxa"/>
            <w:vAlign w:val="bottom"/>
            <w:gridSpan w:val="11"/>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2380" w:type="dxa"/>
            <w:vAlign w:val="bottom"/>
            <w:tcBorders>
              <w:bottom w:val="single" w:sz="8" w:color="0000EE"/>
            </w:tcBorders>
            <w:gridSpan w:val="4"/>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FibroGen, Inc. 2018 Bonus Plan.</w:t>
              </w:r>
            </w:hyperlink>
          </w:p>
        </w:tc>
        <w:tc>
          <w:tcPr>
            <w:tcW w:w="2840" w:type="dxa"/>
            <w:vAlign w:val="bottom"/>
            <w:gridSpan w:val="18"/>
          </w:tcPr>
          <w:p>
            <w:pPr>
              <w:spacing w:after="0"/>
              <w:rPr>
                <w:sz w:val="24"/>
                <w:szCs w:val="24"/>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220" w:type="dxa"/>
            <w:vAlign w:val="bottom"/>
            <w:gridSpan w:val="22"/>
          </w:tcPr>
          <w:p>
            <w:pPr>
              <w:spacing w:after="0"/>
              <w:rPr>
                <w:rFonts w:ascii="Arial" w:cs="Arial" w:eastAsia="Arial" w:hAnsi="Arial"/>
                <w:sz w:val="18"/>
                <w:szCs w:val="18"/>
                <w:color w:val="0000EE"/>
                <w:w w:val="94"/>
              </w:rPr>
            </w:pPr>
            <w:hyperlink w:anchor="page83">
              <w:r>
                <w:rPr>
                  <w:rFonts w:ascii="Arial" w:cs="Arial" w:eastAsia="Arial" w:hAnsi="Arial"/>
                  <w:sz w:val="18"/>
                  <w:szCs w:val="18"/>
                  <w:color w:val="0000EE"/>
                  <w:w w:val="94"/>
                </w:rPr>
                <w:t>Certification of Chief Executive Officer, as required by Rule 13a-14(a)</w:t>
              </w:r>
            </w:hyperlink>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or Rule 15d-14(a).</w:t>
              </w:r>
            </w:hyperlink>
          </w:p>
        </w:tc>
        <w:tc>
          <w:tcPr>
            <w:tcW w:w="3760" w:type="dxa"/>
            <w:vAlign w:val="bottom"/>
            <w:tcBorders>
              <w:top w:val="single" w:sz="8" w:color="0000EE"/>
            </w:tcBorders>
            <w:gridSpan w:val="17"/>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06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84">
              <w:r>
                <w:rPr>
                  <w:rFonts w:ascii="Arial" w:cs="Arial" w:eastAsia="Arial" w:hAnsi="Arial"/>
                  <w:sz w:val="18"/>
                  <w:szCs w:val="18"/>
                  <w:color w:val="0000EE"/>
                  <w:w w:val="92"/>
                </w:rPr>
                <w:t>Certification of Chief Financial Officer, as required by Rule 13a-14(a)</w:t>
              </w:r>
            </w:hyperlink>
          </w:p>
        </w:tc>
        <w:tc>
          <w:tcPr>
            <w:tcW w:w="16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or Rule 15d-14(a).</w:t>
              </w:r>
            </w:hyperlink>
          </w:p>
        </w:tc>
        <w:tc>
          <w:tcPr>
            <w:tcW w:w="3880" w:type="dxa"/>
            <w:vAlign w:val="bottom"/>
            <w:gridSpan w:val="20"/>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220" w:type="dxa"/>
            <w:vAlign w:val="bottom"/>
            <w:gridSpan w:val="22"/>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Certification of Principal Executive Officer and Principal Financial</w:t>
              </w:r>
            </w:hyperlink>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20" w:type="dxa"/>
            <w:vAlign w:val="bottom"/>
            <w:gridSpan w:val="1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Officer, as required by Rule 13a-14(b) or Rule 15d-14(b) and Section</w:t>
              </w:r>
            </w:hyperlink>
          </w:p>
        </w:tc>
        <w:tc>
          <w:tcPr>
            <w:tcW w:w="22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2"/>
          </w:tcPr>
          <w:p>
            <w:pPr>
              <w:spacing w:after="0" w:line="196" w:lineRule="exact"/>
              <w:rPr>
                <w:rFonts w:ascii="Arial" w:cs="Arial" w:eastAsia="Arial" w:hAnsi="Arial"/>
                <w:sz w:val="18"/>
                <w:szCs w:val="18"/>
                <w:color w:val="0000EE"/>
                <w:w w:val="96"/>
              </w:rPr>
            </w:pPr>
            <w:hyperlink w:anchor="page85">
              <w:r>
                <w:rPr>
                  <w:rFonts w:ascii="Arial" w:cs="Arial" w:eastAsia="Arial" w:hAnsi="Arial"/>
                  <w:sz w:val="18"/>
                  <w:szCs w:val="18"/>
                  <w:color w:val="0000EE"/>
                  <w:w w:val="96"/>
                </w:rPr>
                <w:t>1350 of Chapter 63 of Title 18 of the United States Code (18 U.S.C.</w:t>
              </w:r>
            </w:hyperlink>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§1350)(1)).</w:t>
              </w:r>
            </w:hyperlink>
          </w:p>
        </w:tc>
        <w:tc>
          <w:tcPr>
            <w:tcW w:w="5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1"/>
        </w:trPr>
        <w:tc>
          <w:tcPr>
            <w:tcW w:w="136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220" w:type="dxa"/>
            <w:vAlign w:val="bottom"/>
            <w:gridSpan w:val="22"/>
          </w:tcPr>
          <w:p>
            <w:pPr>
              <w:spacing w:after="0"/>
              <w:rPr>
                <w:sz w:val="20"/>
                <w:szCs w:val="20"/>
                <w:color w:val="auto"/>
              </w:rPr>
            </w:pPr>
            <w:r>
              <w:rPr>
                <w:rFonts w:ascii="Arial" w:cs="Arial" w:eastAsia="Arial" w:hAnsi="Arial"/>
                <w:sz w:val="18"/>
                <w:szCs w:val="18"/>
                <w:color w:val="auto"/>
                <w:w w:val="98"/>
              </w:rPr>
              <w:t>Financial statements from the quarterly report on Form 10-Q of the</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gridSpan w:val="22"/>
          </w:tcPr>
          <w:p>
            <w:pPr>
              <w:spacing w:after="0"/>
              <w:rPr>
                <w:sz w:val="20"/>
                <w:szCs w:val="20"/>
                <w:color w:val="auto"/>
              </w:rPr>
            </w:pPr>
            <w:r>
              <w:rPr>
                <w:rFonts w:ascii="Arial" w:cs="Arial" w:eastAsia="Arial" w:hAnsi="Arial"/>
                <w:sz w:val="18"/>
                <w:szCs w:val="18"/>
                <w:color w:val="auto"/>
                <w:w w:val="95"/>
              </w:rPr>
              <w:t>Company for the quarter ended March 31, 2018, formatted in XBRL:</w:t>
            </w:r>
          </w:p>
        </w:tc>
      </w:tr>
    </w:tbl>
    <w:p>
      <w:pPr>
        <w:ind w:left="1480" w:right="300"/>
        <w:spacing w:after="0" w:line="271" w:lineRule="auto"/>
        <w:tabs>
          <w:tab w:leader="none" w:pos="1695"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Condensed Consolidated Balance Sheets, (ii) the Condensed Consolidated Statements of Operations (iii) the Condensed Consolidated Statement of Comprehensive Loss, (iv) the Condensed Consolidated Statements of Cash Flows and (v) the Notes to the Condensed Consolidated Financial Statements.</w:t>
      </w:r>
    </w:p>
    <w:p>
      <w:pPr>
        <w:spacing w:after="0" w:line="15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6858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0"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7"/>
              </w:rPr>
              <w:t>Form</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SEC File No.</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b w:val="1"/>
                <w:bCs w:val="1"/>
                <w:color w:val="auto"/>
              </w:rPr>
              <w:t>Exhibit</w:t>
            </w: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Filing Date</w:t>
            </w:r>
          </w:p>
        </w:tc>
      </w:tr>
      <w:tr>
        <w:trPr>
          <w:trHeight w:val="358"/>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11/21/2014</w:t>
            </w:r>
          </w:p>
        </w:tc>
      </w:tr>
      <w:tr>
        <w:trPr>
          <w:trHeight w:val="365"/>
        </w:trPr>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10/23/2014</w:t>
            </w:r>
          </w:p>
        </w:tc>
      </w:tr>
      <w:tr>
        <w:trPr>
          <w:trHeight w:val="365"/>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11/21/2014</w:t>
            </w:r>
          </w:p>
        </w:tc>
      </w:tr>
      <w:tr>
        <w:trPr>
          <w:trHeight w:val="365"/>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81"/>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81"/>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81"/>
        </w:trPr>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10/24/2014</w:t>
            </w:r>
          </w:p>
        </w:tc>
      </w:tr>
      <w:tr>
        <w:trPr>
          <w:trHeight w:val="581"/>
        </w:trPr>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11/8/2017</w:t>
            </w:r>
          </w:p>
        </w:tc>
      </w:tr>
      <w:tr>
        <w:trPr>
          <w:trHeight w:val="797"/>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2/16/2018</w:t>
            </w:r>
          </w:p>
        </w:tc>
      </w:tr>
      <w:tr>
        <w:trPr>
          <w:trHeight w:val="365"/>
        </w:trPr>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81"/>
        </w:trPr>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81"/>
        </w:trPr>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013"/>
        </w:trPr>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2">
            <w:col w:w="6700" w:space="120"/>
            <w:col w:w="460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FibroGen, Inc.</w:t>
            </w:r>
          </w:p>
        </w:tc>
      </w:tr>
      <w:tr>
        <w:trPr>
          <w:trHeight w:val="20"/>
        </w:trPr>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80"/>
        </w:trPr>
        <w:tc>
          <w:tcPr>
            <w:tcW w:w="3560" w:type="dxa"/>
            <w:vAlign w:val="bottom"/>
          </w:tcPr>
          <w:p>
            <w:pPr>
              <w:spacing w:after="0"/>
              <w:rPr>
                <w:sz w:val="20"/>
                <w:szCs w:val="20"/>
                <w:color w:val="auto"/>
              </w:rPr>
            </w:pPr>
            <w:r>
              <w:rPr>
                <w:rFonts w:ascii="Arial" w:cs="Arial" w:eastAsia="Arial" w:hAnsi="Arial"/>
                <w:sz w:val="18"/>
                <w:szCs w:val="18"/>
                <w:color w:val="auto"/>
              </w:rPr>
              <w:t>Dated: May 9, 2018</w:t>
            </w:r>
          </w:p>
        </w:tc>
        <w:tc>
          <w:tcPr>
            <w:tcW w:w="240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By: /s/ Thomas B. Neff</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Thomas B. Neff</w:t>
            </w:r>
          </w:p>
        </w:tc>
      </w:t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Dated: May 9, 2018</w:t>
            </w:r>
          </w:p>
        </w:tc>
        <w:tc>
          <w:tcPr>
            <w:tcW w:w="240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By: /s/ Pat Cotroneo</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30"/>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64"/>
        </w:trPr>
        <w:tc>
          <w:tcPr>
            <w:tcW w:w="3560" w:type="dxa"/>
            <w:vAlign w:val="bottom"/>
          </w:tcPr>
          <w:p>
            <w:pPr>
              <w:spacing w:after="0"/>
              <w:rPr>
                <w:sz w:val="24"/>
                <w:szCs w:val="24"/>
                <w:color w:val="auto"/>
              </w:rPr>
            </w:pPr>
          </w:p>
        </w:tc>
        <w:tc>
          <w:tcPr>
            <w:tcW w:w="2400" w:type="dxa"/>
            <w:vAlign w:val="bottom"/>
          </w:tcPr>
          <w:p>
            <w:pPr>
              <w:jc w:val="right"/>
              <w:ind w:right="70"/>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B. Neff, certify that;</w:t>
      </w:r>
    </w:p>
    <w:p>
      <w:pPr>
        <w:spacing w:after="0" w:line="117"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60" w:firstLine="526"/>
        <w:spacing w:after="0" w:line="342" w:lineRule="auto"/>
        <w:tabs>
          <w:tab w:leader="none" w:pos="763"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526"/>
        <w:spacing w:after="0" w:line="264" w:lineRule="auto"/>
        <w:tabs>
          <w:tab w:leader="none" w:pos="773"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00" w:firstLine="526"/>
        <w:spacing w:after="0" w:line="277" w:lineRule="auto"/>
        <w:tabs>
          <w:tab w:leader="none" w:pos="773"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9,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Neff</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Thomas B. Neff</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 Cotroneo, certify that;</w:t>
      </w:r>
    </w:p>
    <w:p>
      <w:pPr>
        <w:spacing w:after="0" w:line="117"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60" w:firstLine="526"/>
        <w:spacing w:after="0" w:line="342" w:lineRule="auto"/>
        <w:tabs>
          <w:tab w:leader="none" w:pos="763"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526"/>
        <w:spacing w:after="0" w:line="264" w:lineRule="auto"/>
        <w:tabs>
          <w:tab w:leader="none" w:pos="77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00" w:firstLine="526"/>
        <w:spacing w:after="0" w:line="277" w:lineRule="auto"/>
        <w:tabs>
          <w:tab w:leader="none" w:pos="77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9,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Cotroneo</w:t>
            </w:r>
          </w:p>
        </w:tc>
      </w:tr>
      <w:tr>
        <w:trPr>
          <w:trHeight w:val="193"/>
        </w:trPr>
        <w:tc>
          <w:tcPr>
            <w:tcW w:w="6860" w:type="dxa"/>
            <w:vAlign w:val="bottom"/>
          </w:tcPr>
          <w:p>
            <w:pPr>
              <w:spacing w:after="0"/>
              <w:rPr>
                <w:sz w:val="16"/>
                <w:szCs w:val="16"/>
                <w:color w:val="auto"/>
              </w:rPr>
            </w:pPr>
          </w:p>
        </w:tc>
        <w:tc>
          <w:tcPr>
            <w:tcW w:w="4560" w:type="dxa"/>
            <w:vAlign w:val="bottom"/>
          </w:tcPr>
          <w:p>
            <w:pPr>
              <w:spacing w:after="0" w:line="193" w:lineRule="exact"/>
              <w:rPr>
                <w:sz w:val="20"/>
                <w:szCs w:val="20"/>
                <w:color w:val="auto"/>
              </w:rPr>
            </w:pPr>
            <w:r>
              <w:rPr>
                <w:rFonts w:ascii="Arial" w:cs="Arial" w:eastAsia="Arial" w:hAnsi="Arial"/>
                <w:sz w:val="18"/>
                <w:szCs w:val="18"/>
                <w:color w:val="auto"/>
              </w:rPr>
              <w:t>Pat Cotroneo</w:t>
            </w:r>
          </w:p>
        </w:tc>
      </w:tr>
      <w:tr>
        <w:trPr>
          <w:trHeight w:val="232"/>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20"/>
                <w:szCs w:val="20"/>
                <w:color w:val="auto"/>
                <w:w w:val="96"/>
              </w:rPr>
              <w:t xml:space="preserve">Senior </w:t>
            </w:r>
            <w:r>
              <w:rPr>
                <w:rFonts w:ascii="Arial" w:cs="Arial" w:eastAsia="Arial" w:hAnsi="Arial"/>
                <w:sz w:val="18"/>
                <w:szCs w:val="18"/>
                <w:color w:val="auto"/>
                <w:w w:val="96"/>
              </w:rPr>
              <w:t>Vice President, Finance and Chief Financial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(“Exchange Act”), and Section 1350 of Chapter 63 of Title 18 of the United States Code (18 U.S.C. §1350), Thomas B. Neff, Chief Executive Officer of FibroGen, Inc. (“the Company”), and Pat Cotroneo, Chief Financial Officer of the Company, each hereby certifies that, to the best of his knowledge:</w:t>
      </w:r>
    </w:p>
    <w:p>
      <w:pPr>
        <w:spacing w:after="0" w:line="181" w:lineRule="exact"/>
        <w:rPr>
          <w:sz w:val="20"/>
          <w:szCs w:val="20"/>
          <w:color w:val="auto"/>
        </w:rPr>
      </w:pPr>
    </w:p>
    <w:p>
      <w:pPr>
        <w:ind w:left="520" w:right="800" w:hanging="512"/>
        <w:spacing w:after="0" w:line="308" w:lineRule="auto"/>
        <w:tabs>
          <w:tab w:leader="none" w:pos="5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March 31, 2018, to which this Certification is attached as Exhibit 32.1 (“Quarterly Report”) fully complies with the requirements of Section 13(a) or Section 15(d) of the Exchange Act, and</w:t>
      </w:r>
    </w:p>
    <w:p>
      <w:pPr>
        <w:spacing w:after="0" w:line="38" w:lineRule="exact"/>
        <w:rPr>
          <w:rFonts w:ascii="Arial" w:cs="Arial" w:eastAsia="Arial" w:hAnsi="Arial"/>
          <w:sz w:val="17"/>
          <w:szCs w:val="17"/>
          <w:color w:val="auto"/>
        </w:rPr>
      </w:pPr>
    </w:p>
    <w:p>
      <w:pPr>
        <w:ind w:left="520" w:right="500" w:hanging="512"/>
        <w:spacing w:after="0" w:line="277"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9</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/s/ Thomas B. Neff</w:t>
            </w:r>
          </w:p>
        </w:tc>
        <w:tc>
          <w:tcPr>
            <w:tcW w:w="5140" w:type="dxa"/>
            <w:vAlign w:val="bottom"/>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B. Neff</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color w:val="auto"/>
              </w:rPr>
              <w:t>Chairman of the Board and Chief Executive Officer</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Finance and</w:t>
            </w: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2"/>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6"/>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decimal"/>
      <w:start w:val="3"/>
    </w:lvl>
  </w:abstractNum>
  <w:abstractNum w:abstractNumId="14">
    <w:nsid w:val="419AC241"/>
    <w:multiLevelType w:val="hybridMultilevel"/>
    <w:lvl w:ilvl="0">
      <w:lvlJc w:val="left"/>
      <w:lvlText w:val="%1."/>
      <w:numFmt w:val="decimal"/>
      <w:start w:val="5"/>
    </w:lvl>
  </w:abstractNum>
  <w:abstractNum w:abstractNumId="15">
    <w:nsid w:val="5577F8E1"/>
    <w:multiLevelType w:val="hybridMultilevel"/>
    <w:lvl w:ilvl="0">
      <w:lvlJc w:val="left"/>
      <w:lvlText w:val="%1."/>
      <w:numFmt w:val="decimal"/>
      <w:start w:val="6"/>
    </w:lvl>
  </w:abstractNum>
  <w:abstractNum w:abstractNumId="16">
    <w:nsid w:val="440BADFC"/>
    <w:multiLevelType w:val="hybridMultilevel"/>
    <w:lvl w:ilvl="0">
      <w:lvlJc w:val="left"/>
      <w:lvlText w:val="%1."/>
      <w:numFmt w:val="decimal"/>
      <w:start w:val="7"/>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lvl w:ilvl="1">
      <w:lvlJc w:val="left"/>
      <w:lvlText w:val="(%2)"/>
      <w:numFmt w:val="lowerRoman"/>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08" Type="http://schemas.openxmlformats.org/officeDocument/2006/relationships/hyperlink" Target="http://www.sec.gov/Archives/edgar/data/921299/000119312514420380/d824859dex31.htm" TargetMode="External"/><Relationship Id="rId109" Type="http://schemas.openxmlformats.org/officeDocument/2006/relationships/hyperlink" Target="http://www.sec.gov/Archives/edgar/data/921299/000119312514380087/d720189dex34.htm" TargetMode="External"/><Relationship Id="rId110" Type="http://schemas.openxmlformats.org/officeDocument/2006/relationships/hyperlink" Target="http://www.sec.gov/Archives/edgar/data/921299/000119312514420380/d824859dex41.htm" TargetMode="External"/><Relationship Id="rId111" Type="http://schemas.openxmlformats.org/officeDocument/2006/relationships/hyperlink" Target="http://www.sec.gov/Archives/edgar/data/921299/000119312514359619/d720189dex42.htm" TargetMode="External"/><Relationship Id="rId112" Type="http://schemas.openxmlformats.org/officeDocument/2006/relationships/hyperlink" Target="http://www.sec.gov/Archives/edgar/data/921299/000119312514359619/d720189dex47.htm" TargetMode="External"/><Relationship Id="rId113" Type="http://schemas.openxmlformats.org/officeDocument/2006/relationships/hyperlink" Target="http://www.sec.gov/Archives/edgar/data/921299/000119312514359619/d720189dex412.htm" TargetMode="External"/><Relationship Id="rId114" Type="http://schemas.openxmlformats.org/officeDocument/2006/relationships/hyperlink" Target="http://www.sec.gov/Archives/edgar/data/921299/000119312514381669/d720189dex417.htm" TargetMode="External"/><Relationship Id="rId115" Type="http://schemas.openxmlformats.org/officeDocument/2006/relationships/hyperlink" Target="http://www.sec.gov/Archives/edgar/data/921299/000156459017022738/fgen-ex46_97.htm" TargetMode="External"/><Relationship Id="rId116" Type="http://schemas.openxmlformats.org/officeDocument/2006/relationships/hyperlink" Target="http://www.sec.gov/Archives/edgar/data/921299/000119312518048551/d500266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2019-12-28T22:08:38Z</dcterms:created>
  <dcterms:modified xsi:type="dcterms:W3CDTF">2019-12-28T22:08:38Z</dcterms:modified>
</cp:coreProperties>
</file>