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40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7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409 Illinois Street</w:t>
            </w:r>
          </w:p>
        </w:tc>
        <w:tc>
          <w:tcPr>
            <w:tcW w:w="5100" w:type="dxa"/>
            <w:vAlign w:val="bottom"/>
          </w:tcPr>
          <w:p>
            <w:pPr>
              <w:spacing w:after="0"/>
              <w:rPr>
                <w:sz w:val="24"/>
                <w:szCs w:val="24"/>
                <w:color w:val="auto"/>
              </w:rPr>
            </w:pPr>
          </w:p>
        </w:tc>
      </w:t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94158</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Arial" w:cs="Arial" w:eastAsia="Arial" w:hAnsi="Arial"/>
                <w:sz w:val="18"/>
                <w:szCs w:val="18"/>
                <w:b w:val="1"/>
                <w:bCs w:val="1"/>
                <w:color w:val="auto"/>
              </w:rPr>
              <w:t>(415) 978-1200</w:t>
            </w:r>
          </w:p>
        </w:tc>
      </w:tr>
      <w:tr>
        <w:trPr>
          <w:trHeight w:val="186"/>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338"/>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240"/>
              <w:spacing w:after="0"/>
              <w:rPr>
                <w:sz w:val="20"/>
                <w:szCs w:val="20"/>
                <w:color w:val="auto"/>
              </w:rPr>
            </w:pPr>
            <w:r>
              <w:rPr>
                <w:rFonts w:ascii="Arial" w:cs="Arial" w:eastAsia="Arial" w:hAnsi="Arial"/>
                <w:sz w:val="18"/>
                <w:szCs w:val="18"/>
                <w:color w:val="auto"/>
              </w:rPr>
              <w:t>o (Do not check if a smaller reporting company)</w:t>
            </w:r>
          </w:p>
        </w:tc>
        <w:tc>
          <w:tcPr>
            <w:tcW w:w="264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24"/>
                <w:szCs w:val="24"/>
                <w:color w:val="auto"/>
              </w:rPr>
            </w:pPr>
          </w:p>
        </w:tc>
      </w:tr>
      <w:tr>
        <w:trPr>
          <w:trHeight w:val="324"/>
        </w:trPr>
        <w:tc>
          <w:tcPr>
            <w:tcW w:w="8340" w:type="dxa"/>
            <w:vAlign w:val="bottom"/>
            <w:gridSpan w:val="2"/>
          </w:tcPr>
          <w:p>
            <w:pPr>
              <w:ind w:left="520"/>
              <w:spacing w:after="0"/>
              <w:rPr>
                <w:sz w:val="20"/>
                <w:szCs w:val="20"/>
                <w:color w:val="auto"/>
              </w:rPr>
            </w:pPr>
            <w:r>
              <w:rPr>
                <w:rFonts w:ascii="Arial" w:cs="Arial" w:eastAsia="Arial" w:hAnsi="Arial"/>
                <w:sz w:val="18"/>
                <w:szCs w:val="18"/>
                <w:color w:val="auto"/>
                <w:w w:val="91"/>
              </w:rPr>
              <w:t>Indicate by check mark whether the registrant is a shell company (as defined in Exchange Act Rule 12b-2).</w:t>
            </w:r>
          </w:p>
        </w:tc>
        <w:tc>
          <w:tcPr>
            <w:tcW w:w="26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340" w:type="dxa"/>
            <w:vAlign w:val="bottom"/>
            <w:gridSpan w:val="2"/>
          </w:tcPr>
          <w:p>
            <w:pPr>
              <w:ind w:left="520"/>
              <w:spacing w:after="0"/>
              <w:rPr>
                <w:sz w:val="20"/>
                <w:szCs w:val="20"/>
                <w:color w:val="auto"/>
              </w:rPr>
            </w:pPr>
            <w:r>
              <w:rPr>
                <w:rFonts w:ascii="Arial" w:cs="Arial" w:eastAsia="Arial" w:hAnsi="Arial"/>
                <w:sz w:val="18"/>
                <w:szCs w:val="18"/>
                <w:color w:val="auto"/>
              </w:rPr>
              <w:t>The number of shares of common stock outstanding as of July 31, 2016 was 62,788,159.</w:t>
            </w: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860" w:type="dxa"/>
            <w:vAlign w:val="bottom"/>
            <w:tcBorders>
              <w:bottom w:val="single" w:sz="8" w:color="auto"/>
            </w:tcBorders>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18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9"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700" w:type="dxa"/>
            <w:vAlign w:val="bottom"/>
            <w:gridSpan w:val="11"/>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1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2016 and 2015</w:t>
              </w:r>
            </w:hyperlink>
          </w:p>
        </w:tc>
        <w:tc>
          <w:tcPr>
            <w:tcW w:w="19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Income (Loss) for the Three and Six Months Ended June 30, 2016 and 2015</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2016 and 2015</w:t>
              </w:r>
            </w:hyperlink>
          </w:p>
        </w:tc>
        <w:tc>
          <w:tcPr>
            <w:tcW w:w="54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268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Unregistered Sales of Equity Securities and Use of Proceeds</w:t>
              </w:r>
            </w:hyperlink>
          </w:p>
        </w:tc>
        <w:tc>
          <w:tcPr>
            <w:tcW w:w="5700" w:type="dxa"/>
            <w:vAlign w:val="bottom"/>
            <w:gridSpan w:val="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Exhibit Index</w:t>
              </w:r>
            </w:hyperlink>
          </w:p>
        </w:tc>
        <w:tc>
          <w:tcPr>
            <w:tcW w:w="906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940" w:type="dxa"/>
            <w:vAlign w:val="bottom"/>
            <w:gridSpan w:val="15"/>
          </w:tcPr>
          <w:p>
            <w:pPr>
              <w:ind w:left="47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9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190,411</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40,105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($13,365 and $4,455 from a related party)</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126,264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Accrued liabilities ($1,351 and $2,045 to related parties)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lease financing obligations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286,752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at June 30, 2016 and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December 31, 2015; no shares issued and outstanding at June 30, 2016</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and December 31, 2015</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June 30, 2016 and</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2015; 62,742 and 61,985 shares issued and outstanding at</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June 30, 2016 and December 31, 2015</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605,089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(411,586)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(408,062)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193,106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499,129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4"/>
                <w:szCs w:val="1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w w:val="93"/>
              </w:rPr>
              <w:t>License and milestone revenue (includes $13,043, $4,860, $16,356 and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$9,552 from a related party)</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73,197</w:t>
            </w:r>
          </w:p>
        </w:tc>
        <w:tc>
          <w:tcPr>
            <w:tcW w:w="3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106,879</w:t>
            </w:r>
          </w:p>
        </w:tc>
        <w:tc>
          <w:tcPr>
            <w:tcW w:w="26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92,935</w:t>
            </w:r>
          </w:p>
        </w:tc>
        <w:tc>
          <w:tcPr>
            <w:tcW w:w="18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Collaboration services and other revenue (includes $326, $719, $678 and</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$1,353 from a related party)</w:t>
            </w: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16,083</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117,835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(2,438)</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(2,762)</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and other, net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24,316</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57,055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0.95</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3"/>
              </w:rPr>
              <w:t>Weighted average number of common shares used to calculate net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(loss) per share: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62,582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69,022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6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09"/>
        </w:trPr>
        <w:tc>
          <w:tcPr>
            <w:tcW w:w="56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(loss) on available-for-sale</w:t>
            </w: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6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20"/>
                <w:szCs w:val="20"/>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57,170</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92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(3,524)</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3,007</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6"/>
                <w:szCs w:val="16"/>
                <w:color w:val="auto"/>
              </w:rPr>
              <w:t>Unrealized foreign exchange gain on short-term investments</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(273)</w:t>
            </w: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15,744</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 benefit on unrealized gain on available-for-sale securities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(479)</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(2,683)</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assets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(3,047)</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liabilities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15,114</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Lease financing liability</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w:t>
            </w:r>
          </w:p>
        </w:tc>
        <w:tc>
          <w:tcPr>
            <w:tcW w:w="82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82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27,420</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(1,019)</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securities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(46)</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8,217</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Net cash provided by investing activities</w:t>
            </w:r>
          </w:p>
        </w:tc>
        <w:tc>
          <w:tcPr>
            <w:tcW w:w="8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7,152</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8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Repayments of lease liability</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(201)</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(1,791)</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4,496</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8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2,504</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gridSpan w:val="2"/>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8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37,087</w:t>
            </w: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71,081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153,324</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190,411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236,536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520" w:firstLine="8"/>
        <w:spacing w:after="0" w:line="400" w:lineRule="auto"/>
        <w:tabs>
          <w:tab w:leader="none" w:pos="513"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in Phase 3 clinical development for the treatment of anemia in chronic kidney disease. Pamrevlumab, or FG-3019, is the Company’s monoclonal antibody in Phase 2 clinical development for the treatment of idiopathic pulmonary fibrosis, pancreatic cancer, Duchenne muscular dystrophy and liver fibrosis. We have taken a global approach with respect to the development and future commercialization of our product candidates, and this includes development and commercialization in the People’s Republic of China (“China”).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December 31, 2015 condensed consolidated balance sheet data contained within this Form 10-Q was derived from audited consolidated financial statements included in the Company’s Annual Report on Form 10-K filed with the SEC for the year ended December 31, 2015 ( “2015 Form 10-K”), but does not include all disclosures required by U.S. GAAP.</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financial information included herein should be read in conjunction with the consolidated financial statements and related notes in the 2015 Form 10-K. The accounting policies used by the Company in its presentation of interim financial results are consistent with those presented in Note 2 to the consolidated financial statements included in the 2015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 In our opinion, the accompanying unaudited condensed consolidated financial statements include all normal recurring adjustments necessary for a fair presentation of our financial position, results of operations and cash flows for the interim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7"/>
              </w:rPr>
              <w:t>Three Months Ended June 30,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24,316</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57,055</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Weighted average shares used to compute net income per share: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62,582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59,798</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Dilutive effect of potential common shares</w:t>
            </w: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w:t>
            </w:r>
          </w:p>
        </w:tc>
        <w:tc>
          <w:tcPr>
            <w:tcW w:w="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6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69,022</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68,752</w:t>
            </w:r>
          </w:p>
        </w:tc>
        <w:tc>
          <w:tcPr>
            <w:tcW w:w="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62,383</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6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Diluted shares did not include 6.6 million and 3.8 million securities for the three months ended June 30, 2016 and 2015, and 1.8 million securities for the six months ended June 30, 2015, as they were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This guidance requires that financial assets measured at amortized cost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The Company is currently evaluating the impact on its consolidated financial statements upon the adoption of this guidance.</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The Company is currently evaluating the impact on its consolidated financial statements upon the adoption of this guidance.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Presentation of Financial Statements - 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This guidance requires management to evaluate, at each interim and annual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The Company does not expect a material impact on its consolidated financial statements upon the adoption of this guidance.</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the revenue recognition requirements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can be adopted either retrospectively to each prior reporting period presented, or retrospectively with a cumulative-effect adjustment recognized as of the date of adoption. In April 2016, the FASB issued ASU 2016-10, </w:t>
      </w:r>
      <w:r>
        <w:rPr>
          <w:rFonts w:ascii="Arial" w:cs="Arial" w:eastAsia="Arial" w:hAnsi="Arial"/>
          <w:sz w:val="16"/>
          <w:szCs w:val="16"/>
          <w:i w:val="1"/>
          <w:iCs w:val="1"/>
          <w:color w:val="auto"/>
        </w:rPr>
        <w:t>Revenue from Contracts with Customers (Topic 606):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Performance Obligations and Licensing </w:t>
      </w:r>
      <w:r>
        <w:rPr>
          <w:rFonts w:ascii="Arial" w:cs="Arial" w:eastAsia="Arial" w:hAnsi="Arial"/>
          <w:sz w:val="16"/>
          <w:szCs w:val="16"/>
          <w:color w:val="auto"/>
        </w:rPr>
        <w:t>(“ASU 2016-10”), which clarifies the implementation guidance on identifying performance obligations in a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determining whether an entity’s promise to grant a license provides a customer with either a right to use the entity’s intellectual property (which is satisfied at a point in time) or a right to access the entity’s intellectual property (which is satisfied over time). In May 2016, the FASB issued ASU 2016-11, </w:t>
      </w:r>
      <w:r>
        <w:rPr>
          <w:rFonts w:ascii="Arial" w:cs="Arial" w:eastAsia="Arial" w:hAnsi="Arial"/>
          <w:sz w:val="16"/>
          <w:szCs w:val="16"/>
          <w:i w:val="1"/>
          <w:iCs w:val="1"/>
          <w:color w:val="auto"/>
        </w:rPr>
        <w:t xml:space="preserve">Revenue Recognition (Topic 605) and Derivatives and Hedging (Topic 815) </w:t>
      </w:r>
      <w:r>
        <w:rPr>
          <w:rFonts w:ascii="Arial" w:cs="Arial" w:eastAsia="Arial" w:hAnsi="Arial"/>
          <w:sz w:val="16"/>
          <w:szCs w:val="16"/>
          <w:color w:val="auto"/>
        </w:rPr>
        <w:t>(“ASU 2016-11”), which rescinds SEC paragraphs pursuant to SEC staff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announcements. These rescissions include changes to topics pertaining to accounting for shipping and handling fees and costs and accounting for consideration given by a vendor to a customer. In May 2016, the FASB issued ASU 2016-12, </w:t>
      </w:r>
      <w:r>
        <w:rPr>
          <w:rFonts w:ascii="Arial" w:cs="Arial" w:eastAsia="Arial" w:hAnsi="Arial"/>
          <w:sz w:val="16"/>
          <w:szCs w:val="16"/>
          <w:i w:val="1"/>
          <w:iCs w:val="1"/>
          <w:color w:val="auto"/>
        </w:rPr>
        <w:t xml:space="preserve">Revenue from Contracts with Customers (Topic 606): Narrow-Scope Improvements and Practical Expedients </w:t>
      </w:r>
      <w:r>
        <w:rPr>
          <w:rFonts w:ascii="Arial" w:cs="Arial" w:eastAsia="Arial" w:hAnsi="Arial"/>
          <w:sz w:val="16"/>
          <w:szCs w:val="16"/>
          <w:color w:val="auto"/>
        </w:rPr>
        <w:t>(“ASU 2016-12”), which amends the guidance in the new revenue standard on collectability, non-cash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presentation of sales tax, and transition, to address implementation issues and provide additional practical expedients to reduce the cost and complexity of applying the new revenue standard. The effective date and transition requirements for ASU 2016-10, ASU 2016-11 and ASU 2016-12 are same as those for ASU 2014-09 (as amended by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issued in August 2015), i.e. for the annual reporting period beginning after December 15, 2017, including interim periods within that reporting period. A reporting entity may choose to early adopt the guidance as of the original effective date. The Company does not anticipate an early adoption, and is currently evaluating the impact on its consolidated financial statements upon the adoption of these ASUs.</w:t>
      </w:r>
    </w:p>
    <w:p>
      <w:pPr>
        <w:spacing w:after="0" w:line="200" w:lineRule="exact"/>
        <w:rPr>
          <w:sz w:val="20"/>
          <w:szCs w:val="20"/>
          <w:color w:val="auto"/>
        </w:rPr>
      </w:pPr>
    </w:p>
    <w:p>
      <w:pPr>
        <w:spacing w:after="0" w:line="291" w:lineRule="exact"/>
        <w:rPr>
          <w:sz w:val="20"/>
          <w:szCs w:val="20"/>
          <w:color w:val="auto"/>
        </w:rPr>
      </w:pPr>
    </w:p>
    <w:p>
      <w:pPr>
        <w:ind w:right="8840" w:firstLine="8"/>
        <w:spacing w:after="0" w:line="425" w:lineRule="auto"/>
        <w:tabs>
          <w:tab w:leader="none" w:pos="51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During the second quarter of 2016, the Company recognized $10.0 million revenue as a result of the initiation by Astellas of the first Phase 3 clinical study in Japan of roxadustat for treatment of anemia associated with chronic kidney disease in patients on dialysis. The amount was received in early July 2016. The Company evaluated the criteria under ASC 605-28 and concluded that the aforementioned milestone was substantive.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the last $62.0 million of which was received during the second quarter of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U.S./RoW Agreement, the Company and AstraZeneca will share equally in the development costs of roxadustat not already paid for by Astellas, up to a total of $233.0 million (i.e. the Company’s share of development costs is $116.5 million, which was reached during the fourth quarter of 2015).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Three Months Ended June 30,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4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118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00" w:type="dxa"/>
            <w:vAlign w:val="bottom"/>
            <w:tcBorders>
              <w:top w:val="single" w:sz="8" w:color="CFF0FC"/>
            </w:tcBorders>
            <w:shd w:val="clear" w:color="auto" w:fill="CFF0FC"/>
          </w:tcPr>
          <w:p>
            <w:pPr>
              <w:spacing w:after="0"/>
              <w:rPr>
                <w:sz w:val="19"/>
                <w:szCs w:val="19"/>
                <w:color w:val="auto"/>
              </w:rPr>
            </w:pPr>
          </w:p>
        </w:tc>
        <w:tc>
          <w:tcPr>
            <w:tcW w:w="442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10,043</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10,118</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righ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969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89"/>
              </w:rPr>
              <w:t>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Committee services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9"/>
              </w:rPr>
              <w:t>27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44,392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Deliverable</w:t>
            </w:r>
          </w:p>
        </w:tc>
        <w:tc>
          <w:tcPr>
            <w:tcW w:w="180" w:type="dxa"/>
            <w:vAlign w:val="bottom"/>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3,000</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4,769</w:t>
            </w: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6,238</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9,024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Borders>
              <w:top w:val="single" w:sz="8" w:color="CFF0FC"/>
            </w:tcBorders>
            <w:shd w:val="clear" w:color="auto" w:fill="CFF0FC"/>
          </w:tcPr>
          <w:p>
            <w:pPr>
              <w:spacing w:after="0"/>
              <w:rPr>
                <w:sz w:val="19"/>
                <w:szCs w:val="19"/>
                <w:color w:val="auto"/>
              </w:rPr>
            </w:pPr>
          </w:p>
        </w:tc>
        <w:tc>
          <w:tcPr>
            <w:tcW w:w="3760" w:type="dxa"/>
            <w:vAlign w:val="bottom"/>
            <w:tcBorders>
              <w:top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3,000</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4,769</w:t>
            </w: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6,238</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9,024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3760" w:type="dxa"/>
            <w:vAlign w:val="bottom"/>
            <w:gridSpan w:val="2"/>
          </w:tcPr>
          <w:p>
            <w:pPr>
              <w:ind w:left="180"/>
              <w:spacing w:after="0"/>
              <w:rPr>
                <w:sz w:val="20"/>
                <w:szCs w:val="20"/>
                <w:color w:val="auto"/>
              </w:rPr>
            </w:pPr>
            <w:r>
              <w:rPr>
                <w:rFonts w:ascii="Arial" w:cs="Arial" w:eastAsia="Arial" w:hAnsi="Arial"/>
                <w:sz w:val="18"/>
                <w:szCs w:val="18"/>
                <w:color w:val="auto"/>
              </w:rPr>
              <w:t>Collaboration services revenue*</w:t>
            </w:r>
          </w:p>
        </w:tc>
        <w:tc>
          <w:tcPr>
            <w:tcW w:w="9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11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20"/>
                <w:szCs w:val="20"/>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0" w:right="240" w:hanging="518"/>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Europe Agreement, along with any associated deferred revenue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June 30, 2016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407,554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407,554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32,654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Committee services</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450,602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877"/>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Deliverable</w:t>
            </w:r>
          </w:p>
        </w:tc>
        <w:tc>
          <w:tcPr>
            <w:tcW w:w="240" w:type="dxa"/>
            <w:vAlign w:val="bottom"/>
          </w:tcPr>
          <w:p>
            <w:pPr>
              <w:spacing w:after="0"/>
              <w:rPr>
                <w:sz w:val="14"/>
                <w:szCs w:val="14"/>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460" w:type="dxa"/>
            <w:vAlign w:val="bottom"/>
            <w:gridSpan w:val="2"/>
            <w:vMerge w:val="continue"/>
          </w:tcPr>
          <w:p>
            <w:pPr>
              <w:spacing w:after="0"/>
              <w:rPr>
                <w:sz w:val="13"/>
                <w:szCs w:val="13"/>
                <w:color w:val="auto"/>
              </w:rPr>
            </w:pPr>
          </w:p>
        </w:tc>
        <w:tc>
          <w:tcPr>
            <w:tcW w:w="42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4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China</w:t>
            </w:r>
          </w:p>
        </w:tc>
        <w:tc>
          <w:tcPr>
            <w:tcW w:w="42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License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60,154</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76,579</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Milestones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license and milestone revenue</w:t>
            </w: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60,154</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102,019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76,579</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Collaboration services revenue*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12,942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23,939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 single unit of accounting**</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right="60" w:hanging="512"/>
        <w:spacing w:after="0" w:line="25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209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60" w:lineRule="exact"/>
        <w:rPr>
          <w:sz w:val="20"/>
          <w:szCs w:val="20"/>
          <w:color w:val="auto"/>
        </w:rPr>
      </w:pPr>
    </w:p>
    <w:p>
      <w:pPr>
        <w:ind w:left="520" w:right="140" w:hanging="51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U.S./RoW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Co-development, information sharing &amp; committee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111,381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China-single unit of accounting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440,678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112,520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553,198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revenues consist of royalty payments received, which are recorded on a monthly basis as they are reported to the Company, and collagen feasibility sales. Other revenues were immaterial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786"/>
              <w:spacing w:after="0"/>
              <w:rPr>
                <w:sz w:val="20"/>
                <w:szCs w:val="20"/>
                <w:color w:val="auto"/>
              </w:rPr>
            </w:pPr>
            <w:r>
              <w:rPr>
                <w:rFonts w:ascii="Arial" w:cs="Arial" w:eastAsia="Arial" w:hAnsi="Arial"/>
                <w:sz w:val="14"/>
                <w:szCs w:val="14"/>
                <w:b w:val="1"/>
                <w:bCs w:val="1"/>
                <w:color w:val="auto"/>
              </w:rPr>
              <w:t>June 30, 2016</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125,981</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125,981</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25,427</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113,317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113,317</w:t>
            </w:r>
          </w:p>
        </w:tc>
        <w:tc>
          <w:tcPr>
            <w:tcW w:w="120" w:type="dxa"/>
            <w:vAlign w:val="bottom"/>
          </w:tcPr>
          <w:p>
            <w:pPr>
              <w:spacing w:after="0"/>
              <w:rPr>
                <w:sz w:val="19"/>
                <w:szCs w:val="19"/>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25,052</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77,639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77,639</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102,888</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134,318</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237,206</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0"/>
              </w:rPr>
              <w:t>June 30, 2016</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97,798</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97,798</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1"/>
              </w:rPr>
              <w:t>December 31, 2015</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fair values of our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0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77,094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75,685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113,317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77,639</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190,411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June 30, 2016, a total of $25.6 million of our cash and cash equivalents were held outside of the U.S. in our foreign subsidiaries to be used primarily for our China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1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80" w:type="dxa"/>
            <w:vAlign w:val="bottom"/>
          </w:tcPr>
          <w:p>
            <w:pPr>
              <w:spacing w:after="0"/>
              <w:rPr>
                <w:sz w:val="11"/>
                <w:szCs w:val="11"/>
                <w:color w:val="auto"/>
              </w:rPr>
            </w:pPr>
          </w:p>
        </w:tc>
        <w:tc>
          <w:tcPr>
            <w:tcW w:w="15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Holding Gains</w:t>
            </w: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8"/>
              </w:rPr>
              <w:t>Holding Losses</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125,130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Bond and mutual funds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150,626</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1380"/>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80" w:type="dxa"/>
            <w:vAlign w:val="bottom"/>
          </w:tcPr>
          <w:p>
            <w:pPr>
              <w:spacing w:after="0"/>
              <w:rPr>
                <w:sz w:val="11"/>
                <w:szCs w:val="11"/>
                <w:color w:val="auto"/>
              </w:rPr>
            </w:pPr>
          </w:p>
        </w:tc>
        <w:tc>
          <w:tcPr>
            <w:tcW w:w="15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Holding Gains</w:t>
            </w:r>
          </w:p>
        </w:tc>
        <w:tc>
          <w:tcPr>
            <w:tcW w:w="28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Holding Losses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126,522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At June 30, 2016, all of the available-for-sale investments had contractual maturities within three years. The Company periodically reviews its available-for-sale investments for other-than-temporary impairment. The Company considers factors such as the duration, severity and the reason for the decline in value, the potential recovery period and our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six months ended June 30, 2016 and 2015, the Company did not recognize any other-than-temporary impairment loss.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47,942</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allocated to research and development and general and administrative expense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to estimate the fair value of stock options granted and ESPPs using the Black-Scholes option valuation model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0.5 - 2.0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0.4 - 2.0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0.5 - 2.0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0.4 - 2.0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61.9 - 80.7%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58.5 - 69.0%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61.9 - 80.7%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58.5 - 69.0%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0.2 - 0.9%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0.1 - 0.6%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0.2 - 0.9%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0.1 - 0.6%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benefit from income taxes for the three and six months ended June 30, 2016 was due to the discrete tax effect arising from other comprehensive income related to available-for-sale securities. The provision for income taxes for the three months ended June 30, 2015 was due to the discrete tax effect arising from a change in the valuation of the Company’s available-for-sale securities portfolio. The benefit from income taxes for the six months ended June 30, 2015 was due to the discrete tax effect arising from other comprehensive income related to available-for-sale securities.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and expected continuing net loss, the Company has established and continue to maintain a full valuation allowance against its deferred tax assets as it does not currently believe that realization of those assets is more likely than not.</w:t>
      </w:r>
    </w:p>
    <w:p>
      <w:pPr>
        <w:spacing w:after="0" w:line="326"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$13.4 million and $5.6 million during the three months ended June 30, 2016 and 2015, respectively, and of $17.1 million and $10.9 million during the six months ended June 30, 2016 and 2015, respectively.</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recorded expense related to collaboration agreements with Astellas of $1.4 million and $1.3 million during the three months ended June 30, 2016 and 2015, respectively, and of $3.0 million and $4.4 million during the six months ended June 30, 2016 and 2015, respectively.</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June 30, 2016 and December 31, 2015, accounts receivable from Astellas were $13.4 million and $4.5 million, respectively, and amounts due to Astellas were $1.4 million and $2.0 million,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Julian N. Stern, a director of the Company since November 1996, is of counsel to the law firm of Goodwin Procter LLP, which he joined in 2008. He has received, and continues to receive, no compensation from Goodwin Procter LLP since joining it as of counsel. The Company retains Goodwin Procter LLP as legal counsel for various matters, primarily consisting of intellectual property matters. During the three and six months ended June 30, 2016, the Company made payments to Goodwin Procter LLP of less than $0.1 million, respectively. During the three and six months ended June 30, 2015, the payments made by the Company to Goodwin Procter LLP were not material. As of June 30, 2016 and December 31, 2015, the balance of accrued liability for Goodwin Proctor LLP was immaterial.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2015 filed with the SEC on February 29,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were incorporated in 1993 in Delaware and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Pamrevlumab, or FG-3019, is our monoclonal antibody in Phase 2 clinical development for the treatment of idiopathic pulmonary fibrosis (“IPF”), pancreatic cancer, Duchenne muscular dystrophy (“DMD”) and liver fibrosis. We have taken a global approach with respect to our product candidates, and this includes development and commercialization of product candidates in the People’s Republic of China (“China”).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00" w:type="dxa"/>
            <w:vAlign w:val="bottom"/>
            <w:gridSpan w:val="4"/>
          </w:tcPr>
          <w:p>
            <w:pPr>
              <w:ind w:left="6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r>
      <w:tr>
        <w:trPr>
          <w:trHeight w:val="156"/>
        </w:trPr>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1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20" w:type="dxa"/>
            <w:vAlign w:val="bottom"/>
            <w:gridSpan w:val="5"/>
          </w:tcPr>
          <w:p>
            <w:pPr>
              <w:jc w:val="right"/>
              <w:ind w:right="576"/>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89,280</w:t>
            </w:r>
          </w:p>
        </w:tc>
        <w:tc>
          <w:tcPr>
            <w:tcW w:w="106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120,550</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117,563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136,848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8"/>
              </w:rPr>
              <w:t>62,768</w:t>
            </w:r>
          </w:p>
        </w:tc>
        <w:tc>
          <w:tcPr>
            <w:tcW w:w="106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117,835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24,316</w:t>
            </w:r>
          </w:p>
        </w:tc>
        <w:tc>
          <w:tcPr>
            <w:tcW w:w="106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57,055</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10,688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17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0.39</w:t>
            </w:r>
          </w:p>
        </w:tc>
        <w:tc>
          <w:tcPr>
            <w:tcW w:w="106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7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0.35</w:t>
            </w:r>
          </w:p>
        </w:tc>
        <w:tc>
          <w:tcPr>
            <w:tcW w:w="106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0.83</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8"/>
        </w:trPr>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456"/>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24"/>
                <w:szCs w:val="24"/>
                <w:color w:val="auto"/>
              </w:rPr>
            </w:pPr>
          </w:p>
        </w:tc>
      </w:tr>
      <w:tr>
        <w:trPr>
          <w:trHeight w:val="156"/>
        </w:trPr>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80" w:type="dxa"/>
            <w:vAlign w:val="bottom"/>
            <w:tcBorders>
              <w:top w:val="single" w:sz="8" w:color="auto"/>
            </w:tcBorders>
            <w:gridSpan w:val="3"/>
          </w:tcPr>
          <w:p>
            <w:pPr>
              <w:jc w:val="right"/>
              <w:ind w:right="1194"/>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190,411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153,324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151,645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18,088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15,405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revenue for the three and six months ended June 30, 2016 decreased compared to the same period a year ago primarily due to an upfront payment of $62.0 million received under our collaboration agreements with AstraZeneca AB (“AstraZeneca”) and a $10.0 million development milestone revenue recorded under our collaboration agreements with Astellas during the second quarter of 2016, as compared to an upfront payment of $120.0 million and a development milestone payment of $15.0 million received under our collaboration agreements with AstraZeneca during the second quarter of 2015, as well as a decrease in reimbursable co-development costs allocated to license and milestone revenues. The decreases were partially offset by the fact that we had reached the cap with AstraZeneca during the fourth quarter of 2015 on our initial funding obligations, therefore during the three and six months ended June 30, 2016, we no longer shared 50% of the development costs compared to the prior periods, for roxadustat for the treatment of anemia in CKD in the U.S., Europe, Japan and all other markets outside of China.</w:t>
      </w:r>
    </w:p>
    <w:p>
      <w:pPr>
        <w:spacing w:after="0" w:line="1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Operating expenses increased for the three months ended June 30, 2016 primarily due to higher drug development expenses associated with drug substance manufacturing activities related to pamrevlumab (FG-3019) and drug storage and distribution activities related to roxadustat, higher clinical trial expenses related to roxadustat, and higher stock-based compensation and employee-related expenses, partially offset by lower research and development outside services expense, as we had reached the cap with AstraZeneca during the fourth quarter of 2015 as discussed above, and we no longer shared 50% of the development costs compared to the prior periods.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Operating expenses decreased for the six months ended June 30, 2016 primarily due to lower research and development outside services expense, as we had reached the cap with AstraZeneca during the fourth quarter of 2015, and we no longer shared 50% of the development costs compared to the prior period, partially offset by higher drug development expenses associated with drug substance manufacturing activities related to pamrevlumab (FG-3019) and drug storage and distribution activities related to roxadustat, higher clinical trial expenses related to roxadustat, and higher stock-based compensation and employee-related expenses.</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three months ended June 30, 2016, we had a net income of $24.3 million, net income per basic share of $0.39, and net income per diluted share of $0.35. The decrease in net income and in net income per diluted share for the three months ended June 30, 2016 compared to the same period a year ago was due to a decrease in revenue and an increase in operating expenses.</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six months ended June 30, 2016, we had a net loss of $3.5 million, and net loss per basic and diluted share of $0.06, as compared to a net income of $10.7 million for the same period a year ago, due to a decrease in revenue, partially offset by a decrease in operating expenses.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cash equivalents, investments and accounts receivable, excluding restricted cash, totaled $360.1 million at June 30, 2016, an increase of $31.8 million from December 31, 2015, primarily due to cash provided by operations and investing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2016, we continued to make progress in the development of our major programs.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Roxadustat, the first HIF-PH inhibitor to enter Phase 3 clinical development, acts by stimulating the body’s natural pathway of erythropoiesis, or red blood cell production. We, along with our collaboration partners Astellas Pharma Inc. (“Astellas”) and AstraZeneca, continue to advance roxadustat through our global Phase 3 program, conducting seven studies designed to support regulatory approval of roxadustat in both dialysis-dependent CKD patients and CKD patients who are not dialysis-dependent in multiple geographies. As previously reported, we have completed initial target enrollment in two of FibroGen’s three Phase 3 studies and are continuing to enroll an additional 300 patients in the non-dialysis study to meet overall enrollment goals among our partners. We expect to complete enrollment of these additional non-dialysis patients by the end of 2016. We expect to complete initial target enrollment in our incident dialysis study in the third quarter of 2016 and are planning on enrolling an additional 150 U.S. incident dialysis patients. We will be working with our partners later this year to assess overall event rates and develop a view on expected study completion dates. We currently anticipate filing for New Drug Application (“NDA”) approval for roxadustat in the U.S. in 2018.</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Through our subsidiary, FibroGen (China) Medical Technology Development Co., Ltd. (“FibroGen Beijing”), we began enrolling patients in our China Phase 3 studies in December 2015. We have completed enrollment in our 300 subject dialysis study and are over 70% enrolled in our 150 subject non-dialysis study, which we expect to complete enrollment of in the third quarter. We continue to expect to report top-line data for these studies by year-end with data from the 52 week safety assessment in the second quarter of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operating within the context of a Class 1.1 drug approval pathway for Domestic innovative drugs. We currently anticipate initiating the NDA process in China in the fourth quarter of 2016 after we have reached the primary efficacy endpoint for both studies, with an NDA approval decision expected in the first half of 2018. Given that there is little precedent in China for the approval pathway and the China Food and Drug Administration (“CFDA”) is in the process of enacting regulatory reform, we continue to regularly consult with the CFDA with respect to the approval process.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Japan, Astellas has entered Phase 3 clinical development in both dialysis and non-dialysis CKD patients. Astellas and we recently reported top line data for Astellas’s Phase 2b Japan studies in CKD dialysis and non-dialysis patients.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Based on roxadustat’s potential safety and efficacy profile and other potential advantages over Erythropoiesis Stimulating Agents, we believe that in addition to treating anemia in CKD, roxadustat has the potential to treat anemia associated with other conditions. The CFDA accepted our clinical trial application submission in China in the second quarter of 2016 to study roxadustat in myelodysplastic syndrome (“MDS). We plan on submitting a clinical trial application in China to study roxadustat in chemotherapy induced anemia in 2016. In our pre-IND meeting with the U.S. FDA in May, we reached agreement on our MDS Phase 3 study design.</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Pamrevlumab (FG-3019) is our fully-human monoclonal antibody that inhibits the activity of connective tissue growth factor, a critical common element in the progression of fibrosis and associated serious diseases. In June, we completed enrollment of 103 subjects in the placebo-controlled portion of our ongoing Phase 2, randomized, double-blind study (067) to evaluate the safety and efficacy of pamrevlumab (FG-3019) in IPF patients with mild to moderate disease. As with our open-label Phase 2 trial, Study 049, the primary efficacy endpoint for Study 067 is change in FVC from baseline. Secondary endpoints are extent of pulmonary fibrosis as measured by quantitative high resolution computed tomography, other pulmonary function assessments and measures of health-related quality of life. We also continue to enroll patients in a sub-study in IPF targeting up to 60 patients to test pamrevlumab (FG-3019) in combination with approved therapies. This sub-study will provide needed safety data for pivotal combination trials. We expect to complete enrollment in the sub-study by year end and report topline data from the entire study in mid-2017.</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also continue to enroll an open-label Phase 2 trial in previously untreated patients with pancreatic cancer to determine whether pamrevlumab (FG-3019), in combination with gemcitabine and nab-paclitaxel, can convert stage 3 inoperable cancer to resectable, or operable, cancer. Target enrollment for this proof of concept study is approximately 42 patients, however, we would not necessarily have to complete the target enrollment before ending the study. We reported on the first eight evaluable patients at the 2016 American Society of Clinical Oncology GastroIntestinal Cancer (ASCO-GI) meeting and expect to report on additional data early next year. We plan on speaking with the FDA about the design of a pivotal study in this patient population by year-end.</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 to enroll patients in an open-label trial of pamrevlumab (FG-3019) in approximately 22 non-ambulatory patients with DMD and expect to complete enrollment by the first quarter of 2017. The primary endpoint is change in pulmonary function compared to each individual subject’s historical decline in lung function. Other endpoints include assessments of cardiac fibrosis and function assessed by magnetic resonance imaging (“MRI”), arm muscle fibrosis and fat assessed by MRI and upper body strength. We plan to conduct a preliminary assessment after all evaluable subjects have completed one year of dosing. In the third quarter of 2016, we expect to expand our IND with the Food and Drug Administration (“FDA”) for a protocol to treat ambulatory DMD patients with pamrevlumab.</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Update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30, GlaxoSmithKline LLC filed with the U.S. Patent and Trademark Office petitions for inter partes review of certain FibroGen patents (U.S. Patent Nos. 8,466,172; 8,614,204; 8,629,131; 8,604,012; 8,609,646; and 8,604,013). Inter partes review is a process through which a third party can challenge the validity of an issued U.S. patent. While we believe our patents will withstand challenge and be maintained in all relevant part, the outcome of such proceedings is unpredictable. However, even in the case that these patents are narrowed in scope or revoked in their entirety, these actions do not challenge FibroGen’s exclusivity or freedom-to-operate for roxadustat.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roxadustat for the treatment of anemia in Japan (“Japan Agreement”). In April 2006, we entered into a collaboration agreement with Astellas for roxadustat for the treatment of anemia in Europe, the Commonwealth of Independent States, the Middle East, and South Africa (“Europe Agreement”). Under these agreements, we provided Astellas the right to develop and commercialize roxadustat for anemia in these territories.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the Company recognized $10.0 million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June 30, 2016 totals $472.6 million.</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June 30, 2016, Astellas had separate investment of $80.5 million in the equity of FibroGen,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initial development costs), all future development and commercialization costs for roxadustat for the treatment of anemia in CKD in the U.S., Europe, Japan and all other markets outside of China will be paid by Astellas and AstraZeneca.</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China, FibroGen China will conduct the development work for CKD anemia and its subsidiary, FibroGen Beijing, will hold all of the regulatory licenses issued by China regulatory authorities, and FibroGen China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time based development milestone. The aggregate amount of such consideration received through June 30, 2016 totals $417.2 million. During the second quarter of 2015, we received an upfront payment of $120.0 million and a development milestone payment of $15.0 million under the U.S./RoW Agreement. The development milestone payment resulted from the finalization of our two audited pre-clinical carcinogenicity study reports.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Total cash consideration received through June 30, 2016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center"/>
              <w:ind w:left="547"/>
              <w:spacing w:after="0"/>
              <w:rPr>
                <w:sz w:val="20"/>
                <w:szCs w:val="20"/>
                <w:color w:val="auto"/>
              </w:rPr>
            </w:pPr>
            <w:r>
              <w:rPr>
                <w:rFonts w:ascii="Arial" w:cs="Arial" w:eastAsia="Arial" w:hAnsi="Arial"/>
                <w:sz w:val="14"/>
                <w:szCs w:val="14"/>
                <w:b w:val="1"/>
                <w:bCs w:val="1"/>
                <w:color w:val="auto"/>
                <w:w w:val="93"/>
              </w:rPr>
              <w:t>Cash</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96"/>
              </w:rPr>
              <w:t>Additional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jc w:val="center"/>
              <w:ind w:left="547"/>
              <w:spacing w:after="0" w:line="149" w:lineRule="exact"/>
              <w:rPr>
                <w:sz w:val="20"/>
                <w:szCs w:val="20"/>
                <w:color w:val="auto"/>
              </w:rPr>
            </w:pPr>
            <w:r>
              <w:rPr>
                <w:rFonts w:ascii="Arial" w:cs="Arial" w:eastAsia="Arial" w:hAnsi="Arial"/>
                <w:sz w:val="14"/>
                <w:szCs w:val="14"/>
                <w:b w:val="1"/>
                <w:bCs w:val="1"/>
                <w:color w:val="auto"/>
                <w:w w:val="91"/>
              </w:rPr>
              <w:t>Received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jc w:val="center"/>
              <w:ind w:left="527"/>
              <w:spacing w:after="0" w:line="149" w:lineRule="exact"/>
              <w:rPr>
                <w:sz w:val="20"/>
                <w:szCs w:val="20"/>
                <w:color w:val="auto"/>
              </w:rPr>
            </w:pPr>
            <w:r>
              <w:rPr>
                <w:rFonts w:ascii="Arial" w:cs="Arial" w:eastAsia="Arial" w:hAnsi="Arial"/>
                <w:sz w:val="14"/>
                <w:szCs w:val="14"/>
                <w:b w:val="1"/>
                <w:bCs w:val="1"/>
                <w:color w:val="auto"/>
                <w:w w:val="95"/>
              </w:rPr>
              <w:t>Through</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1"/>
              </w:rPr>
              <w:t>Potential</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Potential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center"/>
              <w:ind w:left="547"/>
              <w:spacing w:after="0"/>
              <w:rPr>
                <w:sz w:val="20"/>
                <w:szCs w:val="20"/>
                <w:color w:val="auto"/>
              </w:rPr>
            </w:pPr>
            <w:r>
              <w:rPr>
                <w:rFonts w:ascii="Arial" w:cs="Arial" w:eastAsia="Arial" w:hAnsi="Arial"/>
                <w:sz w:val="14"/>
                <w:szCs w:val="14"/>
                <w:b w:val="1"/>
                <w:bCs w:val="1"/>
                <w:color w:val="auto"/>
                <w:w w:val="92"/>
              </w:rPr>
              <w:t>June 30, 2016</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ind w:right="277"/>
              <w:spacing w:after="0"/>
              <w:rPr>
                <w:sz w:val="20"/>
                <w:szCs w:val="20"/>
                <w:color w:val="auto"/>
              </w:rPr>
            </w:pPr>
            <w:r>
              <w:rPr>
                <w:rFonts w:ascii="Arial" w:cs="Arial" w:eastAsia="Arial" w:hAnsi="Arial"/>
                <w:sz w:val="14"/>
                <w:szCs w:val="14"/>
                <w:b w:val="1"/>
                <w:bCs w:val="1"/>
                <w:color w:val="auto"/>
                <w:w w:val="90"/>
              </w:rPr>
              <w:t>Cash Payments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Cash Payments</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2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2640" w:type="dxa"/>
            <w:vAlign w:val="bottom"/>
            <w:gridSpan w:val="2"/>
          </w:tcPr>
          <w:p>
            <w:pPr>
              <w:jc w:val="right"/>
              <w:ind w:right="13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62,593</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110,000</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114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472,593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114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417,200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889,793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6"/>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License and milestone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73,197</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106,879</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(33,682)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92,935</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118,385</w:t>
            </w:r>
          </w:p>
        </w:tc>
        <w:tc>
          <w:tcPr>
            <w:tcW w:w="26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(25,450)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Collaboration services and other revenue</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7"/>
              </w:rPr>
              <w:t>16,083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24,628</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3"/>
        </w:trPr>
        <w:tc>
          <w:tcPr>
            <w:tcW w:w="33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7"/>
              </w:rPr>
              <w:t>89,280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120,550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117,563</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136,848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(19,285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82% and 89% of total revenue for the three months ended June 30, 2016 and 2015, respectively, and 79% and 87% of total revenue for the six months ended June 30, 2016 and 2015, respectively.</w:t>
      </w:r>
    </w:p>
    <w:p>
      <w:pPr>
        <w:spacing w:after="0" w:line="1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65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periods presented. Collaboration services and other revenues represented 18% and 11% of total revenue for the three months ended June 30, 2016 and 2015, respectively, and 21% and 13% of total revenue for the six months ended June 30, 2016 and 2015, respectively.</w:t>
      </w:r>
    </w:p>
    <w:p>
      <w:pPr>
        <w:spacing w:after="0" w:line="19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revenue decreased $31.3 million, or 26% for the three months ended June 30, 2016, and decreased $19.3 million, or 14% for the six months ended June 30, 2016,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and Milestone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right"/>
              <w:ind w:right="33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License and milestone revenue: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13,043</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4,860</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8,183</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9,552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6,804</w:t>
            </w:r>
          </w:p>
        </w:tc>
        <w:tc>
          <w:tcPr>
            <w:tcW w:w="2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7"/>
              </w:rPr>
              <w:t>60,154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102,019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(41,865)</w:t>
            </w:r>
          </w:p>
        </w:tc>
        <w:tc>
          <w:tcPr>
            <w:tcW w:w="10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108,833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(32,254)</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3620" w:type="dxa"/>
            <w:vAlign w:val="bottom"/>
          </w:tcPr>
          <w:p>
            <w:pPr>
              <w:ind w:left="500"/>
              <w:spacing w:after="0"/>
              <w:rPr>
                <w:sz w:val="20"/>
                <w:szCs w:val="20"/>
                <w:color w:val="auto"/>
              </w:rPr>
            </w:pPr>
            <w:r>
              <w:rPr>
                <w:rFonts w:ascii="Arial" w:cs="Arial" w:eastAsia="Arial" w:hAnsi="Arial"/>
                <w:sz w:val="18"/>
                <w:szCs w:val="18"/>
                <w:color w:val="auto"/>
              </w:rPr>
              <w:t>Total license and milestone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73,197</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106,879</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92,935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118,385</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(25,450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License and milestone revenue decreased $33.7 million, or 32% for the three months ended June 30, 2016, and decreased $25.5 million, or 21% for the six months ended June 30, 2016, compared to the same periods a year ago due to a decrease in the license and milestone revenue recognized under our collaboration agreements with AstraZeneca, partially offset by an increase in the license and milestone revenue recognized under our collaboration agreements with Astellas.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License and milestone revenue recognized under our collaboration agreements with AstraZeneca decreased due to an upfront payment of $62.0 million received during the second quarter of 2016, as compared to an upfront payment of $120.0 million and a development milestone payment of $15.0 million received during the second quarter of 2015, as well as a decrease in reimbursable co-development costs allocated to license and milestone revenues. The decreases were partially offset by the fact that we had reached the cap during fourth quarter of 2015 on our initial funding obligations, therefore during the first quarter of 2016, we no longer shared 50% of the development costs development and commercialization costs compared to the prior periods, for roxadustat for the treatment of anemia in CKD in the U.S., Europe, Japan and all other markets outside of China.</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License and milestone revenue recognized under our collaboration agreements with Astellas increased primarily due to a $10.0 million of development milestone revenue recorded during the second quarter of 2016, partially offset by a decrease in reimbursable co-development costs allocated to license and milestone revenues.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Services and Other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6"/>
          </w:tcPr>
          <w:p>
            <w:pPr>
              <w:ind w:left="1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services revenue:</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 %</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(675)</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15,755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12,942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3720" w:type="dxa"/>
            <w:vAlign w:val="bottom"/>
          </w:tcPr>
          <w:p>
            <w:pPr>
              <w:ind w:left="500"/>
              <w:spacing w:after="0"/>
              <w:rPr>
                <w:sz w:val="20"/>
                <w:szCs w:val="20"/>
                <w:color w:val="auto"/>
              </w:rPr>
            </w:pPr>
            <w:r>
              <w:rPr>
                <w:rFonts w:ascii="Arial" w:cs="Arial" w:eastAsia="Arial" w:hAnsi="Arial"/>
                <w:sz w:val="18"/>
                <w:szCs w:val="18"/>
                <w:color w:val="auto"/>
              </w:rPr>
              <w:t>Total collaboration services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16,081</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13,661</w:t>
            </w: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18  %</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24,617</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18,433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6,184</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 %</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720" w:type="dxa"/>
            <w:vAlign w:val="bottom"/>
          </w:tcPr>
          <w:p>
            <w:pPr>
              <w:ind w:left="500"/>
              <w:spacing w:after="0"/>
              <w:rPr>
                <w:sz w:val="20"/>
                <w:szCs w:val="20"/>
                <w:color w:val="auto"/>
              </w:rPr>
            </w:pPr>
            <w:r>
              <w:rPr>
                <w:rFonts w:ascii="Arial" w:cs="Arial" w:eastAsia="Arial" w:hAnsi="Arial"/>
                <w:sz w:val="18"/>
                <w:szCs w:val="18"/>
                <w:color w:val="auto"/>
              </w:rPr>
              <w:t>Total collaboration services and other</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50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16,083</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13,671</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18  %</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24,628</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26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Collaboration services and other revenue increased $2.4 million, or 18%, for the three months ended June 30, 2016, and increased $6.2 million, or 33% for the six months ended June 30, 2016, compared to the same periods a year ago due to an increase in the collaboration services revenue recognized under our collaboration agreements with AstraZeneca, partially offset by a decrease in the collaboration services revenue recognized under our collaboration agreements with Astellas.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Collaboration services revenue recognized under our collaboration agreements with AstraZeneca increased primarily due to the fact that we had reached the cap during fourth quarter of 2015 on our initial funding obligations, therefore during the first quarter of 2016, we no longer shared 50% of the development costs development and commercialization costs compared to the prior periods, for roxadustat for the treatment of anemia in CKD in the U.S., Europe, Japan and all other markets outside of China. This increase was partially offset by a decrease in reimbursable co-development costs allocated to collaboration services revenues, as well as the decrease in collaboration services revenue recognized under our collaboration agreements with AstraZeneca resulting from the allocation of the upfront payment of $62.0 million during the second quarter of 2016, as compared to from the allocation of the upfront payment of $120.0 million during the prior year period.</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Collaboration services revenue recognized under our collaboration agreements with Astellas decreased due to a decrease in reimbursable co-development costs allocated to collaboration services.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vMerge w:val="restart"/>
          </w:tcPr>
          <w:p>
            <w:pPr>
              <w:jc w:val="right"/>
              <w:ind w:right="74"/>
              <w:spacing w:after="0"/>
              <w:rPr>
                <w:sz w:val="20"/>
                <w:szCs w:val="20"/>
                <w:color w:val="auto"/>
              </w:rPr>
            </w:pPr>
            <w:r>
              <w:rPr>
                <w:rFonts w:ascii="Arial" w:cs="Arial" w:eastAsia="Arial" w:hAnsi="Arial"/>
                <w:sz w:val="14"/>
                <w:szCs w:val="14"/>
                <w:b w:val="1"/>
                <w:bCs w:val="1"/>
                <w:color w:val="auto"/>
                <w:w w:val="92"/>
              </w:rPr>
              <w:t>Six Months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6"/>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52,392</w:t>
            </w:r>
          </w:p>
        </w:tc>
        <w:tc>
          <w:tcPr>
            <w:tcW w:w="2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51,555</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96,041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102,094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(6,053)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7"/>
              </w:rPr>
              <w:t>10,376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62,768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61,235</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117,835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196"/>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three and six months ended June 30, 2016 and 2015:</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Phase of Development</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960" w:type="dxa"/>
            <w:vAlign w:val="bottom"/>
            <w:tcBorders>
              <w:top w:val="single" w:sz="8" w:color="CFF0FC"/>
            </w:tcBorders>
            <w:gridSpan w:val="2"/>
            <w:shd w:val="clear" w:color="auto" w:fill="CFF0FC"/>
          </w:tcPr>
          <w:p>
            <w:pPr>
              <w:jc w:val="right"/>
              <w:ind w:right="64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34,585</w:t>
            </w:r>
          </w:p>
        </w:tc>
        <w:tc>
          <w:tcPr>
            <w:tcW w:w="1080" w:type="dxa"/>
            <w:vAlign w:val="bottom"/>
            <w:tcBorders>
              <w:top w:val="single" w:sz="8" w:color="CFF0FC"/>
            </w:tcBorders>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36,336</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64,110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72,393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Pamrevlumab (FG-3019)</w:t>
            </w:r>
          </w:p>
        </w:tc>
        <w:tc>
          <w:tcPr>
            <w:tcW w:w="1380" w:type="dxa"/>
            <w:vAlign w:val="bottom"/>
          </w:tcPr>
          <w:p>
            <w:pPr>
              <w:spacing w:after="0"/>
              <w:rPr>
                <w:sz w:val="20"/>
                <w:szCs w:val="20"/>
                <w:color w:val="auto"/>
              </w:rPr>
            </w:pPr>
            <w:r>
              <w:rPr>
                <w:rFonts w:ascii="Arial" w:cs="Arial" w:eastAsia="Arial" w:hAnsi="Arial"/>
                <w:sz w:val="18"/>
                <w:szCs w:val="18"/>
                <w:color w:val="auto"/>
              </w:rPr>
              <w:t>Phase 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12,860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8,374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FG-6874</w:t>
            </w: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Phase 1</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FG-5200</w:t>
            </w:r>
          </w:p>
        </w:tc>
        <w:tc>
          <w:tcPr>
            <w:tcW w:w="1380" w:type="dxa"/>
            <w:vAlign w:val="bottom"/>
          </w:tcPr>
          <w:p>
            <w:pPr>
              <w:spacing w:after="0"/>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260"/>
              <w:spacing w:after="0"/>
              <w:rPr>
                <w:sz w:val="20"/>
                <w:szCs w:val="20"/>
                <w:color w:val="auto"/>
              </w:rPr>
            </w:pPr>
            <w:r>
              <w:rPr>
                <w:rFonts w:ascii="Arial" w:cs="Arial" w:eastAsia="Arial" w:hAnsi="Arial"/>
                <w:sz w:val="18"/>
                <w:szCs w:val="18"/>
                <w:color w:val="auto"/>
                <w:w w:val="98"/>
              </w:rPr>
              <w:t>Total research and development expenses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52,392</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51,555</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Research and development expenses increased $0.8 million, or 2%, for the three months ended June 30, 2016 compared to the same period a year ago. The increase was primarily due to increases in drug development expenses of $5.5 million, clinical trial costs of $3.5 million, employee-related costs of $1.0 million and stock-based compensation of $0.6 million. The increases were partially offset by a decrease in outside services of $9.9 million. Drug development expenses increased due to higher drug substance manufacturing activities related to pamrevlumab (FG-3019) and drug storage and distribution activities related to roxadustat. Clinical trial costs increased as a result of the progression of the Phase 3 trials for roxadustat and the ongoing Phase 2 trials for pamrevlumab (FG-3019). Employee-related costs increased as a result of higher average compensation level. Stock-based compensation increased due to cumulative impact of stock option grant activities, partially offset by the impact of higher expense in prior year period associated with the first implementation of Employee Share Purchase Program (“ESPP”) in November 2014. Outside services costs decreased primarily due to the fact that we had reached the cap with AstraZeneca during the fourth quarter of 2015 on our initial funding obligations, therefore during the first quarter of 2016, we no longer shared 50% of the development costs compared to the prior periods, for roxadustat in the U.S., Europe, Japan and all other markets outside of China.</w:t>
      </w:r>
    </w:p>
    <w:p>
      <w:pPr>
        <w:spacing w:after="0" w:line="169"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Research and development expenses decreased $6.1 million, or 6%, for the six months ended June 30, 2016 compared to the same period a year ago. The decrease was primarily due to a decrease in outside services of $19.7 million partially offset by increases in drug development expenses of $5.6 million, clinical trial costs of $4.9 million, employee-related costs of $2.4 million and stock-based compensation of $0.9 million. Outside services costs decreased primarily due to the fact that we had reached the cap with AstraZeneca during the fourth quarter of 2015 on our initial funding obligations, therefore during the first quarter of 2016, we no longer shared 50% of the development costs compared to the prior periods, for roxadustat in the U.S., Europe, Japan and all other markets outside of China. Drug development expenses increased due to higher drug substance manufacturing activities related to pamrevlumab (FG-3019) and drug storage and distribution activities related to roxadustat. Clinical trial costs increased as a result of the progression of the Phase 3 trials for roxadustat and the ongoing Phase 2 trials for pamrevlumab (FG-3019). Employee-related costs increased as a result of higher average compensation level. Stock-based compensation increased due to cumulative impact of stock option grant activities, partially offset by the impact of higher expense in prior year period associated with the first implementation of ESPP in November 2014.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General and administrative expenses increased $0.7 million, or 7%, for the three months ended June 30, 2016, and increased $1.6 million, or 8%, for the six months ended June 30, 2016 compared to the same periods a year ago. The increase for the three month period was primarily due to an increase in stock-based compensation expense of $0.8 million. The increase for the six month period was primarily due to increases in stock-based compensation expense of $1.5 million and facility expenses of $0.5 million, partially offset by a decrease in legal fees of $0.5 million. Stock-based compensation expense increased primarily due to cumulative impact of stock option grant activities, partially offset by the impact of higher expense in prior year period associated with the first implementation of ESPP in November 2014. Facility expenses increased primarily due to the higher assessed property tax. Legal fees decreased due to the incremental maintenance costs associated with our intellectual property portfolio during prior year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for Roxadustat Covered Under Collaboration Agreements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share responsibility with AstraZeneca for clinical development activities required for U.S. regulatory approval of roxadustat. During the fourth quarter of 2015, the $116.5 million cap on our share of development costs for roxadustat has been reached. As such, all future development and commercialization costs for roxadustat for the treatment of anemia in CKD in the U.S., Europe, Japan and all other markets outside of China will be paid by Astellas and AstraZeneca. In China, our subsidiary FibroGen China will conduct the development work for CKD anemia and will hold all of the regulatory licenses issued by China regulatory authorities, through its subsidiary FibroGen Beijing, and be primarily responsible for regulatory, clinical and manufacturing. All development and commercialization costs for roxadustat in China will be shared equally with AstraZeneca.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3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(2,438)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(2,762)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(5,215)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(5,520)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(578)</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(82) %</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04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0"/>
              </w:rPr>
              <w:t>(2,309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12  %</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increased $0.3 million during the three and six months ended June 30, 2016 as compared to the same periods a year ago due to a reduction in the imputed interest resulting from the government rent subsidy received by FibroGen China during the second quarter of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 Net</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Interest and other income, net decreased $0.6 million, or 82%, for the three months ended June 30, 2016 compared to the same period a year ago primarily due to unrealized foreign currency translation losses on our monetary assets denominated in foreign currency as a result of USD strengthening, as well as lower interest income resulting from lower average balances of investments during the three months ended June 30,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jc w:val="right"/>
              <w:ind w:right="857"/>
              <w:spacing w:after="0" w:line="155"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before income taxes</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24,203</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57,260</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(3,942)</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c>
          <w:tcPr>
            <w:tcW w:w="24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r>
      <w:tr>
        <w:trPr>
          <w:trHeight w:val="230"/>
        </w:trPr>
        <w:tc>
          <w:tcPr>
            <w:tcW w:w="3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Effective tax rate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r>
    </w:tbl>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provision for income taxes for the three and six months ended June 30, 2016 was due to the discrete tax effect arising from other comprehensive income related to available-for-sale securities. The provision for income taxes for the three months ended June 30, 2015 was due to the discrete tax effect arising from a change in the valuation of our available-for-sale securities portfolio. The benefit from income taxes for the six months ended June 30, 2015 was due to the discrete tax effect arising from other comprehensive income related to available-for-sale securities.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initial public offering proceeds) and from the execution of certain collaboration agreements involving license payments, milestones and reimbursement for development services.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second quarter of 2016, we received a $62.0 million upfront payment under U.S./RoW Agreement. During the second quarter of 2016, we also recognized $10.0 million milestone revenue under Japan Agreement, the amount of which was received in early July 2016.</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2016, we had cash and cash equivalents of approximately $190.4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June 30, 2016 we had short-term and long-term investments of approximately $40.1 million and $111.5 million, respectively. As of June 30, 2016, a total of $25.6 million of our cash and cash equivalents was held outside of the U.S. in our foreign subsidiaries to be used primarily for our China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II, Item 1A “</w:t>
      </w:r>
      <w:r>
        <w:rPr>
          <w:rFonts w:ascii="Arial" w:cs="Arial" w:eastAsia="Arial" w:hAnsi="Arial"/>
          <w:sz w:val="17"/>
          <w:szCs w:val="17"/>
          <w:i w:val="1"/>
          <w:iCs w:val="1"/>
          <w:color w:val="auto"/>
        </w:rPr>
        <w:t>Risk Fact</w:t>
      </w:r>
      <w:r>
        <w:rPr>
          <w:rFonts w:ascii="Arial" w:cs="Arial" w:eastAsia="Arial" w:hAnsi="Arial"/>
          <w:sz w:val="17"/>
          <w:szCs w:val="17"/>
          <w:color w:val="auto"/>
        </w:rPr>
        <w: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w:t>
            </w:r>
          </w:p>
        </w:tc>
        <w:tc>
          <w:tcPr>
            <w:tcW w:w="7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560" w:type="dxa"/>
            <w:vAlign w:val="bottom"/>
            <w:gridSpan w:val="2"/>
          </w:tcPr>
          <w:p>
            <w:pPr>
              <w:jc w:val="right"/>
              <w:ind w:right="66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27,420</w:t>
            </w:r>
          </w:p>
        </w:tc>
        <w:tc>
          <w:tcPr>
            <w:tcW w:w="220" w:type="dxa"/>
            <w:vAlign w:val="bottom"/>
          </w:tcPr>
          <w:p>
            <w:pPr>
              <w:spacing w:after="0"/>
              <w:rPr>
                <w:sz w:val="19"/>
                <w:szCs w:val="19"/>
                <w:color w:val="auto"/>
              </w:rPr>
            </w:pPr>
          </w:p>
        </w:tc>
        <w:tc>
          <w:tcPr>
            <w:tcW w:w="840" w:type="dxa"/>
            <w:vAlign w:val="bottom"/>
            <w:gridSpan w:val="2"/>
          </w:tcPr>
          <w:p>
            <w:pPr>
              <w:jc w:val="right"/>
              <w:ind w:right="71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58,857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Net change in cash and cash equivalents</w:t>
            </w:r>
          </w:p>
        </w:tc>
        <w:tc>
          <w:tcPr>
            <w:tcW w:w="720" w:type="dxa"/>
            <w:vAlign w:val="bottom"/>
          </w:tcPr>
          <w:p>
            <w:pPr>
              <w:spacing w:after="0"/>
              <w:rPr>
                <w:sz w:val="19"/>
                <w:szCs w:val="19"/>
                <w:color w:val="auto"/>
              </w:rPr>
            </w:pP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37,087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71,081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 cash provided by operating activities was $27.4 million for the six months ended June 30, 2016 and consisted primarily of net loss of $3.5 million adjusted for non-cash items of $19.4 million and a net increase in operating assets and liabilities of $11.6 million. The significant non-cash items included stock-based compensation expense of $15.7 million, depreciation expense of $3.0 million and amortization of premium on investments of $1.4 million. The significant items in the changes in operating assets and liabilities included an increase resulted from deferred revenue of $15.1 million, partially offset by decreases resulted from accounts receivable of $2.7 million and accounts payable of $3.0 million. The changes in deferred revenue and accounts receivable were related to the timing of the receipt of upfront payments and recognition of revenues under our collaboration agreements with Astellas and AstraZeneca. The change in accounts payable was primarily driven by clinical trial activities and the timing of payments.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cash used in operating activities was $58.9 million for the six months ended June 30, 2015 and consisted primarily of net income of $10.7 million adjusted for non-cash items of $17.8 million and a net increase in operating assets and liabilities of $30.4 million. The significant non-cash items included stock-based compensation expense of $13.4 million, depreciation expense of $2.8 million and amortization of the premium on investments of $1.5 million. The significant items in the change in operating assets and liabilities included increases resulted from deferred revenue of $30.4 million, prepaid expenses and other current assets of $2.2 million, accounts receivable of $1.3 million, partially offset by decreases resulted from accrued liabilities of $3.1 million and accounts payable of $0.6 million. The change in deferred revenue was related to the timing of the receipt of upfront payments and recognition of revenues under our collaboration agreements with Astellas and AstraZeneca. The changes in accounts receivable and prepaid expenses and other current assets were related to the timing of payments. The changes in accounts payable and accrued liabilities were driven by clinical trial activity related to upcoming Phase 3 trials for roxadustat and the timing of payments.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primarily consist of purchases of fixed assets, purchases of investments, and proceeds from the maturity and sale of investments.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investing activities was $7.2 million for the six months ended June 30, 2016 and consisted of proceeds from maturities of available-for-sale securities of $8.2 million, partially offset by cash used in purchases of fixed assets of $1.0 million.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investing activities was $6.0 million for the six months ended June 30, 2015 and consisted of proceeds from maturities of available-for-sale securities of $7.0 million, offset by cash used in purchases of fixed assets of $1.0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liability.</w:t>
      </w:r>
    </w:p>
    <w:p>
      <w:pPr>
        <w:spacing w:after="0" w:line="17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Net cash provided by financing activities was $2.5 million for the six months ended June 30, 2016 and consisted of $4.5 million of proceeds from the issuance of common stock upon exercise of stock options and purchases under ESPP, partially offset by $1.8 million of cash paid for payroll taxes on restricted stock unit releases and $0.2 million of repayments on our lease liability.</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cash provided by financing activities was $5.4 million for the six months ended June 30, 2015 and consisted of $5.6 million of proceeds from the issuance of common stock upon exercise of stock options and purchases under ESPP, partially offset by $0.2 million of repayments on our lease liability.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three and six months ended June 30, 2016,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There have been no material changes in our critical accounting policies, estimates and judgments during the three and six months ended June 30, 2016 compared with the disclosures in Part II, Item 7 of our Annual Report on Form 10-K for the year ended December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This guidance requires that financial assets measured at amortized cost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We are currently evaluating the impact on our consolidated financial statements upon the adoption of this guidance.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6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We are currently evaluating the impact on our consolidated financial statements upon the adoption of this guidance.</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Presentation of Financial Statements - 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This guidance requires management to evaluate, at each interim and annual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We do not expect a material impact on our consolidated financial statements upon the adoption of this guidance.</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supersedes the revenue recognition requirements in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can be adopted either retrospectively to each prior reporting period presented, or retrospectively with a cumulative-effect adjustment recognized as of the date of adoption. In April 2016, the FASB issued ASU 2016-10, </w:t>
      </w:r>
      <w:r>
        <w:rPr>
          <w:rFonts w:ascii="Arial" w:cs="Arial" w:eastAsia="Arial" w:hAnsi="Arial"/>
          <w:sz w:val="17"/>
          <w:szCs w:val="17"/>
          <w:i w:val="1"/>
          <w:iCs w:val="1"/>
          <w:color w:val="auto"/>
        </w:rPr>
        <w:t>Revenue from Contracts with Customers (Topic 606): Identifying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Performance Obligations and Licensing </w:t>
      </w:r>
      <w:r>
        <w:rPr>
          <w:rFonts w:ascii="Arial" w:cs="Arial" w:eastAsia="Arial" w:hAnsi="Arial"/>
          <w:sz w:val="17"/>
          <w:szCs w:val="17"/>
          <w:color w:val="auto"/>
        </w:rPr>
        <w:t>(“ASU 2016-10”), which clarifies the implementation guidance on identifying performance obligations in a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determining whether an entity’s promise to grant a license provides a customer with either a right to use the entity’s intellectual property (which is satisfied at a point in time) or a right to access the entity’s intellectual property (which is satisfied over time). In May 2016, the FASB issued ASU 2016-11, </w:t>
      </w:r>
      <w:r>
        <w:rPr>
          <w:rFonts w:ascii="Arial" w:cs="Arial" w:eastAsia="Arial" w:hAnsi="Arial"/>
          <w:sz w:val="17"/>
          <w:szCs w:val="17"/>
          <w:i w:val="1"/>
          <w:iCs w:val="1"/>
          <w:color w:val="auto"/>
        </w:rPr>
        <w:t xml:space="preserve">Revenue Recognition (Topic 605) and Derivatives and Hedging (Topic 815) </w:t>
      </w:r>
      <w:r>
        <w:rPr>
          <w:rFonts w:ascii="Arial" w:cs="Arial" w:eastAsia="Arial" w:hAnsi="Arial"/>
          <w:sz w:val="17"/>
          <w:szCs w:val="17"/>
          <w:color w:val="auto"/>
        </w:rPr>
        <w:t>(“ASU 2016-11”), which rescinds SEC paragraphs pursuant to SEC staff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announcements. These rescissions include changes to topics pertaining to accounting for shipping and handling fees and costs and accounting for consideration given by a vendor to a customer. In May 2016, the FASB issued ASU 2016-12, </w:t>
      </w:r>
      <w:r>
        <w:rPr>
          <w:rFonts w:ascii="Arial" w:cs="Arial" w:eastAsia="Arial" w:hAnsi="Arial"/>
          <w:sz w:val="17"/>
          <w:szCs w:val="17"/>
          <w:i w:val="1"/>
          <w:iCs w:val="1"/>
          <w:color w:val="auto"/>
        </w:rPr>
        <w:t xml:space="preserve">Revenue from Contracts with Customers (Topic 606): Narrow-Scope Improvements and Practical Expedients </w:t>
      </w:r>
      <w:r>
        <w:rPr>
          <w:rFonts w:ascii="Arial" w:cs="Arial" w:eastAsia="Arial" w:hAnsi="Arial"/>
          <w:sz w:val="17"/>
          <w:szCs w:val="17"/>
          <w:color w:val="auto"/>
        </w:rPr>
        <w:t>(“ASU 2016-12”), which amends the guidance in the new revenue standard on collectability,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presentation of sales tax, and transition, to address implementation issues and provide additional practical expedients to reduce the cost and complexity of applying the new revenue standard. The effective date and transition requirements for ASU 2016-10, ASU 2016-11 and ASU 2016-12 are same as those for ASU 2014-09 (as amended by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xml:space="preserve"> issued in August 2015), i.e. for the annual reporting period beginning after December 15, 2017, including interim periods within that reporting period. A reporting entity may choose to early adopt the guidance as of the original effective date. We do not anticipate an early adoption, and are currently evaluating the impact on our consolidated financial statements upon the adoption of these ASUs.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SEC’s rules and forms and that such information is accumulated and communicated to the company’s management, including its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as appropriate to allow timely decisions regarding required disclosure.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June 30, 2016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2016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pamrevlumab (FG-3019) in idiopathic pulmonary fibrosis (“IPF”), pancreatic cancer, Duchenne muscular dystrophy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2015, 2014 and 2013 was approximately $85.8 million, $59.5 million and $14.9 million, respectively. As of June 30, 2016, we had an accumulated deficit of $411.6 million. As of June 30, 2016, we had capital resources consisting of cash, cash equivalents and short-term investments of $230.5 million plus $111.5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(FG-3019),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cash equivalents and short-term investments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(FG-3019), that are not subject to reimbursement from our collaboration partners;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2015, 2014 and 2013, substantially all of our revenues recognized were from our collaboration partners.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roxadustat, and our second compound in development, pamrevlumab (FG-3019).*</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(FG-3019), is currently in clinical development for IPF, pancreatic cancer, DMD, and liver fibrosis. Pamrevlumab (FG-3019)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pamrevlumab (FG-3019) may be appropriate. Accordingly, the costs and time to complete development and related risks are currently unknown. Moreover, pamrevlumab (FG-3019)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The clinical and commercial success of roxadustat and pamrevlumab (FG-3019) will depend on a number of factors, many of which are beyond our control, and we may be unable to complete the development or commercialization of roxadustat or pamrevlumab (FG-3019).*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(FG-3019) will depend on a number of factors, including the following:</w:t>
      </w:r>
    </w:p>
    <w:p>
      <w:pPr>
        <w:spacing w:after="0" w:line="117" w:lineRule="exact"/>
        <w:rPr>
          <w:sz w:val="20"/>
          <w:szCs w:val="20"/>
          <w:color w:val="auto"/>
        </w:rPr>
      </w:pPr>
    </w:p>
    <w:p>
      <w:pPr>
        <w:ind w:left="1040" w:right="380" w:hanging="519"/>
        <w:spacing w:after="0" w:line="31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right="2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initiation and completion of our Phase 2 clinical trials for pamrevlumab (FG-3019), including in IPF, pancreatic cancer, DMD, and liver fibrosis;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the safety and efficacy of our product candidates to the satisfaction of the relevant regulatory authorities;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3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(FG-3019) or any of our other product candidates.</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(FG-3019) will never receive regulatory approval in any country. Regulatory authorities may take actions or impose requirements that delay, limit or deny approval of roxadustat or pamrevlumab (FG-3019)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(FG-3019) is safe and effective in treating IPF, pancreatic cancer, DMD or liver fibrosis;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determination by regulatory authorities that additional clinical trials are necessary to demonstrate the safety and efficacy of roxadustat or pamrevlumab (FG-3019), or that ongoing clinical trials need to be modified in design, size, conduct or implementation;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2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preclinical and Phase 2 results to date for pamrevlumab (FG-3019) may not be indicative of the results that may be obtained in larger, controlled Phase 2 clinical trials or Phase 3 clinical trials required for approval.</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pamrevlumab (FG-3019). We have conducted an open-label Phase 2 dose escalation study of pamrevlumab (FG-3019) for IPF in 89 patients, a Phase 2 dose finding trial of pamrevlumab (FG-3019)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pamrevlumab (FG-3019)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pamrevlumab (FG-3019) has the potential to arrest or reverse fibrosis and reduce tumor mass, we cannot be sure that these results will be indicative of the effects of pamrevlumab (FG-3019) in human trials. In addition, the IPF and pancreatic cancer patient populations are extremely ill and routinely experience SAEs, including death, which may be attributed to pamrevlumab (FG-3019) in a manner that negatively impacts the safety profile of our product candidate. If the additional Phase 2 clinical trials that we are planning for pamrevlumab (FG-3019) do not show favorable efficacy results or result in safety concerns, or if we do not meet our clinical endpoints with statistical significance, or demonstrate an acceptable risk-benefit profile, we may be prevented from or delayed in obtaining marketing approval for pamrevlumab (FG-3019) in one or both of these indications.</w:t>
      </w:r>
    </w:p>
    <w:p>
      <w:pPr>
        <w:spacing w:after="0" w:line="28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know whether our ongoing or planned Phase 3 clinical trials in roxadustat or Phase 2 clinical trials in pamrevlumab (FG-3019) will need to be redesigned based on interim results, be able to achieve sufficient enrollment or be completed on schedule, if at 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 Our Development Program for Roxadustat</w:t>
      </w:r>
      <w:r>
        <w:rPr>
          <w:rFonts w:ascii="Arial" w:cs="Arial" w:eastAsia="Arial" w:hAnsi="Arial"/>
          <w:sz w:val="18"/>
          <w:szCs w:val="18"/>
          <w:color w:val="auto"/>
        </w:rPr>
        <w:t>” and “</w:t>
      </w:r>
      <w:r>
        <w:rPr>
          <w:rFonts w:ascii="Arial" w:cs="Arial" w:eastAsia="Arial" w:hAnsi="Arial"/>
          <w:sz w:val="18"/>
          <w:szCs w:val="18"/>
          <w:i w:val="1"/>
          <w:iCs w:val="1"/>
          <w:color w:val="auto"/>
        </w:rPr>
        <w:t>Business — FG-3019 for the Treatment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Fibrosis and Cancer</w:t>
      </w:r>
      <w:r>
        <w:rPr>
          <w:rFonts w:ascii="Arial" w:cs="Arial" w:eastAsia="Arial" w:hAnsi="Arial"/>
          <w:sz w:val="18"/>
          <w:szCs w:val="18"/>
          <w:color w:val="auto"/>
        </w:rPr>
        <w:t>” in our Annual Report on Form 10-K for the year ended December 31, 2015 for a discussion of the adverse events and SAEs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emerged in clinical trials of roxadustat and pamrevlumab (FG-3019).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1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our product candidates and/or products at sufficient yields or quality, we may experience delays in development, regulatory approval and commercialization.*</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are expected to be necessary to support large-scale clinical trials and sales. Our efforts to establish these capabilities may not meet our requirements as to scale-up, yield, cost, potency or quality in compliance with cGMP. 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57" w:lineRule="exact"/>
        <w:rPr>
          <w:sz w:val="20"/>
          <w:szCs w:val="20"/>
          <w:color w:val="auto"/>
        </w:rPr>
      </w:pPr>
    </w:p>
    <w:p>
      <w:pPr>
        <w:ind w:left="1040" w:right="7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(FG-3019),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chain issues, including 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capacity limitations and scheduling availability in contracted facilities;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example, we have a limited amount of pamrevlumab (FG-3019) in storage, limited capacity at our third-party manufacturer, and there are long lead times required to manufacture and scale-up the manufacture of additional supply. If we are unable to manufacture sufficient quantities of pamrevlumab (FG-3019) on a timely basis, it may limit our ability to replenish inventory or delay our development of pamrevlumab (FG-3019) in some or all indications. Any delay or interruption in the supply of our product candidates or products could have a material adverse effect on our business and operations.</w:t>
      </w:r>
    </w:p>
    <w:p>
      <w:pPr>
        <w:spacing w:after="0" w:line="2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8"/>
          <w:szCs w:val="18"/>
          <w:i w:val="1"/>
          <w:iCs w:val="1"/>
          <w:color w:val="auto"/>
        </w:rPr>
        <w:t>Business — Roxadustat for the Treatment of Anemia in Chronic Kidney Disease — Limitations of the Current Standard of Care for Anemia in CKD</w:t>
      </w:r>
      <w:r>
        <w:rPr>
          <w:rFonts w:ascii="Arial" w:cs="Arial" w:eastAsia="Arial" w:hAnsi="Arial"/>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currently conducting Phase 2 clinical trials for pamrevlumab (FG-3019) and we may need to conduct additional Phase 2 clinical trials before initiating our Phase 3 clinical trials for pamrevlumab (FG-3019). We have initiated Phase 3 clinical trials of roxadustat, and if our Phase 2 clinical trials are successful for pamrevlumab (FG-3019), we intend to conduct Phase 3 clinical trials for pamrevlumab (FG-3019).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288"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3"/>
          <w:szCs w:val="13"/>
          <w:color w:val="auto"/>
        </w:rPr>
        <w:t>®</w:t>
      </w:r>
      <w:r>
        <w:rPr>
          <w:rFonts w:ascii="Arial" w:cs="Arial" w:eastAsia="Arial" w:hAnsi="Arial"/>
          <w:sz w:val="16"/>
          <w:szCs w:val="16"/>
          <w:color w:val="auto"/>
        </w:rPr>
        <w:t>, commercialized by Amgen Inc. in the U.S., Procrit</w:t>
      </w:r>
      <w:r>
        <w:rPr>
          <w:rFonts w:ascii="Arial" w:cs="Arial" w:eastAsia="Arial" w:hAnsi="Arial"/>
          <w:sz w:val="13"/>
          <w:szCs w:val="13"/>
          <w:color w:val="auto"/>
        </w:rPr>
        <w:t>®</w:t>
      </w:r>
      <w:r>
        <w:rPr>
          <w:rFonts w:ascii="Arial" w:cs="Arial" w:eastAsia="Arial" w:hAnsi="Arial"/>
          <w:sz w:val="16"/>
          <w:szCs w:val="16"/>
          <w:color w:val="auto"/>
        </w:rPr>
        <w:t xml:space="preserve"> and Erypo</w:t>
      </w:r>
      <w:r>
        <w:rPr>
          <w:rFonts w:ascii="Arial" w:cs="Arial" w:eastAsia="Arial" w:hAnsi="Arial"/>
          <w:sz w:val="13"/>
          <w:szCs w:val="13"/>
          <w:color w:val="auto"/>
        </w:rPr>
        <w:t>®</w:t>
      </w:r>
      <w:r>
        <w:rPr>
          <w:rFonts w:ascii="Arial" w:cs="Arial" w:eastAsia="Arial" w:hAnsi="Arial"/>
          <w:sz w:val="16"/>
          <w:szCs w:val="16"/>
          <w:color w:val="auto"/>
        </w:rPr>
        <w:t>/Eprex</w:t>
      </w:r>
      <w:r>
        <w:rPr>
          <w:rFonts w:ascii="Arial" w:cs="Arial" w:eastAsia="Arial" w:hAnsi="Arial"/>
          <w:sz w:val="13"/>
          <w:szCs w:val="13"/>
          <w:color w:val="auto"/>
        </w:rPr>
        <w:t>®</w:t>
      </w:r>
      <w:r>
        <w:rPr>
          <w:rFonts w:ascii="Arial" w:cs="Arial" w:eastAsia="Arial" w:hAnsi="Arial"/>
          <w:sz w:val="16"/>
          <w:szCs w:val="16"/>
          <w:color w:val="auto"/>
        </w:rPr>
        <w:t>, commercialized by Johnson &amp; Johnson Inc.), darbepoetin (Amgen/Kyowa Hakko Kirin’s Aranesp</w:t>
      </w:r>
      <w:r>
        <w:rPr>
          <w:rFonts w:ascii="Arial" w:cs="Arial" w:eastAsia="Arial" w:hAnsi="Arial"/>
          <w:sz w:val="13"/>
          <w:szCs w:val="13"/>
          <w:color w:val="auto"/>
        </w:rPr>
        <w:t>®</w:t>
      </w:r>
      <w:r>
        <w:rPr>
          <w:rFonts w:ascii="Arial" w:cs="Arial" w:eastAsia="Arial" w:hAnsi="Arial"/>
          <w:sz w:val="16"/>
          <w:szCs w:val="16"/>
          <w:color w:val="auto"/>
        </w:rPr>
        <w:t xml:space="preserve"> and NESP</w:t>
      </w:r>
      <w:r>
        <w:rPr>
          <w:rFonts w:ascii="Arial" w:cs="Arial" w:eastAsia="Arial" w:hAnsi="Arial"/>
          <w:sz w:val="13"/>
          <w:szCs w:val="13"/>
          <w:color w:val="auto"/>
        </w:rPr>
        <w:t>®</w:t>
      </w:r>
      <w:r>
        <w:rPr>
          <w:rFonts w:ascii="Arial" w:cs="Arial" w:eastAsia="Arial" w:hAnsi="Arial"/>
          <w:sz w:val="16"/>
          <w:szCs w:val="16"/>
          <w:color w:val="auto"/>
        </w:rPr>
        <w:t xml:space="preserve">) and Mircera </w:t>
      </w:r>
      <w:r>
        <w:rPr>
          <w:rFonts w:ascii="Arial" w:cs="Arial" w:eastAsia="Arial" w:hAnsi="Arial"/>
          <w:sz w:val="13"/>
          <w:szCs w:val="13"/>
          <w:color w:val="auto"/>
        </w:rPr>
        <w:t>®</w:t>
      </w:r>
      <w:r>
        <w:rPr>
          <w:rFonts w:ascii="Arial" w:cs="Arial" w:eastAsia="Arial" w:hAnsi="Arial"/>
          <w:sz w:val="16"/>
          <w:szCs w:val="16"/>
          <w:color w:val="auto"/>
        </w:rPr>
        <w:t xml:space="preserve"> commercialized by Hoffmann-La Roche (“Roche”) outside of the U.S., and by Galenica, a Roche licensee in the U.S. and Puerto Rico, as well as biosimilar versions of these currently marketed ESA products. ESAs have been used in the treatment of anemia in CKD for over 20 years, serving a significant majority of dialysis dependent CKD patients on Medicare. It may be difficult to encourage treatment providers and patients to switch from products with which they have become familiar to roxadustat.</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for the treatment of anemia in CKD patients, including those patient segments not currently addressed by ESAs. Companies such as GlaxoSmithKline plc (“GSK”), Bayer Corporation (“Bayer”), Akebia Therapeutics, Inc. (“Akebia”), and Japan Tobacco, who are currently developing HIF prolyl hydroxylase (“HIF-PH”) inhibitors, may be in competition with roxadustat for patient recruitment and enrollment for clinical trials and may be in direct competition with roxadustat if and when it is approved and launched commercially. Akebia is currently conducting two Phase 3 studies in non-dialysis dependent CKD patients primarily in the U.S., one started in December 2015 and the other started in February 2016, and has reached agreement with the FDA regarding its phase 3 program in dialysis dependent CKD. GSK and Bayer are currently in Phase 2 development globally, and GSK has initiated a Phase 3 study in NDD and peritoneal dialysis subjects in Japan. Japan Tobacco is in Phase 2b in Japan.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 including myelodysplastic syndromes, for which we have submitted a Clinical Trial Application in China in the first half of 2016 and may pursue in broader markets.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introduction of biosimilar ESAs into the market in the U.S. may occur by the time roxadustat enters the market and may alter the competitive and pricing landscape of anemia therapy in dialysis patients under the end stage renal disease bundle. The patents for epoetin alfa, a version of EPOGEN, expired in 2004 in the European Union (“EU”), and the final material patents expired in May 2015 in the U.S. Several biosimilar versions of currently marketed ESAs are available for sale in the EU, China and other territories. In the U.S., a few ESA biosimilars are currently under development or regulatory review, including Retacrit™ (epoetin alfa) that is being marketed by Pfizer in Europe and for which Pfizer has said it plans to resubmit a BLA for after receiving a complete response letter from the FDA denying approval of its BLA in October 2015, as well as Binocrit</w:t>
      </w:r>
      <w:r>
        <w:rPr>
          <w:rFonts w:ascii="Arial" w:cs="Arial" w:eastAsia="Arial" w:hAnsi="Arial"/>
          <w:sz w:val="15"/>
          <w:szCs w:val="15"/>
          <w:color w:val="auto"/>
        </w:rPr>
        <w:t>®</w:t>
      </w:r>
      <w:r>
        <w:rPr>
          <w:rFonts w:ascii="Arial" w:cs="Arial" w:eastAsia="Arial" w:hAnsi="Arial"/>
          <w:sz w:val="18"/>
          <w:szCs w:val="18"/>
          <w:color w:val="auto"/>
        </w:rPr>
        <w:t xml:space="preserve"> (epoetin alfa) being marketed in Europe by Sandoz (Novartis ) and in Phase 3 development in the U.S.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DaVita’s contract with Amgen that began in January 2012 includes an exclusive relationship through 2018. Fresenius’ contract with Amgen is non-exclusive and expired in 2015. Fresenius is now administering Mircera</w:t>
      </w:r>
      <w:r>
        <w:rPr>
          <w:rFonts w:ascii="Arial" w:cs="Arial" w:eastAsia="Arial" w:hAnsi="Arial"/>
          <w:sz w:val="13"/>
          <w:szCs w:val="13"/>
          <w:color w:val="auto"/>
        </w:rPr>
        <w:t>®</w:t>
      </w:r>
      <w:r>
        <w:rPr>
          <w:rFonts w:ascii="Arial" w:cs="Arial" w:eastAsia="Arial" w:hAnsi="Arial"/>
          <w:sz w:val="16"/>
          <w:szCs w:val="16"/>
          <w:color w:val="auto"/>
        </w:rPr>
        <w:t xml:space="preserve"> in a significant portion of its U.S. dialysis patients since Mircera was made available by Galenica. Successful penetration of this market may require AstraZeneca to reach a significant agreement with Fresenius or DaVita, the two largest dialysis clinics in the U.S., on favorable terms and on a timely basis.</w:t>
      </w:r>
    </w:p>
    <w:p>
      <w:pPr>
        <w:spacing w:after="0" w:line="16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If pamrevlumab (FG-3019)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Bristol-Myers Squibb’s BMS-986020 and Biogen-Idec’s STX-100.</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If pamrevlumab (FG-3019) is approved and launched commercially to treat pancreatic cancer, we expect it to be used in combination instead of as monotherapy, and, likely competition for pamrevlumab (FG-3019) would be from other agents also seeking approval in combination with gemcitibine and nab-paclitaxel from companies such as NewLink Genetics Corporation, Merrimack Pharmaceuticals, Inc., Momenta Pharmaceuticals Inc., Gilead Sciences Inc., and Halozyme Therapeutics, Inc. Gemcitabine and/or nab-paclitaxel are the current standard of care in the first-line treatment of metastatic pancreatic cancer. Celgene Corporation’s Abraxane </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 On October 22, 2015, Merrimack Pharmaceuticals Inc., announced that it had received FDA approval for the use of ONIVYDE (irinotecan liposome injection) for the treatment of patients with metastatic adenocarcinoma of the pancreas after disease progression following gemcitabine-based therapy.</w:t>
      </w:r>
    </w:p>
    <w:p>
      <w:pPr>
        <w:spacing w:after="0" w:line="19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pamrevlumab (FG-3019) is approved and launched commercially to treat DMD, pamrevlumab (FG-3019) may face competition for some patients from Sarepta Therapeutics, Inc. (“Sarepta”), as well as PTC Therapeutics, Santhera Pharmaceuticals, Pfizer, Summit plc and Tivorsan Pharmaceuticals. Sarepta, has entered clinical development with therapeutics based on exon-skipping technology which seeks to help patients produce functioning forms of the dystrophin protein. There are multiple distinct mutations of the dystrophin gene that cause DMD and each exon skipping therapy targets only one specific mutation, treating only a subset of DMD patients. Sarepta is researching and developing clinical candidates for many of the specific mutations in the dystrophin gene. PTC Therapeutics’ product ataluren (Translarna</w:t>
      </w:r>
      <w:r>
        <w:rPr>
          <w:rFonts w:ascii="Arial" w:cs="Arial" w:eastAsia="Arial" w:hAnsi="Arial"/>
          <w:sz w:val="13"/>
          <w:szCs w:val="13"/>
          <w:color w:val="auto"/>
        </w:rPr>
        <w:t>TM</w:t>
      </w:r>
      <w:r>
        <w:rPr>
          <w:rFonts w:ascii="Arial" w:cs="Arial" w:eastAsia="Arial" w:hAnsi="Arial"/>
          <w:sz w:val="16"/>
          <w:szCs w:val="16"/>
          <w:color w:val="auto"/>
        </w:rPr>
        <w:t>) received conditional approval in Europe in 2014 and a Refuse to File letter from the FDA in March 2016. Translarna targets a different set of DMD patients from those being targeted Sarepta’s existing exon-skipping therapeutic candidates; however it is also limited to a subset of patients who carry a specific mutation. Conversely, pamrevlumab (FG-3019) and some other potential competitors are intended to treat DMD patients regardless of the specific mutation. Santhera Pharmaceuticals, for example, recently reported positive Phase 3 data with its drug idebenone (Raxone</w:t>
      </w:r>
      <w:r>
        <w:rPr>
          <w:rFonts w:ascii="Arial" w:cs="Arial" w:eastAsia="Arial" w:hAnsi="Arial"/>
          <w:sz w:val="13"/>
          <w:szCs w:val="13"/>
          <w:color w:val="auto"/>
        </w:rPr>
        <w:t>®</w:t>
      </w:r>
      <w:r>
        <w:rPr>
          <w:rFonts w:ascii="Arial" w:cs="Arial" w:eastAsia="Arial" w:hAnsi="Arial"/>
          <w:sz w:val="16"/>
          <w:szCs w:val="16"/>
          <w:color w:val="auto"/>
        </w:rPr>
        <w:t>/Catena</w:t>
      </w:r>
      <w:r>
        <w:rPr>
          <w:rFonts w:ascii="Arial" w:cs="Arial" w:eastAsia="Arial" w:hAnsi="Arial"/>
          <w:sz w:val="13"/>
          <w:szCs w:val="13"/>
          <w:color w:val="auto"/>
        </w:rPr>
        <w:t>®</w:t>
      </w:r>
      <w:r>
        <w:rPr>
          <w:rFonts w:ascii="Arial" w:cs="Arial" w:eastAsia="Arial" w:hAnsi="Arial"/>
          <w:sz w:val="16"/>
          <w:szCs w:val="16"/>
          <w:color w:val="auto"/>
        </w:rPr>
        <w:t>) in a trial measuring changes in lung function for DMD patients, however the FDA has asked for additional data from an ongoing trial prior to considering Raxone for approval. Previously the company had expected this additional trial to be confirmatory rather than necessary for submission. Separately, the EMEA has accepted Santhera’s filing for Raxone in DMD patients. Idebenone is a synthetic short-chain benzoquinone and a cofactor for the enzyme NAD(P)H:quinone oxidoreductase (NQO1).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Summit has completed a Phase 1b trial and started a Phase 2 study in the United Kingdom. Tivorsan is conducting preclinical work on their compound.</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(FG-3019). In addition, any competitive products that are on the market or in development may compete with pamrevlumab (FG-3019) for patient recruitment and enrollment for clinical trials or may force us to change our clinical trial comparators, whether placebo or active, in order to compare pamrevlumab (FG-3019) against another drug, which may be the new standard of care.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Even if we obtain marketing approval for roxadustat, pamrevlumab (FG-3019)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3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with our collaboration partners could jeopardize our collaboration agreements and our ability to commercialize product candidates.</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63" w:lineRule="exact"/>
        <w:rPr>
          <w:sz w:val="20"/>
          <w:szCs w:val="20"/>
          <w:color w:val="auto"/>
        </w:rPr>
      </w:pPr>
    </w:p>
    <w:p>
      <w:pPr>
        <w:ind w:left="1040" w:right="3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The effects of this change and other elements of the AIA are currently unclear, as the U.S.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15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(FG-3019). Any litigation involving defense against claims of infringement, regardless of the merit of such claims, would involve substantial litigation expense and would be a substantial diversion of management time.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intend, if necessary, to vigorously enforce our intellectual property in order to protect the proprietary position of our product candidates, including roxadustat and pamrevlumab (FG-3019).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6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In March 2016, the opposition division of the European Patent Office decided against FibroGen, revoking the patent as granted. FibroGen has appealed this decision, and the ’823 patent is currently valid and enforceable pending resolution on appeal. While we believe we will be successful on appeal, and while loss of the ’823 patent would not affect our exclusivity for roxadustat or our freedom-to-operate with respect to use of roxadustat for the treatment of anemia, the ultimate outcome of the proceeding remains uncertain and ultimate resolution may take an additional 4 to 5 years and result in substantial costs to us. In addition, on June 30, 2016, GlaxoSmithKline LLC filed with the U.S. Patent and Trademark Office petitions for inter partes review of certain FibroGen patents (U.S. Patent Nos. 8,466,172; 8,614,204; 8,629,131; 8,604,012; 8,609,646; and 8,604,013). Inter partes review is a process through which a third party can challenge the validity of an issued U.S. patent. While we believe our patents will withstand challenge and be maintained in all relevant part, the outcome of such proceedings is unpredictable. However, even in the case that these patents are revoked in their entirety, FibroGen will retain exclusivity and freedom-to-operate for roxadustat.</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100" w:hanging="519"/>
        <w:spacing w:after="0" w:line="31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(FG-3019),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1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7" w:lineRule="exact"/>
        <w:rPr>
          <w:sz w:val="20"/>
          <w:szCs w:val="20"/>
          <w:color w:val="auto"/>
        </w:rPr>
      </w:pPr>
    </w:p>
    <w:p>
      <w:pPr>
        <w:ind w:left="1040" w:right="2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8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1040" w:hanging="519"/>
        <w:spacing w:after="0" w:line="29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conduct, or contract others to conduct, animal testing in the future, which could harm our research and development activities.</w:t>
      </w:r>
    </w:p>
    <w:p>
      <w:pPr>
        <w:spacing w:after="0" w:line="1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Patients’ use of traditional Chinese medicine in violation of study protocols in our China studies may lead the China Food and Drug Administration (“CFDA”) and regulators in other jurisdictions in which we are seeking approval to suspend our studies, reject our study data and withhold approval for roxadustat.</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300"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b w:val="1"/>
          <w:bCs w:val="1"/>
          <w:i w:val="1"/>
          <w:iCs w:val="1"/>
          <w:color w:val="auto"/>
        </w:rPr>
        <w:t>We are planning on using our own manufacturing facility in China to produce roxadustat drug product, and possibly API, and FG-5200 for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2014, we recently received a Pharmaceutical Production Permit (“PPP”) for our facility in China in which we intend to manufacture roxadustat. The PPP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subsidiaries, FibroGen China Anemia Holdings, Ltd. and FibroGen (China) Medical Technology Development Co., Ltd. (individually or collectively referred to as “FibroGen China”), plan to seek approval for roxadustat in China as a Domestic Class 1.1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there are new and evolving environmental and manufacturing regulations in China. The application thereof may impact our API manufacturing location or strategy. We may be required to move our API manufacturing to another facility that we must build outside of Beijing, which could adversely affect the cost or, potentially, the timeline of our commercial manufacturing plan and timing of our commercialization in China. However, in May 2016, China announced implementation of a three-year pilot program for the Marketing Authorization Holder System (“MAH”) in certain piloted regions. We are considering applying to participate in this program, and if accepted, we may be able to outsource drug product or API manufacturing to third parties while retaining the manufacturing license.</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Even if roxadustat is approved in China, it will face intense competition in the market for treatments of anemia in CKD. Roxadustat would compete with ESAs, which are offered by established multinational pharmaceutical companies such as Kyowa Hakko Kirin Brewery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Regulation — Regulation in China</w:t>
      </w:r>
      <w:r>
        <w:rPr>
          <w:rFonts w:ascii="Arial" w:cs="Arial" w:eastAsia="Arial" w:hAnsi="Arial"/>
          <w:sz w:val="16"/>
          <w:szCs w:val="16"/>
          <w:color w:val="auto"/>
        </w:rPr>
        <w:t>.” We believe that the inclusion of a drug in the Medical Insurance Catalogs can substantially improve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not yet received a license to manufacture FG-5200 in our China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conduct all of our business in China through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2016, approximately $9.0 million of our cash and cash equivalents is held in China.</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currently have at least 5 granted patents relating to roxadustat in China. Refer to “</w:t>
      </w:r>
      <w:r>
        <w:rPr>
          <w:rFonts w:ascii="Arial" w:cs="Arial" w:eastAsia="Arial" w:hAnsi="Arial"/>
          <w:sz w:val="17"/>
          <w:szCs w:val="17"/>
          <w:i w:val="1"/>
          <w:iCs w:val="1"/>
          <w:color w:val="auto"/>
        </w:rPr>
        <w:t>Business — Intellectual Property</w:t>
      </w:r>
      <w:r>
        <w:rPr>
          <w:rFonts w:ascii="Arial" w:cs="Arial" w:eastAsia="Arial" w:hAnsi="Arial"/>
          <w:sz w:val="17"/>
          <w:szCs w:val="17"/>
          <w:color w:val="auto"/>
        </w:rPr>
        <w:t>.”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 relating to the United Kingdom’s referendum vote in favor of leaving the European Union could adversely affect us.*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Any such successful attacks could result in the theft of intellectual property or other misappropriation of assets, or otherwise compromise our confidential or proprietary information and disrupt our operations. Cyber-attacks are becoming more sophisticated and frequent. We have invested in our systems and the protection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30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 and are unlikely to prove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 (FG-3019);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July 31, 2016, our executive officers, directors and principal stockholders, together with their respective affiliates, owned approximately 25.40%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July 31, 2016.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particularly now that we are no longer an “emerging growth company”.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required to comply with the SEC’s rules that implement Section 404 of the Sarbanes-Oxley Act (“Section 404”), which include the disclosure of any material weaknesses in our internal control over financial reporting identified by our management or our independent registered public accounting firm. In addition, we are required to have our independent registered public accounting firm attest to the effectiveness of our internal control over financial reporting. To achieve compliance with Section 404, we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(“NOLs”) to offset future taxable income may be subject to certain limitations.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general, under Section 382 of the Internal Revenue Code of 1986, as amended (“Code”), a corporation that undergoes an “ownership change” is subject to limitations on its ability to utilize its pre-change NOL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Arial" w:cs="Arial" w:eastAsia="Arial" w:hAnsi="Arial"/>
          <w:sz w:val="17"/>
          <w:szCs w:val="17"/>
          <w:i w:val="1"/>
          <w:iCs w:val="1"/>
          <w:color w:val="auto"/>
        </w:rPr>
        <w:t>Risks Related to Our Financial Condition and History of Operating Losses</w:t>
      </w:r>
      <w:r>
        <w:rPr>
          <w:rFonts w:ascii="Arial" w:cs="Arial" w:eastAsia="Arial" w:hAnsi="Arial"/>
          <w:sz w:val="17"/>
          <w:szCs w:val="17"/>
          <w:color w:val="auto"/>
        </w:rPr>
        <w:t>,” we have incurred significant net losses since our inception and anticipate that we will continue to incur significant losses for the foreseeable future; thus, we do not know whether or when we will generate the U.S. federal or state taxable income necessary to utilize our NOLs or credits. A full valuation allowance has been provided for all of our NOLs and credits.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U.S.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on the accompanying Exhibit Index are filed or incorporated by reference (as stated therein) as part of this Quarterly Report on From 10-Q.</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FibroGen, Inc.</w:t>
            </w:r>
          </w:p>
        </w:tc>
        <w:tc>
          <w:tcPr>
            <w:tcW w:w="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640" w:type="dxa"/>
            <w:vAlign w:val="bottom"/>
          </w:tcPr>
          <w:p>
            <w:pPr>
              <w:spacing w:after="0"/>
              <w:rPr>
                <w:sz w:val="20"/>
                <w:szCs w:val="20"/>
                <w:color w:val="auto"/>
              </w:rPr>
            </w:pPr>
            <w:r>
              <w:rPr>
                <w:rFonts w:ascii="Arial" w:cs="Arial" w:eastAsia="Arial" w:hAnsi="Arial"/>
                <w:sz w:val="18"/>
                <w:szCs w:val="18"/>
                <w:color w:val="auto"/>
              </w:rPr>
              <w:t>Dated: August 8, 2016</w:t>
            </w:r>
          </w:p>
        </w:tc>
        <w:tc>
          <w:tcPr>
            <w:tcW w:w="292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By: /s/ Thomas B. Neff</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B. Neff</w:t>
            </w:r>
          </w:p>
        </w:tc>
        <w:tc>
          <w:tcPr>
            <w:tcW w:w="2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3640" w:type="dxa"/>
            <w:vAlign w:val="bottom"/>
          </w:tcPr>
          <w:p>
            <w:pPr>
              <w:spacing w:after="0"/>
              <w:rPr>
                <w:sz w:val="20"/>
                <w:szCs w:val="20"/>
                <w:color w:val="auto"/>
              </w:rPr>
            </w:pPr>
            <w:r>
              <w:rPr>
                <w:rFonts w:ascii="Arial" w:cs="Arial" w:eastAsia="Arial" w:hAnsi="Arial"/>
                <w:sz w:val="18"/>
                <w:szCs w:val="18"/>
                <w:color w:val="auto"/>
              </w:rPr>
              <w:t>Dated: August 8, 2016</w:t>
            </w:r>
          </w:p>
        </w:tc>
        <w:tc>
          <w:tcPr>
            <w:tcW w:w="292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By: /s/ Pat Cotroneo</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Pat Cotroneo</w:t>
            </w:r>
          </w:p>
        </w:tc>
        <w:tc>
          <w:tcPr>
            <w:tcW w:w="2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Vice President, Finance and Chief Financial Officer</w:t>
            </w:r>
          </w:p>
        </w:tc>
        <w:tc>
          <w:tcPr>
            <w:tcW w:w="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 w:type="dxa"/>
            <w:vAlign w:val="bottom"/>
          </w:tcPr>
          <w:p>
            <w:pPr>
              <w:spacing w:after="0"/>
              <w:rPr>
                <w:sz w:val="20"/>
                <w:szCs w:val="20"/>
                <w:color w:val="auto"/>
              </w:rPr>
            </w:pPr>
          </w:p>
        </w:tc>
      </w:tr>
      <w:tr>
        <w:trPr>
          <w:trHeight w:val="864"/>
        </w:trPr>
        <w:tc>
          <w:tcPr>
            <w:tcW w:w="3640" w:type="dxa"/>
            <w:vAlign w:val="bottom"/>
          </w:tcPr>
          <w:p>
            <w:pPr>
              <w:spacing w:after="0"/>
              <w:rPr>
                <w:sz w:val="24"/>
                <w:szCs w:val="24"/>
                <w:color w:val="auto"/>
              </w:rPr>
            </w:pPr>
          </w:p>
        </w:tc>
        <w:tc>
          <w:tcPr>
            <w:tcW w:w="2920" w:type="dxa"/>
            <w:vAlign w:val="bottom"/>
          </w:tcPr>
          <w:p>
            <w:pPr>
              <w:jc w:val="right"/>
              <w:ind w:right="67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0"/>
                <w:szCs w:val="20"/>
                <w:color w:val="auto"/>
              </w:rPr>
            </w:pPr>
          </w:p>
        </w:tc>
        <w:tc>
          <w:tcPr>
            <w:tcW w:w="5220" w:type="dxa"/>
            <w:vAlign w:val="bottom"/>
          </w:tcPr>
          <w:p>
            <w:pPr>
              <w:jc w:val="center"/>
              <w:ind w:left="3219"/>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22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8"/>
                <w:szCs w:val="18"/>
                <w:color w:val="auto"/>
              </w:rPr>
              <w:t>3.1</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5"/>
              </w:rPr>
              <w:t>Amended and Restated Certificate of Incorporation of FibroGen, Inc.</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 of FibroGen, Inc.</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1"/>
              </w:rPr>
              <w:t>Investor Rights Agreement by and among FibroGen, Inc. and certain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its stockholders, dated as of December 1995.</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1"/>
              </w:rPr>
              <w:t>Investor Rights Agreement by and among FibroGen, Inc. and certain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its stockholders, dated as of February 20, 1998.</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4.4</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1"/>
              </w:rPr>
              <w:t>Investor Rights Agreement by and among FibroGen, Inc. and certain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its warrant holders, dated as of June 3, 1999.</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1"/>
              </w:rPr>
              <w:t>Investor Rights Agreement by and among FibroGen, Inc. and certain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its warrant holders, dated as of February 8, 2000.</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89"/>
              </w:rPr>
              <w:t>Warrant to Purchase 4,000 Shares of Common Stock issued to Laurence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4"/>
              </w:rPr>
              <w:t>S. Shushan and Magdalena Shushan, Trustees of The Laurence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Magdalena Shushan Family Trust, dated as of June 3, 1999.</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4.7</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0"/>
              </w:rPr>
              <w:t>Warrant to Purchase 11,076 Shares of Common Stock issued to Bristow</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Investments, L.P, dated as of February 8, 2000.</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4.8</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89"/>
              </w:rPr>
              <w:t>Warrant to Purchase 2,769 Shares of Common Stock issued to Laurence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4"/>
              </w:rPr>
              <w:t>S. Shushan and Magdalena Shushan, Trustees of The Laurence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Magdalena Shushan Family Trust, dated as of February 8, 2000.</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4.9</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9"/>
              </w:rPr>
              <w:t>Shareholders’ Agreement by and among FibroGen China Anemia</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0"/>
              </w:rPr>
              <w:t>Holdings, Ltd. and certain of its shareholders, dated as of July 11, 2012.</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4.10</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6"/>
              </w:rPr>
              <w:t>Share Purchase Agreement by and among FibroGen China Anemia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6"/>
              </w:rPr>
              <w:t>Holdings, Ltd. and the purchasers party thereto, dated as of July 11,</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45"/>
        </w:trPr>
        <w:tc>
          <w:tcPr>
            <w:tcW w:w="1360" w:type="dxa"/>
            <w:vAlign w:val="bottom"/>
          </w:tcPr>
          <w:p>
            <w:pPr>
              <w:spacing w:after="0"/>
              <w:rPr>
                <w:sz w:val="20"/>
                <w:szCs w:val="20"/>
                <w:color w:val="auto"/>
              </w:rPr>
            </w:pPr>
            <w:r>
              <w:rPr>
                <w:rFonts w:ascii="Arial" w:cs="Arial" w:eastAsia="Arial" w:hAnsi="Arial"/>
                <w:sz w:val="18"/>
                <w:szCs w:val="18"/>
                <w:color w:val="auto"/>
              </w:rPr>
              <w:t>4.11</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4"/>
              </w:rPr>
              <w:t>Common Stock Purchase Agreement by and between FibroGen, Inc.</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and AstraZeneca AB, dated as of October 20, 2014.</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Incentive Compensation Plan, effective as of June 8, 2016</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10.26(xxv)*†</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5"/>
              </w:rPr>
              <w:t>Amendment No. 22 to the Process Development and Clinical Supply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4"/>
              </w:rPr>
              <w:t>Agreement, by and between the Company and Boehringer Ingelheim</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Biopharmaceuticals GmbH, effective as of April 14, 2016.</w:t>
            </w: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10.26(xxvi)*†</w:t>
            </w: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5"/>
              </w:rPr>
              <w:t>Amendment No. 24 to the Process Development and Clinical Supply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4"/>
              </w:rPr>
              <w:t>Agreement, by and between the Company and Boehringer Ingelheim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w w:val="92"/>
              </w:rPr>
              <w:t>Biopharmaceuticals GmbH, retroactively effective as of September 15,</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567"/>
        </w:trPr>
        <w:tc>
          <w:tcPr>
            <w:tcW w:w="1360" w:type="dxa"/>
            <w:vAlign w:val="bottom"/>
          </w:tcPr>
          <w:p>
            <w:pPr>
              <w:spacing w:after="0"/>
              <w:rPr>
                <w:sz w:val="24"/>
                <w:szCs w:val="24"/>
                <w:color w:val="auto"/>
              </w:rPr>
            </w:pPr>
          </w:p>
        </w:tc>
        <w:tc>
          <w:tcPr>
            <w:tcW w:w="5320" w:type="dxa"/>
            <w:vAlign w:val="bottom"/>
            <w:gridSpan w:val="2"/>
          </w:tcPr>
          <w:p>
            <w:pPr>
              <w:jc w:val="right"/>
              <w:ind w:right="799"/>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Form</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Exhibit</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58"/>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6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6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6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79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79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89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81"/>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6/10/2016</w:t>
            </w:r>
          </w:p>
        </w:tc>
      </w:tr>
      <w:tr>
        <w:trPr>
          <w:trHeight w:val="365"/>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97"/>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680" w:space="80"/>
            <w:col w:w="4660"/>
          </w:cols>
          <w:pgMar w:left="240" w:top="125"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5200" w:type="dxa"/>
            <w:vAlign w:val="bottom"/>
          </w:tcPr>
          <w:p>
            <w:pPr>
              <w:spacing w:after="0"/>
              <w:rPr>
                <w:sz w:val="17"/>
                <w:szCs w:val="17"/>
                <w:color w:val="auto"/>
              </w:rPr>
            </w:pPr>
          </w:p>
        </w:tc>
      </w:tr>
      <w:tr>
        <w:trPr>
          <w:trHeight w:val="236"/>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10.26(xxvii)*†</w:t>
            </w: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3"/>
              </w:rPr>
              <w:t>Amendment No. 25 to the Process Development and Clinical Supply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3"/>
              </w:rPr>
              <w:t>Agreement, by and between the Company and Boehringer Ingelheim</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5"/>
              </w:rPr>
              <w:t>Biopharmaceuticals GmbH, retroactively effective as of October 15,</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2015.</w:t>
            </w:r>
          </w:p>
        </w:tc>
      </w:tr>
      <w:tr>
        <w:trPr>
          <w:trHeight w:val="350"/>
        </w:trPr>
        <w:tc>
          <w:tcPr>
            <w:tcW w:w="1380" w:type="dxa"/>
            <w:vAlign w:val="bottom"/>
            <w:gridSpan w:val="2"/>
          </w:tcPr>
          <w:p>
            <w:pPr>
              <w:spacing w:after="0"/>
              <w:rPr>
                <w:sz w:val="20"/>
                <w:szCs w:val="20"/>
                <w:color w:val="auto"/>
              </w:rPr>
            </w:pPr>
            <w:r>
              <w:rPr>
                <w:rFonts w:ascii="Arial" w:cs="Arial" w:eastAsia="Arial" w:hAnsi="Arial"/>
                <w:sz w:val="18"/>
                <w:szCs w:val="18"/>
                <w:color w:val="auto"/>
              </w:rPr>
              <w:t>10.26(xxviii)*†</w:t>
            </w:r>
          </w:p>
        </w:tc>
        <w:tc>
          <w:tcPr>
            <w:tcW w:w="5200" w:type="dxa"/>
            <w:vAlign w:val="bottom"/>
          </w:tcPr>
          <w:p>
            <w:pPr>
              <w:ind w:left="80"/>
              <w:spacing w:after="0"/>
              <w:rPr>
                <w:sz w:val="20"/>
                <w:szCs w:val="20"/>
                <w:color w:val="auto"/>
              </w:rPr>
            </w:pPr>
            <w:r>
              <w:rPr>
                <w:rFonts w:ascii="Arial" w:cs="Arial" w:eastAsia="Arial" w:hAnsi="Arial"/>
                <w:sz w:val="18"/>
                <w:szCs w:val="18"/>
                <w:color w:val="auto"/>
                <w:w w:val="93"/>
              </w:rPr>
              <w:t>Amendment No. 26 to the Process Development and Clinical Supply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3"/>
              </w:rPr>
              <w:t>Agreement, by and between the Company and Boehringer Ingelheim</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Biopharmaceuticals GmbH, effective as of June 30, 2016.</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2"/>
              </w:rPr>
              <w:t>Certification of Chief Executive Officer, as required by Rule 13a-14(a)</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or Rule 15d-14(a).</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as required by Rule 13a-14(a)</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or Rule 15d-14(a).</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8"/>
              </w:rPr>
              <w:t>Certification of Principal Executive Officer and Principal Financial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3"/>
              </w:rPr>
              <w:t>Officer, as required by Rule 13a-14(b) or Rule 15d-14(b) and Section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4"/>
              </w:rPr>
              <w:t>1350 of Chapter 63 of Title 18 of the United States Code (18 U.S.C.</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§1350)(1).</w:t>
            </w: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6"/>
              </w:rPr>
              <w:t>Financial statements from the quarterly report on Form 10-Q of the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w w:val="95"/>
              </w:rPr>
              <w:t>Company for the quarter ended June 30, 2016, formatted in XBRL:</w:t>
            </w:r>
          </w:p>
        </w:tc>
      </w:tr>
    </w:tbl>
    <w:p>
      <w:pPr>
        <w:ind w:left="1460" w:right="180" w:firstLine="7"/>
        <w:spacing w:after="0" w:line="271" w:lineRule="auto"/>
        <w:tabs>
          <w:tab w:leader="none" w:pos="1675"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20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58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1013"/>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797"/>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581"/>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581"/>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r>
        <w:trPr>
          <w:trHeight w:val="1013"/>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11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r>
    </w:tbl>
    <w:p>
      <w:pPr>
        <w:sectPr>
          <w:pgSz w:w="11900" w:h="16838" w:orient="portrait"/>
          <w:cols w:equalWidth="0" w:num="2">
            <w:col w:w="6580" w:space="640"/>
            <w:col w:w="3720"/>
          </w:cols>
          <w:pgMar w:left="240" w:top="108" w:right="719" w:bottom="1440" w:gutter="0" w:footer="0" w:header="0"/>
        </w:sectPr>
      </w:pPr>
    </w:p>
    <w:bookmarkStart w:id="72" w:name="page73"/>
    <w:bookmarkEnd w:id="72"/>
    <w:p>
      <w:pPr>
        <w:ind w:firstLine="8"/>
        <w:spacing w:after="0" w:line="282"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22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22 </w:t>
      </w:r>
      <w:r>
        <w:rPr>
          <w:rFonts w:ascii="Arial" w:cs="Arial" w:eastAsia="Arial" w:hAnsi="Arial"/>
          <w:sz w:val="17"/>
          <w:szCs w:val="17"/>
          <w:color w:val="auto"/>
        </w:rPr>
        <w:t>(the “Twenty-second Amendment”), effective as of April 14, 2016 (the “Twenty-second Amendment Effective Date”) by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w:t>
      </w:r>
      <w:r>
        <w:rPr>
          <w:rFonts w:ascii="Arial" w:cs="Arial" w:eastAsia="Arial" w:hAnsi="Arial"/>
          <w:sz w:val="17"/>
          <w:szCs w:val="17"/>
          <w:b w:val="1"/>
          <w:bCs w:val="1"/>
          <w:color w:val="auto"/>
        </w:rPr>
        <w:t>Boehringer Ingelheim Biopharmaceuticals GmbH</w:t>
      </w:r>
      <w:r>
        <w:rPr>
          <w:rFonts w:ascii="Arial" w:cs="Arial" w:eastAsia="Arial" w:hAnsi="Arial"/>
          <w:sz w:val="17"/>
          <w:szCs w:val="17"/>
          <w:color w:val="auto"/>
        </w:rPr>
        <w:t xml:space="preserve">, Binger Str. 173, 55216 Ingelheim, Germany (“BI”) and </w:t>
      </w:r>
      <w:r>
        <w:rPr>
          <w:rFonts w:ascii="Arial" w:cs="Arial" w:eastAsia="Arial" w:hAnsi="Arial"/>
          <w:sz w:val="17"/>
          <w:szCs w:val="17"/>
          <w:b w:val="1"/>
          <w:bCs w:val="1"/>
          <w:color w:val="auto"/>
        </w:rPr>
        <w:t>FibroGen, Inc.</w:t>
      </w:r>
      <w:r>
        <w:rPr>
          <w:rFonts w:ascii="Arial" w:cs="Arial" w:eastAsia="Arial" w:hAnsi="Arial"/>
          <w:sz w:val="17"/>
          <w:szCs w:val="17"/>
          <w:color w:val="auto"/>
        </w:rPr>
        <w:t>, 409 Illinois Street, San Francisco, CA 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and Amendment No. 21, effective as of May 29, 2015 (hereinafter together the “Supply Agreement”). BI and FibroGen shall be referred to individually herein as a “Party”, and collectively as the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wishes BI from time to time to [*] in compliance with the terms of the Supply Agreement;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the Parties wish to agree on additional provisions for the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820" w:right="2220" w:hanging="420"/>
        <w:spacing w:after="0" w:line="501" w:lineRule="auto"/>
        <w:tabs>
          <w:tab w:leader="none" w:pos="7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Parties agree that Section 2.5. of the Supply Agreement shall be amended as follows (changes written in italics): “2.5. Additional Work</w:t>
      </w:r>
    </w:p>
    <w:p>
      <w:pPr>
        <w:ind w:left="1580" w:right="120" w:hanging="770"/>
        <w:spacing w:after="0" w:line="286" w:lineRule="auto"/>
        <w:rPr>
          <w:rFonts w:ascii="Arial" w:cs="Arial" w:eastAsia="Arial" w:hAnsi="Arial"/>
          <w:sz w:val="18"/>
          <w:szCs w:val="18"/>
          <w:color w:val="auto"/>
        </w:rPr>
      </w:pPr>
      <w:r>
        <w:rPr>
          <w:rFonts w:ascii="Arial" w:cs="Arial" w:eastAsia="Arial" w:hAnsi="Arial"/>
          <w:sz w:val="18"/>
          <w:szCs w:val="18"/>
          <w:i w:val="1"/>
          <w:iCs w:val="1"/>
          <w:color w:val="auto"/>
        </w:rPr>
        <w:t>2.5.1.</w:t>
      </w:r>
      <w:r>
        <w:rPr>
          <w:rFonts w:ascii="Arial" w:cs="Arial" w:eastAsia="Arial" w:hAnsi="Arial"/>
          <w:sz w:val="17"/>
          <w:szCs w:val="17"/>
          <w:i w:val="1"/>
          <w:iCs w:val="1"/>
          <w:u w:val="single" w:color="auto"/>
          <w:color w:val="auto"/>
        </w:rPr>
        <w:t>Ordering of Services other than Manufacturing Campaigns</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 xml:space="preserve"> </w:t>
      </w:r>
      <w:r>
        <w:rPr>
          <w:rFonts w:ascii="Arial" w:cs="Arial" w:eastAsia="Arial" w:hAnsi="Arial"/>
          <w:sz w:val="17"/>
          <w:szCs w:val="17"/>
          <w:color w:val="auto"/>
        </w:rPr>
        <w:t>In case that the Parties agree on additional work for the benefit of the</w:t>
      </w:r>
      <w:r>
        <w:rPr>
          <w:rFonts w:ascii="Arial" w:cs="Arial" w:eastAsia="Arial" w:hAnsi="Arial"/>
          <w:sz w:val="17"/>
          <w:szCs w:val="17"/>
          <w:i w:val="1"/>
          <w:iCs w:val="1"/>
          <w:u w:val="single" w:color="auto"/>
          <w:color w:val="auto"/>
        </w:rPr>
        <w:t xml:space="preserve"> </w:t>
      </w:r>
      <w:r>
        <w:rPr>
          <w:rFonts w:ascii="Arial" w:cs="Arial" w:eastAsia="Arial" w:hAnsi="Arial"/>
          <w:sz w:val="17"/>
          <w:szCs w:val="17"/>
          <w:color w:val="auto"/>
        </w:rPr>
        <w:t>Project, BI shall perform such additional work to sustain the progress of the Project on conditions in terms of money, time and scope to be subject to mutual written agreement of the Parties hereto and defined in an amendment to the Project Plan.</w:t>
      </w:r>
    </w:p>
    <w:p>
      <w:pPr>
        <w:spacing w:after="0" w:line="166" w:lineRule="exact"/>
        <w:rPr>
          <w:sz w:val="20"/>
          <w:szCs w:val="20"/>
          <w:color w:val="auto"/>
        </w:rPr>
      </w:pPr>
    </w:p>
    <w:p>
      <w:pPr>
        <w:ind w:left="1580" w:right="240" w:hanging="782"/>
        <w:spacing w:after="0" w:line="264" w:lineRule="auto"/>
        <w:tabs>
          <w:tab w:leader="none" w:pos="1560" w:val="left"/>
        </w:tabs>
        <w:rPr>
          <w:sz w:val="20"/>
          <w:szCs w:val="20"/>
          <w:color w:val="auto"/>
        </w:rPr>
      </w:pPr>
      <w:r>
        <w:rPr>
          <w:rFonts w:ascii="Arial" w:cs="Arial" w:eastAsia="Arial" w:hAnsi="Arial"/>
          <w:sz w:val="18"/>
          <w:szCs w:val="18"/>
          <w:i w:val="1"/>
          <w:iCs w:val="1"/>
          <w:color w:val="auto"/>
        </w:rPr>
        <w:t>2.5.2.</w:t>
      </w:r>
      <w:r>
        <w:rPr>
          <w:sz w:val="20"/>
          <w:szCs w:val="20"/>
          <w:color w:val="auto"/>
        </w:rPr>
        <w:tab/>
      </w:r>
      <w:r>
        <w:rPr>
          <w:rFonts w:ascii="Arial" w:cs="Arial" w:eastAsia="Arial" w:hAnsi="Arial"/>
          <w:sz w:val="18"/>
          <w:szCs w:val="18"/>
          <w:i w:val="1"/>
          <w:iCs w:val="1"/>
          <w:u w:val="single" w:color="auto"/>
          <w:color w:val="auto"/>
        </w:rPr>
        <w:t xml:space="preserve">Ordering of Manufacturing Campaigns. </w:t>
      </w:r>
      <w:r>
        <w:rPr>
          <w:rFonts w:ascii="Arial" w:cs="Arial" w:eastAsia="Arial" w:hAnsi="Arial"/>
          <w:sz w:val="18"/>
          <w:szCs w:val="18"/>
          <w:i w:val="1"/>
          <w:iCs w:val="1"/>
          <w:color w:val="auto"/>
        </w:rPr>
        <w:t>In order to allow BI to manage the multi-use facility efficiently, FIBROGEN shall provide BI</w:t>
      </w:r>
      <w:r>
        <w:rPr>
          <w:rFonts w:ascii="Arial" w:cs="Arial" w:eastAsia="Arial" w:hAnsi="Arial"/>
          <w:sz w:val="18"/>
          <w:szCs w:val="18"/>
          <w:i w:val="1"/>
          <w:iCs w:val="1"/>
          <w:u w:val="single" w:color="auto"/>
          <w:color w:val="auto"/>
        </w:rPr>
        <w:t xml:space="preserve"> </w:t>
      </w:r>
      <w:r>
        <w:rPr>
          <w:rFonts w:ascii="Arial" w:cs="Arial" w:eastAsia="Arial" w:hAnsi="Arial"/>
          <w:sz w:val="18"/>
          <w:szCs w:val="18"/>
          <w:i w:val="1"/>
          <w:iCs w:val="1"/>
          <w:color w:val="auto"/>
        </w:rPr>
        <w:t xml:space="preserve">with a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forecast for the scheduling of Manufacturing Campaigns for Product (be it bulk drug substance or drug product in final dosage form) according to the following forecasting procedure:</w:t>
      </w:r>
    </w:p>
    <w:p>
      <w:pPr>
        <w:spacing w:after="0" w:line="181" w:lineRule="exact"/>
        <w:rPr>
          <w:sz w:val="20"/>
          <w:szCs w:val="20"/>
          <w:color w:val="auto"/>
        </w:rPr>
      </w:pPr>
    </w:p>
    <w:p>
      <w:pPr>
        <w:ind w:left="1980" w:hanging="392"/>
        <w:spacing w:after="0"/>
        <w:tabs>
          <w:tab w:leader="none" w:pos="1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orecasting Procedure for bulk drug substance and drug product</w:t>
      </w:r>
    </w:p>
    <w:p>
      <w:pPr>
        <w:spacing w:after="0" w:line="225" w:lineRule="exact"/>
        <w:rPr>
          <w:sz w:val="20"/>
          <w:szCs w:val="20"/>
          <w:color w:val="auto"/>
        </w:rPr>
      </w:pPr>
    </w:p>
    <w:p>
      <w:pPr>
        <w:ind w:left="2080" w:right="80"/>
        <w:spacing w:after="0" w:line="259" w:lineRule="auto"/>
        <w:rPr>
          <w:sz w:val="20"/>
          <w:szCs w:val="20"/>
          <w:color w:val="auto"/>
        </w:rPr>
      </w:pPr>
      <w:r>
        <w:rPr>
          <w:rFonts w:ascii="Arial" w:cs="Arial" w:eastAsia="Arial" w:hAnsi="Arial"/>
          <w:sz w:val="18"/>
          <w:szCs w:val="18"/>
          <w:i w:val="1"/>
          <w:iCs w:val="1"/>
          <w:color w:val="auto"/>
        </w:rPr>
        <w:t xml:space="preserve">Starting in 2016, by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of each calendar year during the term of this Definitive Agreement, FIBROGEN shall provide BI with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months forecast of FIBROGEN’s requirement for bulk drug substance and drug product in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(the “Detailed Forecast Schedule”)]. For each calendar year, the forecast by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shall commence on the upcoming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forecast by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shall commence on the upcoming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FIBROGEN shall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 xml:space="preserve">The Parties agree that such Detailed Forecast Schedule is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right="20" w:firstLine="8"/>
        <w:spacing w:after="0" w:line="282" w:lineRule="auto"/>
        <w:tabs>
          <w:tab w:leader="none" w:pos="26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w:t>
      </w:r>
    </w:p>
    <w:p>
      <w:pPr>
        <w:spacing w:after="0" w:line="337" w:lineRule="exact"/>
        <w:rPr>
          <w:sz w:val="20"/>
          <w:szCs w:val="20"/>
          <w:color w:val="auto"/>
        </w:rPr>
      </w:pPr>
    </w:p>
    <w:p>
      <w:pPr>
        <w:ind w:left="1880" w:hanging="392"/>
        <w:spacing w:after="0"/>
        <w:tabs>
          <w:tab w:leader="none" w:pos="188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Ordering of Manufacturing Campaigns</w:t>
      </w:r>
    </w:p>
    <w:p>
      <w:pPr>
        <w:spacing w:after="0" w:line="225" w:lineRule="exact"/>
        <w:rPr>
          <w:rFonts w:ascii="Arial" w:cs="Arial" w:eastAsia="Arial" w:hAnsi="Arial"/>
          <w:sz w:val="18"/>
          <w:szCs w:val="18"/>
          <w:i w:val="1"/>
          <w:iCs w:val="1"/>
          <w:color w:val="auto"/>
        </w:rPr>
      </w:pPr>
    </w:p>
    <w:p>
      <w:pPr>
        <w:ind w:left="1900" w:right="660" w:firstLine="3"/>
        <w:spacing w:after="0" w:line="264" w:lineRule="auto"/>
        <w:tabs>
          <w:tab w:leader="none" w:pos="2245" w:val="left"/>
        </w:tabs>
        <w:numPr>
          <w:ilvl w:val="1"/>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Parties acknowledge and agree that (i) the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(including those included in the then relevant Detailed Forecast Schedule) will be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and (ii) FIBROGEN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and BI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FIBROGEN shall always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For the purpose of this Definitive Agreement the term “Manufacturing Campaign(s)” shall mean,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1" w:lineRule="exact"/>
        <w:rPr>
          <w:rFonts w:ascii="Arial" w:cs="Arial" w:eastAsia="Arial" w:hAnsi="Arial"/>
          <w:sz w:val="18"/>
          <w:szCs w:val="18"/>
          <w:i w:val="1"/>
          <w:iCs w:val="1"/>
          <w:color w:val="auto"/>
        </w:rPr>
      </w:pPr>
    </w:p>
    <w:p>
      <w:pPr>
        <w:ind w:left="1900" w:right="260" w:firstLine="3"/>
        <w:spacing w:after="0" w:line="264" w:lineRule="auto"/>
        <w:tabs>
          <w:tab w:leader="none" w:pos="2245" w:val="left"/>
        </w:tabs>
        <w:numPr>
          <w:ilvl w:val="1"/>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Subject to the foregoing Section (aa), FIBROGEN shall use reasonable endevours to communicate its desire to add one or more further Manufacturing Campaigns for the manufacture of Product to the Project Plan with reasonable advance notice, however, not less than</w:t>
      </w:r>
    </w:p>
    <w:p>
      <w:pPr>
        <w:spacing w:after="0" w:line="181" w:lineRule="exact"/>
        <w:rPr>
          <w:rFonts w:ascii="Arial" w:cs="Arial" w:eastAsia="Arial" w:hAnsi="Arial"/>
          <w:sz w:val="18"/>
          <w:szCs w:val="18"/>
          <w:i w:val="1"/>
          <w:iCs w:val="1"/>
          <w:color w:val="auto"/>
        </w:rPr>
      </w:pPr>
    </w:p>
    <w:p>
      <w:pPr>
        <w:ind w:left="3080" w:hanging="795"/>
        <w:spacing w:after="0"/>
        <w:tabs>
          <w:tab w:leader="none" w:pos="3080" w:val="left"/>
        </w:tabs>
        <w:numPr>
          <w:ilvl w:val="2"/>
          <w:numId w:val="4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and</w:t>
      </w:r>
    </w:p>
    <w:p>
      <w:pPr>
        <w:spacing w:after="0" w:line="225" w:lineRule="exact"/>
        <w:rPr>
          <w:rFonts w:ascii="Arial" w:cs="Arial" w:eastAsia="Arial" w:hAnsi="Arial"/>
          <w:sz w:val="18"/>
          <w:szCs w:val="18"/>
          <w:i w:val="1"/>
          <w:iCs w:val="1"/>
          <w:color w:val="auto"/>
        </w:rPr>
      </w:pPr>
    </w:p>
    <w:p>
      <w:pPr>
        <w:ind w:left="3080" w:hanging="795"/>
        <w:spacing w:after="0"/>
        <w:tabs>
          <w:tab w:leader="none" w:pos="3080" w:val="left"/>
        </w:tabs>
        <w:numPr>
          <w:ilvl w:val="2"/>
          <w:numId w:val="4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the timelines set forth in Sections 2.5.2 (b) (bb) (i) shall apply.</w:t>
      </w:r>
    </w:p>
    <w:p>
      <w:pPr>
        <w:spacing w:after="0" w:line="225"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i w:val="1"/>
          <w:iCs w:val="1"/>
          <w:color w:val="auto"/>
        </w:rPr>
        <w:t>2.5.3.</w:t>
      </w:r>
      <w:r>
        <w:rPr>
          <w:sz w:val="20"/>
          <w:szCs w:val="20"/>
          <w:color w:val="auto"/>
        </w:rPr>
        <w:tab/>
      </w:r>
      <w:r>
        <w:rPr>
          <w:rFonts w:ascii="Arial" w:cs="Arial" w:eastAsia="Arial" w:hAnsi="Arial"/>
          <w:sz w:val="16"/>
          <w:szCs w:val="16"/>
          <w:i w:val="1"/>
          <w:iCs w:val="1"/>
          <w:color w:val="auto"/>
        </w:rPr>
        <w:t>Cancellation or postponement of Manufacturing Campaigns for bulk drug substance</w:t>
      </w:r>
    </w:p>
    <w:p>
      <w:pPr>
        <w:spacing w:after="0" w:line="225" w:lineRule="exact"/>
        <w:rPr>
          <w:sz w:val="20"/>
          <w:szCs w:val="20"/>
          <w:color w:val="auto"/>
        </w:rPr>
      </w:pPr>
    </w:p>
    <w:p>
      <w:pPr>
        <w:ind w:left="1480" w:right="200"/>
        <w:spacing w:after="0" w:line="277" w:lineRule="auto"/>
        <w:rPr>
          <w:sz w:val="20"/>
          <w:szCs w:val="20"/>
          <w:color w:val="auto"/>
        </w:rPr>
      </w:pPr>
      <w:r>
        <w:rPr>
          <w:rFonts w:ascii="Arial" w:cs="Arial" w:eastAsia="Arial" w:hAnsi="Arial"/>
          <w:sz w:val="18"/>
          <w:szCs w:val="18"/>
          <w:i w:val="1"/>
          <w:iCs w:val="1"/>
          <w:color w:val="auto"/>
        </w:rPr>
        <w:t xml:space="preserve">If FIBROGEN cancels or postpones any Manufacturing Campaign for the manufacture of bulk drug substance set forth in the Project Plan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prior to the date on which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 scheduled to take place, FIBROGEN shall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for such campaign.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Cancellation or postponement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prior to the date on which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 scheduled to take place, FIBROGEN shall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for such campaign.</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Cancellation or postponement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prior to the date on which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 scheduled to take place, FIBROGEN shall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for such campaign.</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 xml:space="preserve">Cancellation or postponement </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prior to the date on which </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is to take place results in a </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of FIBROGEN of </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for such campaign.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Cancellation or postponement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prior to the date on which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 to take place results in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of FIBROGEN of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for such campaign.</w:t>
      </w:r>
    </w:p>
    <w:p>
      <w:pPr>
        <w:spacing w:after="0" w:line="237"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i w:val="1"/>
          <w:iCs w:val="1"/>
          <w:color w:val="auto"/>
        </w:rPr>
        <w:t>2.5.4.</w:t>
      </w:r>
      <w:r>
        <w:rPr>
          <w:sz w:val="20"/>
          <w:szCs w:val="20"/>
          <w:color w:val="auto"/>
        </w:rPr>
        <w:tab/>
      </w:r>
      <w:r>
        <w:rPr>
          <w:rFonts w:ascii="Arial" w:cs="Arial" w:eastAsia="Arial" w:hAnsi="Arial"/>
          <w:sz w:val="16"/>
          <w:szCs w:val="16"/>
          <w:i w:val="1"/>
          <w:iCs w:val="1"/>
          <w:u w:val="single" w:color="auto"/>
          <w:color w:val="auto"/>
        </w:rPr>
        <w:t>Cancellation or postponement of Manufacturing campaigns for drug product</w:t>
      </w:r>
    </w:p>
    <w:p>
      <w:pPr>
        <w:spacing w:after="0" w:line="225" w:lineRule="exact"/>
        <w:rPr>
          <w:sz w:val="20"/>
          <w:szCs w:val="20"/>
          <w:color w:val="auto"/>
        </w:rPr>
      </w:pPr>
    </w:p>
    <w:p>
      <w:pPr>
        <w:ind w:left="1480"/>
        <w:spacing w:after="0" w:line="308" w:lineRule="auto"/>
        <w:rPr>
          <w:sz w:val="20"/>
          <w:szCs w:val="20"/>
          <w:color w:val="auto"/>
        </w:rPr>
      </w:pPr>
      <w:r>
        <w:rPr>
          <w:rFonts w:ascii="Arial" w:cs="Arial" w:eastAsia="Arial" w:hAnsi="Arial"/>
          <w:sz w:val="17"/>
          <w:szCs w:val="17"/>
          <w:i w:val="1"/>
          <w:iCs w:val="1"/>
          <w:color w:val="auto"/>
        </w:rPr>
        <w:t xml:space="preserve">If FIBROGEN cancels or postpones any Manufacturing Campaign for the manufacture of drug product set forth in the Project Plan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prior to the date on which the first activities for such campaign are to take place, FIBROGEN shall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for such campaign.</w:t>
      </w:r>
    </w:p>
    <w:p>
      <w:pPr>
        <w:spacing w:after="0" w:line="147" w:lineRule="exact"/>
        <w:rPr>
          <w:sz w:val="20"/>
          <w:szCs w:val="20"/>
          <w:color w:val="auto"/>
        </w:rPr>
      </w:pPr>
    </w:p>
    <w:p>
      <w:pPr>
        <w:ind w:left="1480"/>
        <w:spacing w:after="0" w:line="277" w:lineRule="auto"/>
        <w:rPr>
          <w:sz w:val="20"/>
          <w:szCs w:val="20"/>
          <w:color w:val="auto"/>
        </w:rPr>
      </w:pPr>
      <w:r>
        <w:rPr>
          <w:rFonts w:ascii="Arial" w:cs="Arial" w:eastAsia="Arial" w:hAnsi="Arial"/>
          <w:sz w:val="18"/>
          <w:szCs w:val="18"/>
          <w:i w:val="1"/>
          <w:iCs w:val="1"/>
          <w:color w:val="auto"/>
        </w:rPr>
        <w:t xml:space="preserve">Cancellation or postponement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prior to the date on which the first activities for such campaign are to take place results in a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of FIBROGEN of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for such campaign.</w:t>
      </w:r>
    </w:p>
    <w:p>
      <w:pPr>
        <w:spacing w:after="0" w:line="170" w:lineRule="exact"/>
        <w:rPr>
          <w:sz w:val="20"/>
          <w:szCs w:val="20"/>
          <w:color w:val="auto"/>
        </w:rPr>
      </w:pPr>
    </w:p>
    <w:p>
      <w:pPr>
        <w:ind w:left="1480"/>
        <w:spacing w:after="0" w:line="277" w:lineRule="auto"/>
        <w:rPr>
          <w:sz w:val="20"/>
          <w:szCs w:val="20"/>
          <w:color w:val="auto"/>
        </w:rPr>
      </w:pPr>
      <w:r>
        <w:rPr>
          <w:rFonts w:ascii="Arial" w:cs="Arial" w:eastAsia="Arial" w:hAnsi="Arial"/>
          <w:sz w:val="18"/>
          <w:szCs w:val="18"/>
          <w:i w:val="1"/>
          <w:iCs w:val="1"/>
          <w:color w:val="auto"/>
        </w:rPr>
        <w:t xml:space="preserve">Cancellation or postponement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prior to the date on which the first activities for such campaign are to take place results in a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of FIBROGEN of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for such campaign.</w:t>
      </w:r>
    </w:p>
    <w:p>
      <w:pPr>
        <w:spacing w:after="0" w:line="170" w:lineRule="exact"/>
        <w:rPr>
          <w:sz w:val="20"/>
          <w:szCs w:val="20"/>
          <w:color w:val="auto"/>
        </w:rPr>
      </w:pPr>
    </w:p>
    <w:p>
      <w:pPr>
        <w:ind w:left="1480"/>
        <w:spacing w:after="0" w:line="277" w:lineRule="auto"/>
        <w:rPr>
          <w:sz w:val="20"/>
          <w:szCs w:val="20"/>
          <w:color w:val="auto"/>
        </w:rPr>
      </w:pPr>
      <w:r>
        <w:rPr>
          <w:rFonts w:ascii="Arial" w:cs="Arial" w:eastAsia="Arial" w:hAnsi="Arial"/>
          <w:sz w:val="18"/>
          <w:szCs w:val="18"/>
          <w:i w:val="1"/>
          <w:iCs w:val="1"/>
          <w:color w:val="auto"/>
        </w:rPr>
        <w:t>Cancellation or postponement [*] prior to the date on which the first [*] activities for such campaign are to take place results in [*] of FIBROGEN of the [*] for such campaign.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310515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74" w:name="page75"/>
    <w:bookmarkEnd w:id="74"/>
    <w:p>
      <w:pPr>
        <w:ind w:left="-5" w:firstLine="5"/>
        <w:spacing w:after="0" w:line="282" w:lineRule="auto"/>
        <w:tabs>
          <w:tab w:leader="none" w:pos="261"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15"/>
        <w:spacing w:after="0"/>
        <w:rPr>
          <w:sz w:val="20"/>
          <w:szCs w:val="20"/>
          <w:color w:val="auto"/>
        </w:rPr>
      </w:pPr>
      <w:r>
        <w:rPr>
          <w:rFonts w:ascii="Arial" w:cs="Arial" w:eastAsia="Arial" w:hAnsi="Arial"/>
          <w:sz w:val="16"/>
          <w:szCs w:val="16"/>
          <w:b w:val="1"/>
          <w:bCs w:val="1"/>
          <w:color w:val="auto"/>
        </w:rPr>
        <w:t>Exhibit 10.26(xxv)</w:t>
      </w:r>
    </w:p>
    <w:p>
      <w:pPr>
        <w:spacing w:after="0" w:line="360" w:lineRule="exact"/>
        <w:rPr>
          <w:sz w:val="20"/>
          <w:szCs w:val="20"/>
          <w:color w:val="auto"/>
        </w:rPr>
      </w:pPr>
    </w:p>
    <w:p>
      <w:pPr>
        <w:ind w:left="695"/>
        <w:spacing w:after="0"/>
        <w:tabs>
          <w:tab w:leader="none" w:pos="1455" w:val="left"/>
        </w:tabs>
        <w:rPr>
          <w:sz w:val="20"/>
          <w:szCs w:val="20"/>
          <w:color w:val="auto"/>
        </w:rPr>
      </w:pPr>
      <w:r>
        <w:rPr>
          <w:rFonts w:ascii="Arial" w:cs="Arial" w:eastAsia="Arial" w:hAnsi="Arial"/>
          <w:sz w:val="18"/>
          <w:szCs w:val="18"/>
          <w:i w:val="1"/>
          <w:iCs w:val="1"/>
          <w:color w:val="auto"/>
        </w:rPr>
        <w:t>2.5.5.</w:t>
      </w:r>
      <w:r>
        <w:rPr>
          <w:sz w:val="20"/>
          <w:szCs w:val="20"/>
          <w:color w:val="auto"/>
        </w:rPr>
        <w:tab/>
      </w:r>
      <w:r>
        <w:rPr>
          <w:rFonts w:ascii="Arial" w:cs="Arial" w:eastAsia="Arial" w:hAnsi="Arial"/>
          <w:sz w:val="16"/>
          <w:szCs w:val="16"/>
          <w:i w:val="1"/>
          <w:iCs w:val="1"/>
          <w:u w:val="single" w:color="auto"/>
          <w:color w:val="auto"/>
        </w:rPr>
        <w:t>Cancellation of campaigns and Termination of this Definitive Agreement; Obligation of BI to mitigate Losses</w:t>
      </w:r>
    </w:p>
    <w:p>
      <w:pPr>
        <w:spacing w:after="0" w:line="225" w:lineRule="exact"/>
        <w:rPr>
          <w:sz w:val="20"/>
          <w:szCs w:val="20"/>
          <w:color w:val="auto"/>
        </w:rPr>
      </w:pPr>
    </w:p>
    <w:p>
      <w:pPr>
        <w:jc w:val="both"/>
        <w:ind w:left="1495"/>
        <w:spacing w:after="0" w:line="273" w:lineRule="auto"/>
        <w:rPr>
          <w:sz w:val="20"/>
          <w:szCs w:val="20"/>
          <w:color w:val="auto"/>
        </w:rPr>
      </w:pPr>
      <w:r>
        <w:rPr>
          <w:rFonts w:ascii="Arial" w:cs="Arial" w:eastAsia="Arial" w:hAnsi="Arial"/>
          <w:sz w:val="17"/>
          <w:szCs w:val="17"/>
          <w:i w:val="1"/>
          <w:iCs w:val="1"/>
          <w:color w:val="auto"/>
        </w:rPr>
        <w:t xml:space="preserve">The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described in Sections 2.5.3 through 2.5.4 above shall not be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in case of a termination of this Definitive Agreement by FIBROGEN pursuant to Section 11.2.2, but will incur in connection with a termination of this Definitive Agreement by FIBROGEN or BI pursuant to Section 11.3. In any event, BI shall use its commercially reasonable efforts to use the capacity resulting from the cancellation or postponement of campaigns and to mitigate any losses that may incur from such cancellation or postponement, including for the avoidance of doubt, the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if possible. If a slot reserved for a cancelled or postponed campaign/run can be used by BI for the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FIBROGEN shall not be obliged to </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described in Sections 2.5.3 and 2.5.4 for the respective campaign/run.</w:t>
      </w:r>
    </w:p>
    <w:p>
      <w:pPr>
        <w:spacing w:after="0" w:line="178" w:lineRule="exact"/>
        <w:rPr>
          <w:sz w:val="20"/>
          <w:szCs w:val="20"/>
          <w:color w:val="auto"/>
        </w:rPr>
      </w:pPr>
    </w:p>
    <w:p>
      <w:pPr>
        <w:ind w:left="715" w:right="4220" w:hanging="420"/>
        <w:spacing w:after="0" w:line="498" w:lineRule="auto"/>
        <w:tabs>
          <w:tab w:leader="none" w:pos="6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Parties agree that Section 3. shall be amended as follows (changes written in italics): “3. Project Fee and Payments</w:t>
      </w:r>
    </w:p>
    <w:p>
      <w:pPr>
        <w:spacing w:after="0" w:line="1" w:lineRule="exact"/>
        <w:rPr>
          <w:rFonts w:ascii="Arial" w:cs="Arial" w:eastAsia="Arial" w:hAnsi="Arial"/>
          <w:sz w:val="18"/>
          <w:szCs w:val="18"/>
          <w:color w:val="auto"/>
        </w:rPr>
      </w:pPr>
    </w:p>
    <w:p>
      <w:pPr>
        <w:ind w:left="715"/>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3.3</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715"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i w:val="1"/>
                <w:iCs w:val="1"/>
                <w:color w:val="auto"/>
              </w:rPr>
              <w:t>3.3.1</w:t>
            </w:r>
          </w:p>
        </w:tc>
        <w:tc>
          <w:tcPr>
            <w:tcW w:w="4620" w:type="dxa"/>
            <w:vAlign w:val="bottom"/>
          </w:tcPr>
          <w:p>
            <w:pPr>
              <w:ind w:left="380"/>
              <w:spacing w:after="0"/>
              <w:rPr>
                <w:sz w:val="20"/>
                <w:szCs w:val="20"/>
                <w:color w:val="auto"/>
              </w:rPr>
            </w:pPr>
            <w:r>
              <w:rPr>
                <w:rFonts w:ascii="Arial" w:cs="Arial" w:eastAsia="Arial" w:hAnsi="Arial"/>
                <w:sz w:val="18"/>
                <w:szCs w:val="18"/>
                <w:i w:val="1"/>
                <w:iCs w:val="1"/>
                <w:color w:val="auto"/>
                <w:w w:val="94"/>
              </w:rPr>
              <w:t xml:space="preserve">The </w:t>
            </w:r>
            <w:r>
              <w:rPr>
                <w:rFonts w:ascii="Arial" w:cs="Arial" w:eastAsia="Arial" w:hAnsi="Arial"/>
                <w:sz w:val="18"/>
                <w:szCs w:val="18"/>
                <w:color w:val="auto"/>
                <w:w w:val="94"/>
              </w:rPr>
              <w:t>[</w:t>
            </w:r>
            <w:r>
              <w:rPr>
                <w:rFonts w:ascii="Arial" w:cs="Arial" w:eastAsia="Arial" w:hAnsi="Arial"/>
                <w:sz w:val="18"/>
                <w:szCs w:val="18"/>
                <w:i w:val="1"/>
                <w:iCs w:val="1"/>
                <w:color w:val="auto"/>
                <w:w w:val="94"/>
              </w:rPr>
              <w:t>*</w:t>
            </w:r>
            <w:r>
              <w:rPr>
                <w:rFonts w:ascii="Arial" w:cs="Arial" w:eastAsia="Arial" w:hAnsi="Arial"/>
                <w:sz w:val="18"/>
                <w:szCs w:val="18"/>
                <w:color w:val="auto"/>
                <w:w w:val="94"/>
              </w:rPr>
              <w:t>]</w:t>
            </w:r>
            <w:r>
              <w:rPr>
                <w:rFonts w:ascii="Arial" w:cs="Arial" w:eastAsia="Arial" w:hAnsi="Arial"/>
                <w:sz w:val="18"/>
                <w:szCs w:val="18"/>
                <w:i w:val="1"/>
                <w:iCs w:val="1"/>
                <w:color w:val="auto"/>
                <w:w w:val="94"/>
              </w:rPr>
              <w:t xml:space="preserve"> set forth in the </w:t>
            </w:r>
            <w:r>
              <w:rPr>
                <w:rFonts w:ascii="Arial" w:cs="Arial" w:eastAsia="Arial" w:hAnsi="Arial"/>
                <w:sz w:val="18"/>
                <w:szCs w:val="18"/>
                <w:color w:val="auto"/>
                <w:w w:val="94"/>
              </w:rPr>
              <w:t>[</w:t>
            </w:r>
            <w:r>
              <w:rPr>
                <w:rFonts w:ascii="Arial" w:cs="Arial" w:eastAsia="Arial" w:hAnsi="Arial"/>
                <w:sz w:val="18"/>
                <w:szCs w:val="18"/>
                <w:i w:val="1"/>
                <w:iCs w:val="1"/>
                <w:color w:val="auto"/>
                <w:w w:val="94"/>
              </w:rPr>
              <w:t>*</w:t>
            </w:r>
            <w:r>
              <w:rPr>
                <w:rFonts w:ascii="Arial" w:cs="Arial" w:eastAsia="Arial" w:hAnsi="Arial"/>
                <w:sz w:val="18"/>
                <w:szCs w:val="18"/>
                <w:color w:val="auto"/>
                <w:w w:val="94"/>
              </w:rPr>
              <w:t>]</w:t>
            </w:r>
            <w:r>
              <w:rPr>
                <w:rFonts w:ascii="Arial" w:cs="Arial" w:eastAsia="Arial" w:hAnsi="Arial"/>
                <w:sz w:val="18"/>
                <w:szCs w:val="18"/>
                <w:i w:val="1"/>
                <w:iCs w:val="1"/>
                <w:color w:val="auto"/>
                <w:w w:val="94"/>
              </w:rPr>
              <w:t xml:space="preserve"> in Appendix 2 are subject to </w:t>
            </w:r>
            <w:r>
              <w:rPr>
                <w:rFonts w:ascii="Arial" w:cs="Arial" w:eastAsia="Arial" w:hAnsi="Arial"/>
                <w:sz w:val="18"/>
                <w:szCs w:val="18"/>
                <w:color w:val="auto"/>
                <w:w w:val="94"/>
              </w:rPr>
              <w:t>[</w:t>
            </w:r>
            <w:r>
              <w:rPr>
                <w:rFonts w:ascii="Arial" w:cs="Arial" w:eastAsia="Arial" w:hAnsi="Arial"/>
                <w:sz w:val="18"/>
                <w:szCs w:val="18"/>
                <w:i w:val="1"/>
                <w:iCs w:val="1"/>
                <w:color w:val="auto"/>
                <w:w w:val="94"/>
              </w:rPr>
              <w:t>*</w:t>
            </w:r>
            <w:r>
              <w:rPr>
                <w:rFonts w:ascii="Arial" w:cs="Arial" w:eastAsia="Arial" w:hAnsi="Arial"/>
                <w:sz w:val="18"/>
                <w:szCs w:val="18"/>
                <w:color w:val="auto"/>
                <w:w w:val="94"/>
              </w:rPr>
              <w:t>]</w:t>
            </w:r>
            <w:r>
              <w:rPr>
                <w:rFonts w:ascii="Arial" w:cs="Arial" w:eastAsia="Arial" w:hAnsi="Arial"/>
                <w:sz w:val="18"/>
                <w:szCs w:val="18"/>
                <w:i w:val="1"/>
                <w:iCs w:val="1"/>
                <w:color w:val="auto"/>
                <w:w w:val="94"/>
              </w:rPr>
              <w:t>.</w:t>
            </w:r>
          </w:p>
        </w:tc>
      </w:tr>
      <w:tr>
        <w:trPr>
          <w:trHeight w:val="432"/>
        </w:trPr>
        <w:tc>
          <w:tcPr>
            <w:tcW w:w="620" w:type="dxa"/>
            <w:vAlign w:val="bottom"/>
          </w:tcPr>
          <w:p>
            <w:pPr>
              <w:spacing w:after="0"/>
              <w:rPr>
                <w:sz w:val="20"/>
                <w:szCs w:val="20"/>
                <w:color w:val="auto"/>
              </w:rPr>
            </w:pPr>
            <w:r>
              <w:rPr>
                <w:rFonts w:ascii="Arial" w:cs="Arial" w:eastAsia="Arial" w:hAnsi="Arial"/>
                <w:sz w:val="18"/>
                <w:szCs w:val="18"/>
                <w:i w:val="1"/>
                <w:iCs w:val="1"/>
                <w:color w:val="auto"/>
              </w:rPr>
              <w:t>3.3.2</w:t>
            </w:r>
          </w:p>
        </w:tc>
        <w:tc>
          <w:tcPr>
            <w:tcW w:w="4620" w:type="dxa"/>
            <w:vAlign w:val="bottom"/>
          </w:tcPr>
          <w:p>
            <w:pPr>
              <w:ind w:left="380"/>
              <w:spacing w:after="0"/>
              <w:rPr>
                <w:sz w:val="20"/>
                <w:szCs w:val="20"/>
                <w:color w:val="auto"/>
              </w:rPr>
            </w:pPr>
            <w:r>
              <w:rPr>
                <w:rFonts w:ascii="Arial" w:cs="Arial" w:eastAsia="Arial" w:hAnsi="Arial"/>
                <w:sz w:val="18"/>
                <w:szCs w:val="18"/>
                <w:i w:val="1"/>
                <w:iCs w:val="1"/>
                <w:color w:val="auto"/>
              </w:rPr>
              <w:t xml:space="preserve">Additionally, BI shall be entitled to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i w:val="1"/>
                <w:iCs w:val="1"/>
                <w:color w:val="auto"/>
              </w:rPr>
              <w:t>3.4</w:t>
            </w:r>
          </w:p>
        </w:tc>
        <w:tc>
          <w:tcPr>
            <w:tcW w:w="462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Product-Dedicated Equipment</w:t>
            </w:r>
          </w:p>
        </w:tc>
      </w:tr>
    </w:tbl>
    <w:p>
      <w:pPr>
        <w:spacing w:after="0" w:line="202" w:lineRule="exact"/>
        <w:rPr>
          <w:sz w:val="20"/>
          <w:szCs w:val="20"/>
          <w:color w:val="auto"/>
        </w:rPr>
      </w:pPr>
    </w:p>
    <w:p>
      <w:pPr>
        <w:jc w:val="both"/>
        <w:ind w:left="715"/>
        <w:spacing w:after="0" w:line="277" w:lineRule="auto"/>
        <w:rPr>
          <w:sz w:val="20"/>
          <w:szCs w:val="20"/>
          <w:color w:val="auto"/>
        </w:rPr>
      </w:pPr>
      <w:r>
        <w:rPr>
          <w:rFonts w:ascii="Arial" w:cs="Arial" w:eastAsia="Arial" w:hAnsi="Arial"/>
          <w:sz w:val="18"/>
          <w:szCs w:val="18"/>
          <w:i w:val="1"/>
          <w:iCs w:val="1"/>
          <w:color w:val="auto"/>
        </w:rPr>
        <w:t xml:space="preserve">If agreed upon by the Parties in the Project Plan or otherwise in writing, BI may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For book keeping, maintenance and insurance purposes, such equipment shall be the property of BI.</w:t>
      </w:r>
    </w:p>
    <w:p>
      <w:pPr>
        <w:spacing w:after="0" w:line="170" w:lineRule="exact"/>
        <w:rPr>
          <w:sz w:val="20"/>
          <w:szCs w:val="20"/>
          <w:color w:val="auto"/>
        </w:rPr>
      </w:pPr>
    </w:p>
    <w:p>
      <w:pPr>
        <w:jc w:val="both"/>
        <w:ind w:left="715" w:right="20"/>
        <w:spacing w:after="0" w:line="264" w:lineRule="auto"/>
        <w:rPr>
          <w:sz w:val="20"/>
          <w:szCs w:val="20"/>
          <w:color w:val="auto"/>
        </w:rPr>
      </w:pPr>
      <w:r>
        <w:rPr>
          <w:rFonts w:ascii="Arial" w:cs="Arial" w:eastAsia="Arial" w:hAnsi="Arial"/>
          <w:sz w:val="18"/>
          <w:szCs w:val="18"/>
          <w:i w:val="1"/>
          <w:iCs w:val="1"/>
          <w:color w:val="auto"/>
        </w:rPr>
        <w:t xml:space="preserve">Notwithstanding the forgoing, upon expiration or termination of this Definitive Agreement, and subject to the entire payment for all services hereunder, for a period of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thereafter and with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days prior written notice, FIBROGEN shall have the right to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Parties will agree upon the details of the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in good faith.”</w:t>
      </w:r>
    </w:p>
    <w:p>
      <w:pPr>
        <w:spacing w:after="0" w:line="181" w:lineRule="exact"/>
        <w:rPr>
          <w:sz w:val="20"/>
          <w:szCs w:val="20"/>
          <w:color w:val="auto"/>
        </w:rPr>
      </w:pPr>
    </w:p>
    <w:p>
      <w:pPr>
        <w:ind w:left="695" w:hanging="400"/>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avoidance of doubt, any reference to ”BI Pharma” in the Supply Agreement shall be deemed a reference to ”BI” as defined in this Twenty-second Amendment.</w:t>
      </w:r>
    </w:p>
    <w:p>
      <w:pPr>
        <w:spacing w:after="0" w:line="170" w:lineRule="exact"/>
        <w:rPr>
          <w:rFonts w:ascii="Arial" w:cs="Arial" w:eastAsia="Arial" w:hAnsi="Arial"/>
          <w:sz w:val="18"/>
          <w:szCs w:val="18"/>
          <w:color w:val="auto"/>
        </w:rPr>
      </w:pPr>
    </w:p>
    <w:p>
      <w:pPr>
        <w:ind w:left="695" w:hanging="400"/>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Twenty-second Amendment shall have the meaning ascribed to them in the Supply Agreement.</w:t>
      </w:r>
    </w:p>
    <w:p>
      <w:pPr>
        <w:spacing w:after="0" w:line="170" w:lineRule="exact"/>
        <w:rPr>
          <w:rFonts w:ascii="Arial" w:cs="Arial" w:eastAsia="Arial" w:hAnsi="Arial"/>
          <w:sz w:val="18"/>
          <w:szCs w:val="18"/>
          <w:color w:val="auto"/>
        </w:rPr>
      </w:pPr>
    </w:p>
    <w:p>
      <w:pPr>
        <w:jc w:val="both"/>
        <w:ind w:left="695" w:hanging="400"/>
        <w:spacing w:after="0" w:line="279"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Twenty-second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Twenty-second Amendment, either oral or written, heretofore made with respect to subject matter herein are expressly superseded by this Twenty-second Amendment.</w:t>
      </w:r>
    </w:p>
    <w:p>
      <w:pPr>
        <w:spacing w:after="0" w:line="171" w:lineRule="exact"/>
        <w:rPr>
          <w:rFonts w:ascii="Arial" w:cs="Arial" w:eastAsia="Arial" w:hAnsi="Arial"/>
          <w:sz w:val="17"/>
          <w:szCs w:val="17"/>
          <w:color w:val="auto"/>
        </w:rPr>
      </w:pPr>
    </w:p>
    <w:p>
      <w:pPr>
        <w:jc w:val="both"/>
        <w:ind w:left="695" w:hanging="400"/>
        <w:spacing w:after="0" w:line="264"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Twenty-second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5"/>
          </w:cols>
          <w:pgMar w:left="345" w:top="337" w:right="239" w:bottom="1440" w:gutter="0" w:footer="0" w:header="0"/>
        </w:sectPr>
      </w:pPr>
    </w:p>
    <w:bookmarkStart w:id="75" w:name="page76"/>
    <w:bookmarkEnd w:id="75"/>
    <w:p>
      <w:pPr>
        <w:ind w:left="100" w:right="240" w:firstLine="5"/>
        <w:spacing w:after="0" w:line="282" w:lineRule="auto"/>
        <w:tabs>
          <w:tab w:leader="none" w:pos="35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have executed this Twenty-second Amendment to the Supply Agreement as of Twenty-second Amendment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03300"/>
        </w:rPr>
        <w:t xml:space="preserve">Biberach, </w:t>
      </w:r>
      <w:r>
        <w:rPr>
          <w:rFonts w:ascii="Arial" w:cs="Arial" w:eastAsia="Arial" w:hAnsi="Arial"/>
          <w:sz w:val="18"/>
          <w:szCs w:val="18"/>
          <w:color w:val="000000"/>
        </w:rPr>
        <w:t>April 18,</w:t>
      </w:r>
      <w:r>
        <w:rPr>
          <w:rFonts w:ascii="Arial" w:cs="Arial" w:eastAsia="Arial" w:hAnsi="Arial"/>
          <w:sz w:val="18"/>
          <w:szCs w:val="18"/>
          <w:color w:val="003300"/>
        </w:rPr>
        <w:t xml:space="preserve">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300"/>
        </w:rPr>
        <w:t>B</w:t>
      </w:r>
      <w:r>
        <w:rPr>
          <w:rFonts w:ascii="Arial" w:cs="Arial" w:eastAsia="Arial" w:hAnsi="Arial"/>
          <w:sz w:val="12"/>
          <w:szCs w:val="12"/>
          <w:b w:val="1"/>
          <w:bCs w:val="1"/>
          <w:color w:val="003300"/>
        </w:rPr>
        <w:t>OEHRINGER</w:t>
      </w:r>
      <w:r>
        <w:rPr>
          <w:rFonts w:ascii="Arial" w:cs="Arial" w:eastAsia="Arial" w:hAnsi="Arial"/>
          <w:sz w:val="18"/>
          <w:szCs w:val="18"/>
          <w:b w:val="1"/>
          <w:bCs w:val="1"/>
          <w:color w:val="003300"/>
        </w:rPr>
        <w:t xml:space="preserve"> I</w:t>
      </w:r>
      <w:r>
        <w:rPr>
          <w:rFonts w:ascii="Arial" w:cs="Arial" w:eastAsia="Arial" w:hAnsi="Arial"/>
          <w:sz w:val="12"/>
          <w:szCs w:val="12"/>
          <w:b w:val="1"/>
          <w:bCs w:val="1"/>
          <w:color w:val="003300"/>
        </w:rPr>
        <w:t>NGELHEIM</w:t>
      </w:r>
      <w:r>
        <w:rPr>
          <w:rFonts w:ascii="Arial" w:cs="Arial" w:eastAsia="Arial" w:hAnsi="Arial"/>
          <w:sz w:val="18"/>
          <w:szCs w:val="18"/>
          <w:b w:val="1"/>
          <w:bCs w:val="1"/>
          <w:color w:val="003300"/>
        </w:rPr>
        <w:t xml:space="preserve"> B</w:t>
      </w:r>
      <w:r>
        <w:rPr>
          <w:rFonts w:ascii="Arial" w:cs="Arial" w:eastAsia="Arial" w:hAnsi="Arial"/>
          <w:sz w:val="12"/>
          <w:szCs w:val="12"/>
          <w:b w:val="1"/>
          <w:bCs w:val="1"/>
          <w:color w:val="003300"/>
        </w:rPr>
        <w:t>IOPHARMACEUTICALS</w:t>
      </w:r>
      <w:r>
        <w:rPr>
          <w:rFonts w:ascii="Arial" w:cs="Arial" w:eastAsia="Arial" w:hAnsi="Arial"/>
          <w:sz w:val="18"/>
          <w:szCs w:val="18"/>
          <w:b w:val="1"/>
          <w:bCs w:val="1"/>
          <w:color w:val="003300"/>
        </w:rPr>
        <w:t xml:space="preserve"> G</w:t>
      </w:r>
      <w:r>
        <w:rPr>
          <w:rFonts w:ascii="Arial" w:cs="Arial" w:eastAsia="Arial" w:hAnsi="Arial"/>
          <w:sz w:val="12"/>
          <w:szCs w:val="12"/>
          <w:b w:val="1"/>
          <w:bCs w:val="1"/>
          <w:color w:val="003300"/>
        </w:rPr>
        <w:t>MB</w:t>
      </w:r>
      <w:r>
        <w:rPr>
          <w:rFonts w:ascii="Arial" w:cs="Arial" w:eastAsia="Arial" w:hAnsi="Arial"/>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ppa.</w:t>
            </w:r>
          </w:p>
        </w:tc>
        <w:tc>
          <w:tcPr>
            <w:tcW w:w="5140" w:type="dxa"/>
            <w:vAlign w:val="bottom"/>
          </w:tcPr>
          <w:p>
            <w:pPr>
              <w:spacing w:after="0"/>
              <w:rPr>
                <w:sz w:val="20"/>
                <w:szCs w:val="20"/>
                <w:color w:val="auto"/>
              </w:rPr>
            </w:pPr>
            <w:r>
              <w:rPr>
                <w:rFonts w:ascii="Arial" w:cs="Arial" w:eastAsia="Arial" w:hAnsi="Arial"/>
                <w:sz w:val="18"/>
                <w:szCs w:val="18"/>
                <w:color w:val="003300"/>
              </w:rPr>
              <w:t>ppa.</w:t>
            </w:r>
          </w:p>
        </w:tc>
      </w:tr>
      <w:tr>
        <w:trPr>
          <w:trHeight w:val="648"/>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003300"/>
              </w:rPr>
              <w:t>Head of Corporate Legal Biopharmaceuticals</w:t>
            </w: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April 14, 2016</w:t>
            </w:r>
          </w:p>
        </w:tc>
        <w:tc>
          <w:tcPr>
            <w:tcW w:w="514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003300"/>
              </w:rPr>
              <w:t>F</w:t>
            </w:r>
            <w:r>
              <w:rPr>
                <w:rFonts w:ascii="Arial" w:cs="Arial" w:eastAsia="Arial" w:hAnsi="Arial"/>
                <w:sz w:val="12"/>
                <w:szCs w:val="12"/>
                <w:b w:val="1"/>
                <w:bCs w:val="1"/>
                <w:color w:val="003300"/>
              </w:rPr>
              <w:t>IBRO</w:t>
            </w:r>
            <w:r>
              <w:rPr>
                <w:rFonts w:ascii="Arial" w:cs="Arial" w:eastAsia="Arial" w:hAnsi="Arial"/>
                <w:sz w:val="18"/>
                <w:szCs w:val="18"/>
                <w:b w:val="1"/>
                <w:bCs w:val="1"/>
                <w:color w:val="003300"/>
              </w:rPr>
              <w:t>G</w:t>
            </w:r>
            <w:r>
              <w:rPr>
                <w:rFonts w:ascii="Arial" w:cs="Arial" w:eastAsia="Arial" w:hAnsi="Arial"/>
                <w:sz w:val="12"/>
                <w:szCs w:val="12"/>
                <w:b w:val="1"/>
                <w:bCs w:val="1"/>
                <w:color w:val="003300"/>
              </w:rPr>
              <w:t>EN</w:t>
            </w:r>
            <w:r>
              <w:rPr>
                <w:rFonts w:ascii="Arial" w:cs="Arial" w:eastAsia="Arial" w:hAnsi="Arial"/>
                <w:sz w:val="18"/>
                <w:szCs w:val="18"/>
                <w:b w:val="1"/>
                <w:bCs w:val="1"/>
                <w:color w:val="003300"/>
              </w:rPr>
              <w:t>, I</w:t>
            </w:r>
            <w:r>
              <w:rPr>
                <w:rFonts w:ascii="Arial" w:cs="Arial" w:eastAsia="Arial" w:hAnsi="Arial"/>
                <w:sz w:val="12"/>
                <w:szCs w:val="12"/>
                <w:b w:val="1"/>
                <w:bCs w:val="1"/>
                <w:color w:val="003300"/>
              </w:rPr>
              <w:t>NC</w:t>
            </w:r>
          </w:p>
        </w:tc>
        <w:tc>
          <w:tcPr>
            <w:tcW w:w="514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003300"/>
              </w:rPr>
              <w:t>/s/ Jim Polarek</w:t>
            </w:r>
          </w:p>
        </w:tc>
        <w:tc>
          <w:tcPr>
            <w:tcW w:w="5140" w:type="dxa"/>
            <w:vAlign w:val="bottom"/>
          </w:tcPr>
          <w:p>
            <w:pPr>
              <w:spacing w:after="0"/>
              <w:rPr>
                <w:sz w:val="20"/>
                <w:szCs w:val="20"/>
                <w:color w:val="auto"/>
              </w:rPr>
            </w:pPr>
            <w:r>
              <w:rPr>
                <w:rFonts w:ascii="Arial" w:cs="Arial" w:eastAsia="Arial" w:hAnsi="Arial"/>
                <w:sz w:val="18"/>
                <w:szCs w:val="18"/>
                <w:color w:val="003300"/>
              </w:rPr>
              <w:t>/s/ Michael Lowenstein</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Jim Polarek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Michael Lowenstein</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Vice President</w:t>
            </w:r>
          </w:p>
        </w:tc>
        <w:tc>
          <w:tcPr>
            <w:tcW w:w="5140" w:type="dxa"/>
            <w:vAlign w:val="bottom"/>
          </w:tcPr>
          <w:p>
            <w:pPr>
              <w:spacing w:after="0"/>
              <w:rPr>
                <w:sz w:val="20"/>
                <w:szCs w:val="20"/>
                <w:color w:val="auto"/>
              </w:rPr>
            </w:pPr>
            <w:r>
              <w:rPr>
                <w:rFonts w:ascii="Arial" w:cs="Arial" w:eastAsia="Arial" w:hAnsi="Arial"/>
                <w:sz w:val="18"/>
                <w:szCs w:val="18"/>
                <w:color w:val="003300"/>
              </w:rPr>
              <w:t>Vice President, Legal</w:t>
            </w:r>
          </w:p>
        </w:tc>
      </w:tr>
    </w:tbl>
    <w:p>
      <w:pPr>
        <w:sectPr>
          <w:pgSz w:w="11900" w:h="16838" w:orient="portrait"/>
          <w:cols w:equalWidth="0" w:num="1">
            <w:col w:w="11420"/>
          </w:cols>
          <w:pgMar w:left="240" w:top="337" w:right="239" w:bottom="1440" w:gutter="0" w:footer="0" w:header="0"/>
        </w:sectPr>
      </w:pPr>
    </w:p>
    <w:bookmarkStart w:id="76" w:name="page77"/>
    <w:bookmarkEnd w:id="76"/>
    <w:p>
      <w:pPr>
        <w:ind w:firstLine="8"/>
        <w:spacing w:after="0" w:line="282" w:lineRule="auto"/>
        <w:tabs>
          <w:tab w:leader="none" w:pos="25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24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24 </w:t>
      </w:r>
      <w:r>
        <w:rPr>
          <w:rFonts w:ascii="Arial" w:cs="Arial" w:eastAsia="Arial" w:hAnsi="Arial"/>
          <w:sz w:val="17"/>
          <w:szCs w:val="17"/>
          <w:color w:val="auto"/>
        </w:rPr>
        <w:t>(the “24th Amendment”), retroactively effective as of September 15, 2015 (the “24th Amendment Effective Date”) by and between</w:t>
      </w:r>
      <w:r>
        <w:rPr>
          <w:rFonts w:ascii="Arial" w:cs="Arial" w:eastAsia="Arial" w:hAnsi="Arial"/>
          <w:sz w:val="17"/>
          <w:szCs w:val="17"/>
          <w:b w:val="1"/>
          <w:bCs w:val="1"/>
          <w:color w:val="auto"/>
        </w:rPr>
        <w:t xml:space="preserve"> 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CA 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(hereinafter together the “Supply Agreement”). BI and FibroGen shall be referred to individually herein as a “Party”, and collectively as the “Parties”.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wishes BI to [*] in compliance with the terms of the Supply Agreement as set forth in and as amended by this 24th Amendment.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121" w:lineRule="exact"/>
        <w:rPr>
          <w:sz w:val="20"/>
          <w:szCs w:val="20"/>
          <w:color w:val="auto"/>
        </w:rPr>
      </w:pPr>
    </w:p>
    <w:p>
      <w:pPr>
        <w:ind w:left="1240" w:hanging="43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24th Amendment shall have the meaning ascribed to them in the Supply Agreement.</w:t>
      </w:r>
    </w:p>
    <w:p>
      <w:pPr>
        <w:spacing w:after="0" w:line="170" w:lineRule="exact"/>
        <w:rPr>
          <w:rFonts w:ascii="Arial" w:cs="Arial" w:eastAsia="Arial" w:hAnsi="Arial"/>
          <w:sz w:val="18"/>
          <w:szCs w:val="18"/>
          <w:color w:val="auto"/>
        </w:rPr>
      </w:pPr>
    </w:p>
    <w:p>
      <w:pPr>
        <w:jc w:val="both"/>
        <w:ind w:left="1240" w:hanging="435"/>
        <w:spacing w:after="0" w:line="264"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Parties agree that pursuant to Section 2.2 of the Supply Agreement, the work plan entitled “[*], Version of March 18, 2016”,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is hereby added as an amendment to Appendix 2 to the Supply Agreement. Pursuant thereto BI shall on behalf of FibroGen and in accordance with the Supply Agreement, [*] (as defined in the Supply Agreement).</w:t>
      </w:r>
    </w:p>
    <w:p>
      <w:pPr>
        <w:spacing w:after="0" w:line="181" w:lineRule="exact"/>
        <w:rPr>
          <w:rFonts w:ascii="Arial" w:cs="Arial" w:eastAsia="Arial" w:hAnsi="Arial"/>
          <w:sz w:val="18"/>
          <w:szCs w:val="18"/>
          <w:color w:val="auto"/>
        </w:rPr>
      </w:pPr>
    </w:p>
    <w:p>
      <w:pPr>
        <w:jc w:val="both"/>
        <w:ind w:left="1240" w:hanging="435"/>
        <w:spacing w:after="0" w:line="279"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This 24th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24th Amendment, either oral or written, heretofore made with respect to subject matter herein are expressly superseded by this 24th Amendment.</w:t>
      </w:r>
    </w:p>
    <w:p>
      <w:pPr>
        <w:spacing w:after="0" w:line="171" w:lineRule="exact"/>
        <w:rPr>
          <w:rFonts w:ascii="Arial" w:cs="Arial" w:eastAsia="Arial" w:hAnsi="Arial"/>
          <w:sz w:val="17"/>
          <w:szCs w:val="17"/>
          <w:color w:val="auto"/>
        </w:rPr>
      </w:pPr>
    </w:p>
    <w:p>
      <w:pPr>
        <w:jc w:val="both"/>
        <w:ind w:left="1240" w:hanging="435"/>
        <w:spacing w:after="0" w:line="264"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24th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right="20" w:firstLine="8"/>
        <w:spacing w:after="0" w:line="282" w:lineRule="auto"/>
        <w:tabs>
          <w:tab w:leader="none" w:pos="25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60"/>
        <w:spacing w:after="0"/>
        <w:rPr>
          <w:sz w:val="20"/>
          <w:szCs w:val="20"/>
          <w:color w:val="auto"/>
        </w:rPr>
      </w:pPr>
      <w:r>
        <w:rPr>
          <w:rFonts w:ascii="Arial" w:cs="Arial" w:eastAsia="Arial" w:hAnsi="Arial"/>
          <w:sz w:val="16"/>
          <w:szCs w:val="16"/>
          <w:b w:val="1"/>
          <w:bCs w:val="1"/>
          <w:color w:val="auto"/>
        </w:rPr>
        <w:t>Exhibit 10.26(xxvi)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24th Amendment to the Supply Agreement effective as of September 15,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3300"/>
        </w:rPr>
        <w:t xml:space="preserve">Biberach, </w:t>
      </w:r>
      <w:r>
        <w:rPr>
          <w:rFonts w:ascii="Arial" w:cs="Arial" w:eastAsia="Arial" w:hAnsi="Arial"/>
          <w:sz w:val="18"/>
          <w:szCs w:val="18"/>
          <w:color w:val="000000"/>
        </w:rPr>
        <w:t>May 12,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300"/>
        </w:rPr>
        <w:t>B</w:t>
      </w:r>
      <w:r>
        <w:rPr>
          <w:rFonts w:ascii="Arial" w:cs="Arial" w:eastAsia="Arial" w:hAnsi="Arial"/>
          <w:sz w:val="12"/>
          <w:szCs w:val="12"/>
          <w:b w:val="1"/>
          <w:bCs w:val="1"/>
          <w:color w:val="003300"/>
        </w:rPr>
        <w:t>OEHRINGER</w:t>
      </w:r>
      <w:r>
        <w:rPr>
          <w:rFonts w:ascii="Arial" w:cs="Arial" w:eastAsia="Arial" w:hAnsi="Arial"/>
          <w:sz w:val="18"/>
          <w:szCs w:val="18"/>
          <w:b w:val="1"/>
          <w:bCs w:val="1"/>
          <w:color w:val="003300"/>
        </w:rPr>
        <w:t xml:space="preserve"> I</w:t>
      </w:r>
      <w:r>
        <w:rPr>
          <w:rFonts w:ascii="Arial" w:cs="Arial" w:eastAsia="Arial" w:hAnsi="Arial"/>
          <w:sz w:val="12"/>
          <w:szCs w:val="12"/>
          <w:b w:val="1"/>
          <w:bCs w:val="1"/>
          <w:color w:val="003300"/>
        </w:rPr>
        <w:t>NGELHEIM</w:t>
      </w:r>
      <w:r>
        <w:rPr>
          <w:rFonts w:ascii="Arial" w:cs="Arial" w:eastAsia="Arial" w:hAnsi="Arial"/>
          <w:sz w:val="18"/>
          <w:szCs w:val="18"/>
          <w:b w:val="1"/>
          <w:bCs w:val="1"/>
          <w:color w:val="003300"/>
        </w:rPr>
        <w:t xml:space="preserve"> B</w:t>
      </w:r>
      <w:r>
        <w:rPr>
          <w:rFonts w:ascii="Arial" w:cs="Arial" w:eastAsia="Arial" w:hAnsi="Arial"/>
          <w:sz w:val="12"/>
          <w:szCs w:val="12"/>
          <w:b w:val="1"/>
          <w:bCs w:val="1"/>
          <w:color w:val="003300"/>
        </w:rPr>
        <w:t>IOPHARMACEUTICALS</w:t>
      </w:r>
      <w:r>
        <w:rPr>
          <w:rFonts w:ascii="Arial" w:cs="Arial" w:eastAsia="Arial" w:hAnsi="Arial"/>
          <w:sz w:val="18"/>
          <w:szCs w:val="18"/>
          <w:b w:val="1"/>
          <w:bCs w:val="1"/>
          <w:color w:val="003300"/>
        </w:rPr>
        <w:t xml:space="preserve"> G</w:t>
      </w:r>
      <w:r>
        <w:rPr>
          <w:rFonts w:ascii="Arial" w:cs="Arial" w:eastAsia="Arial" w:hAnsi="Arial"/>
          <w:sz w:val="12"/>
          <w:szCs w:val="12"/>
          <w:b w:val="1"/>
          <w:bCs w:val="1"/>
          <w:color w:val="003300"/>
        </w:rPr>
        <w:t>MB</w:t>
      </w:r>
      <w:r>
        <w:rPr>
          <w:rFonts w:ascii="Arial" w:cs="Arial" w:eastAsia="Arial" w:hAnsi="Arial"/>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ppa.</w:t>
            </w:r>
          </w:p>
        </w:tc>
        <w:tc>
          <w:tcPr>
            <w:tcW w:w="5140" w:type="dxa"/>
            <w:vAlign w:val="bottom"/>
          </w:tcPr>
          <w:p>
            <w:pPr>
              <w:spacing w:after="0"/>
              <w:rPr>
                <w:sz w:val="20"/>
                <w:szCs w:val="20"/>
                <w:color w:val="auto"/>
              </w:rPr>
            </w:pPr>
            <w:r>
              <w:rPr>
                <w:rFonts w:ascii="Arial" w:cs="Arial" w:eastAsia="Arial" w:hAnsi="Arial"/>
                <w:sz w:val="18"/>
                <w:szCs w:val="18"/>
                <w:color w:val="003300"/>
              </w:rPr>
              <w:t>ppa.</w:t>
            </w:r>
          </w:p>
        </w:tc>
        <w:tc>
          <w:tcPr>
            <w:tcW w:w="20" w:type="dxa"/>
            <w:vAlign w:val="bottom"/>
          </w:tcPr>
          <w:p>
            <w:pPr>
              <w:spacing w:after="0"/>
              <w:rPr>
                <w:sz w:val="20"/>
                <w:szCs w:val="20"/>
                <w:color w:val="auto"/>
              </w:rPr>
            </w:pPr>
          </w:p>
        </w:tc>
      </w:tr>
      <w:tr>
        <w:trPr>
          <w:trHeight w:val="648"/>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003300"/>
              </w:rPr>
              <w:t>Head of Corporate Legal Biopharmaceuticals</w:t>
            </w:r>
          </w:p>
        </w:tc>
        <w:tc>
          <w:tcPr>
            <w:tcW w:w="20" w:type="dxa"/>
            <w:vAlign w:val="bottom"/>
          </w:tcPr>
          <w:p>
            <w:pPr>
              <w:spacing w:after="0"/>
              <w:rPr>
                <w:sz w:val="20"/>
                <w:szCs w:val="20"/>
                <w:color w:val="auto"/>
              </w:rPr>
            </w:pP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May 17, 2016</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003300"/>
              </w:rPr>
              <w:t>F</w:t>
            </w:r>
            <w:r>
              <w:rPr>
                <w:rFonts w:ascii="Arial" w:cs="Arial" w:eastAsia="Arial" w:hAnsi="Arial"/>
                <w:sz w:val="12"/>
                <w:szCs w:val="12"/>
                <w:b w:val="1"/>
                <w:bCs w:val="1"/>
                <w:color w:val="003300"/>
              </w:rPr>
              <w:t>IBRO</w:t>
            </w:r>
            <w:r>
              <w:rPr>
                <w:rFonts w:ascii="Arial" w:cs="Arial" w:eastAsia="Arial" w:hAnsi="Arial"/>
                <w:sz w:val="18"/>
                <w:szCs w:val="18"/>
                <w:b w:val="1"/>
                <w:bCs w:val="1"/>
                <w:color w:val="003300"/>
              </w:rPr>
              <w:t>G</w:t>
            </w:r>
            <w:r>
              <w:rPr>
                <w:rFonts w:ascii="Arial" w:cs="Arial" w:eastAsia="Arial" w:hAnsi="Arial"/>
                <w:sz w:val="12"/>
                <w:szCs w:val="12"/>
                <w:b w:val="1"/>
                <w:bCs w:val="1"/>
                <w:color w:val="003300"/>
              </w:rPr>
              <w:t>EN</w:t>
            </w:r>
            <w:r>
              <w:rPr>
                <w:rFonts w:ascii="Arial" w:cs="Arial" w:eastAsia="Arial" w:hAnsi="Arial"/>
                <w:sz w:val="18"/>
                <w:szCs w:val="18"/>
                <w:b w:val="1"/>
                <w:bCs w:val="1"/>
                <w:color w:val="003300"/>
              </w:rPr>
              <w:t>, I</w:t>
            </w:r>
            <w:r>
              <w:rPr>
                <w:rFonts w:ascii="Arial" w:cs="Arial" w:eastAsia="Arial" w:hAnsi="Arial"/>
                <w:sz w:val="12"/>
                <w:szCs w:val="12"/>
                <w:b w:val="1"/>
                <w:bCs w:val="1"/>
                <w:color w:val="003300"/>
              </w:rPr>
              <w:t>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6280" w:type="dxa"/>
            <w:vAlign w:val="bottom"/>
            <w:gridSpan w:val="3"/>
          </w:tcPr>
          <w:p>
            <w:pPr>
              <w:spacing w:after="0"/>
              <w:rPr>
                <w:sz w:val="20"/>
                <w:szCs w:val="20"/>
                <w:color w:val="auto"/>
              </w:rPr>
            </w:pPr>
            <w:r>
              <w:rPr>
                <w:rFonts w:ascii="Arial" w:cs="Arial" w:eastAsia="Arial" w:hAnsi="Arial"/>
                <w:sz w:val="18"/>
                <w:szCs w:val="18"/>
                <w:color w:val="003300"/>
              </w:rPr>
              <w:t>/s/ Michael Lowenstein</w:t>
            </w:r>
          </w:p>
        </w:tc>
        <w:tc>
          <w:tcPr>
            <w:tcW w:w="5140" w:type="dxa"/>
            <w:vAlign w:val="bottom"/>
          </w:tcPr>
          <w:p>
            <w:pPr>
              <w:spacing w:after="0"/>
              <w:rPr>
                <w:sz w:val="20"/>
                <w:szCs w:val="20"/>
                <w:color w:val="auto"/>
              </w:rPr>
            </w:pPr>
            <w:r>
              <w:rPr>
                <w:rFonts w:ascii="Arial" w:cs="Arial" w:eastAsia="Arial" w:hAnsi="Arial"/>
                <w:sz w:val="18"/>
                <w:szCs w:val="18"/>
                <w:color w:val="003300"/>
              </w:rPr>
              <w:t>/s/ James Polarek</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Michael Lowenstein</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James Polarek</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Chief Legal Counsel</w:t>
            </w:r>
          </w:p>
        </w:tc>
        <w:tc>
          <w:tcPr>
            <w:tcW w:w="5140" w:type="dxa"/>
            <w:vAlign w:val="bottom"/>
          </w:tcPr>
          <w:p>
            <w:pPr>
              <w:spacing w:after="0"/>
              <w:rPr>
                <w:sz w:val="20"/>
                <w:szCs w:val="20"/>
                <w:color w:val="auto"/>
              </w:rPr>
            </w:pPr>
            <w:r>
              <w:rPr>
                <w:rFonts w:ascii="Arial" w:cs="Arial" w:eastAsia="Arial" w:hAnsi="Arial"/>
                <w:sz w:val="18"/>
                <w:szCs w:val="18"/>
                <w:color w:val="003300"/>
              </w:rPr>
              <w:t>Vice President</w:t>
            </w:r>
          </w:p>
        </w:tc>
        <w:tc>
          <w:tcPr>
            <w:tcW w:w="20" w:type="dxa"/>
            <w:vAlign w:val="bottom"/>
          </w:tcPr>
          <w:p>
            <w:pPr>
              <w:spacing w:after="0"/>
              <w:rPr>
                <w:sz w:val="20"/>
                <w:szCs w:val="20"/>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8" w:name="page79"/>
    <w:bookmarkEnd w:id="78"/>
    <w:p>
      <w:pPr>
        <w:ind w:firstLine="8"/>
        <w:spacing w:after="0" w:line="282" w:lineRule="auto"/>
        <w:tabs>
          <w:tab w:leader="none" w:pos="25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(Version of March 18,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79" w:name="page80"/>
    <w:bookmarkEnd w:id="79"/>
    <w:p>
      <w:pPr>
        <w:ind w:firstLine="8"/>
        <w:spacing w:after="0" w:line="282" w:lineRule="auto"/>
        <w:tabs>
          <w:tab w:leader="none" w:pos="2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25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25 </w:t>
      </w:r>
      <w:r>
        <w:rPr>
          <w:rFonts w:ascii="Arial" w:cs="Arial" w:eastAsia="Arial" w:hAnsi="Arial"/>
          <w:sz w:val="17"/>
          <w:szCs w:val="17"/>
          <w:color w:val="auto"/>
        </w:rPr>
        <w:t>(the “25th Amendment”), retroactively effective as of October 15, 2015 (the “25th Amendment Effective Date”) by and between</w:t>
      </w:r>
      <w:r>
        <w:rPr>
          <w:rFonts w:ascii="Arial" w:cs="Arial" w:eastAsia="Arial" w:hAnsi="Arial"/>
          <w:sz w:val="17"/>
          <w:szCs w:val="17"/>
          <w:b w:val="1"/>
          <w:bCs w:val="1"/>
          <w:color w:val="auto"/>
        </w:rPr>
        <w:t xml:space="preserve"> 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CA 94158, USA (“”),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24, effective as of September 15, 2015 (hereinafter together the “Supply Agreement”). BI and FIBROGEN shall be referred to individually herein as a “Party”, and collectively as the “Parties”.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wishes BI to [*] in compliance with the terms of the Supply Agreement as set forth in and as amended by this 25th Amendment.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121" w:lineRule="exact"/>
        <w:rPr>
          <w:sz w:val="20"/>
          <w:szCs w:val="20"/>
          <w:color w:val="auto"/>
        </w:rPr>
      </w:pPr>
    </w:p>
    <w:p>
      <w:pPr>
        <w:ind w:left="1240" w:hanging="435"/>
        <w:spacing w:after="0" w:line="277"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25th Amendment shall have the meaning ascribed to them in the Supply Agreement.</w:t>
      </w:r>
    </w:p>
    <w:p>
      <w:pPr>
        <w:spacing w:after="0" w:line="170" w:lineRule="exact"/>
        <w:rPr>
          <w:rFonts w:ascii="Arial" w:cs="Arial" w:eastAsia="Arial" w:hAnsi="Arial"/>
          <w:sz w:val="18"/>
          <w:szCs w:val="18"/>
          <w:color w:val="auto"/>
        </w:rPr>
      </w:pPr>
    </w:p>
    <w:p>
      <w:pPr>
        <w:jc w:val="both"/>
        <w:ind w:left="1240" w:hanging="435"/>
        <w:spacing w:after="0" w:line="264"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Parties agree that pursuant to Section 2.2 of the Supply Agreement, the work plan entitled “[*], Version of March 19, 2016”,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is hereby added as an amendment to Appendix 2 to the Supply Agreement. Pursuant thereto BI shall on behalf of FibroGen and in accordance with the Supply Agreement, [*] (as defined in the Supply Agreement).</w:t>
      </w:r>
    </w:p>
    <w:p>
      <w:pPr>
        <w:spacing w:after="0" w:line="181" w:lineRule="exact"/>
        <w:rPr>
          <w:rFonts w:ascii="Arial" w:cs="Arial" w:eastAsia="Arial" w:hAnsi="Arial"/>
          <w:sz w:val="18"/>
          <w:szCs w:val="18"/>
          <w:color w:val="auto"/>
        </w:rPr>
      </w:pPr>
    </w:p>
    <w:p>
      <w:pPr>
        <w:jc w:val="both"/>
        <w:ind w:left="1240" w:hanging="435"/>
        <w:spacing w:after="0" w:line="279"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This 25th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25th Amendment, either oral or written, heretofore made with respect to subject matter herein are expressly superseded by this 25th Amendment.</w:t>
      </w:r>
    </w:p>
    <w:p>
      <w:pPr>
        <w:spacing w:after="0" w:line="171" w:lineRule="exact"/>
        <w:rPr>
          <w:rFonts w:ascii="Arial" w:cs="Arial" w:eastAsia="Arial" w:hAnsi="Arial"/>
          <w:sz w:val="17"/>
          <w:szCs w:val="17"/>
          <w:color w:val="auto"/>
        </w:rPr>
      </w:pPr>
    </w:p>
    <w:p>
      <w:pPr>
        <w:jc w:val="both"/>
        <w:ind w:left="1240" w:hanging="435"/>
        <w:spacing w:after="0" w:line="264"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25th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right="20" w:firstLine="8"/>
        <w:spacing w:after="0" w:line="282" w:lineRule="auto"/>
        <w:tabs>
          <w:tab w:leader="none" w:pos="25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auto"/>
        </w:rPr>
        <w:t>Exhibit 10.26(xxvii)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25th Amendment to the Supply Agreement effective as of October 15,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3300"/>
        </w:rPr>
        <w:t xml:space="preserve">Biberach, </w:t>
      </w:r>
      <w:r>
        <w:rPr>
          <w:rFonts w:ascii="Arial" w:cs="Arial" w:eastAsia="Arial" w:hAnsi="Arial"/>
          <w:sz w:val="18"/>
          <w:szCs w:val="18"/>
          <w:color w:val="000000"/>
        </w:rPr>
        <w:t>May 12,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300"/>
        </w:rPr>
        <w:t>B</w:t>
      </w:r>
      <w:r>
        <w:rPr>
          <w:rFonts w:ascii="Arial" w:cs="Arial" w:eastAsia="Arial" w:hAnsi="Arial"/>
          <w:sz w:val="12"/>
          <w:szCs w:val="12"/>
          <w:b w:val="1"/>
          <w:bCs w:val="1"/>
          <w:color w:val="003300"/>
        </w:rPr>
        <w:t>OEHRINGER</w:t>
      </w:r>
      <w:r>
        <w:rPr>
          <w:rFonts w:ascii="Arial" w:cs="Arial" w:eastAsia="Arial" w:hAnsi="Arial"/>
          <w:sz w:val="18"/>
          <w:szCs w:val="18"/>
          <w:b w:val="1"/>
          <w:bCs w:val="1"/>
          <w:color w:val="003300"/>
        </w:rPr>
        <w:t xml:space="preserve"> I</w:t>
      </w:r>
      <w:r>
        <w:rPr>
          <w:rFonts w:ascii="Arial" w:cs="Arial" w:eastAsia="Arial" w:hAnsi="Arial"/>
          <w:sz w:val="12"/>
          <w:szCs w:val="12"/>
          <w:b w:val="1"/>
          <w:bCs w:val="1"/>
          <w:color w:val="003300"/>
        </w:rPr>
        <w:t>NGELHEIM</w:t>
      </w:r>
      <w:r>
        <w:rPr>
          <w:rFonts w:ascii="Arial" w:cs="Arial" w:eastAsia="Arial" w:hAnsi="Arial"/>
          <w:sz w:val="18"/>
          <w:szCs w:val="18"/>
          <w:b w:val="1"/>
          <w:bCs w:val="1"/>
          <w:color w:val="003300"/>
        </w:rPr>
        <w:t xml:space="preserve"> B</w:t>
      </w:r>
      <w:r>
        <w:rPr>
          <w:rFonts w:ascii="Arial" w:cs="Arial" w:eastAsia="Arial" w:hAnsi="Arial"/>
          <w:sz w:val="12"/>
          <w:szCs w:val="12"/>
          <w:b w:val="1"/>
          <w:bCs w:val="1"/>
          <w:color w:val="003300"/>
        </w:rPr>
        <w:t>IOPHARMACEUTICALS</w:t>
      </w:r>
      <w:r>
        <w:rPr>
          <w:rFonts w:ascii="Arial" w:cs="Arial" w:eastAsia="Arial" w:hAnsi="Arial"/>
          <w:sz w:val="18"/>
          <w:szCs w:val="18"/>
          <w:b w:val="1"/>
          <w:bCs w:val="1"/>
          <w:color w:val="003300"/>
        </w:rPr>
        <w:t xml:space="preserve"> G</w:t>
      </w:r>
      <w:r>
        <w:rPr>
          <w:rFonts w:ascii="Arial" w:cs="Arial" w:eastAsia="Arial" w:hAnsi="Arial"/>
          <w:sz w:val="12"/>
          <w:szCs w:val="12"/>
          <w:b w:val="1"/>
          <w:bCs w:val="1"/>
          <w:color w:val="003300"/>
        </w:rPr>
        <w:t>MB</w:t>
      </w:r>
      <w:r>
        <w:rPr>
          <w:rFonts w:ascii="Arial" w:cs="Arial" w:eastAsia="Arial" w:hAnsi="Arial"/>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ppa.</w:t>
            </w:r>
          </w:p>
        </w:tc>
        <w:tc>
          <w:tcPr>
            <w:tcW w:w="5140" w:type="dxa"/>
            <w:vAlign w:val="bottom"/>
          </w:tcPr>
          <w:p>
            <w:pPr>
              <w:spacing w:after="0"/>
              <w:rPr>
                <w:sz w:val="20"/>
                <w:szCs w:val="20"/>
                <w:color w:val="auto"/>
              </w:rPr>
            </w:pPr>
            <w:r>
              <w:rPr>
                <w:rFonts w:ascii="Arial" w:cs="Arial" w:eastAsia="Arial" w:hAnsi="Arial"/>
                <w:sz w:val="18"/>
                <w:szCs w:val="18"/>
                <w:color w:val="003300"/>
              </w:rPr>
              <w:t>ppa.</w:t>
            </w:r>
          </w:p>
        </w:tc>
        <w:tc>
          <w:tcPr>
            <w:tcW w:w="20" w:type="dxa"/>
            <w:vAlign w:val="bottom"/>
          </w:tcPr>
          <w:p>
            <w:pPr>
              <w:spacing w:after="0"/>
              <w:rPr>
                <w:sz w:val="20"/>
                <w:szCs w:val="20"/>
                <w:color w:val="auto"/>
              </w:rPr>
            </w:pPr>
          </w:p>
        </w:tc>
      </w:tr>
      <w:tr>
        <w:trPr>
          <w:trHeight w:val="648"/>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003300"/>
              </w:rPr>
              <w:t>Head of Corporate Legal Biopharmaceuticals</w:t>
            </w:r>
          </w:p>
        </w:tc>
        <w:tc>
          <w:tcPr>
            <w:tcW w:w="20" w:type="dxa"/>
            <w:vAlign w:val="bottom"/>
          </w:tcPr>
          <w:p>
            <w:pPr>
              <w:spacing w:after="0"/>
              <w:rPr>
                <w:sz w:val="20"/>
                <w:szCs w:val="20"/>
                <w:color w:val="auto"/>
              </w:rPr>
            </w:pP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May 17, 2016</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003300"/>
              </w:rPr>
              <w:t>F</w:t>
            </w:r>
            <w:r>
              <w:rPr>
                <w:rFonts w:ascii="Arial" w:cs="Arial" w:eastAsia="Arial" w:hAnsi="Arial"/>
                <w:sz w:val="12"/>
                <w:szCs w:val="12"/>
                <w:b w:val="1"/>
                <w:bCs w:val="1"/>
                <w:color w:val="003300"/>
              </w:rPr>
              <w:t>IBRO</w:t>
            </w:r>
            <w:r>
              <w:rPr>
                <w:rFonts w:ascii="Arial" w:cs="Arial" w:eastAsia="Arial" w:hAnsi="Arial"/>
                <w:sz w:val="18"/>
                <w:szCs w:val="18"/>
                <w:b w:val="1"/>
                <w:bCs w:val="1"/>
                <w:color w:val="003300"/>
              </w:rPr>
              <w:t>G</w:t>
            </w:r>
            <w:r>
              <w:rPr>
                <w:rFonts w:ascii="Arial" w:cs="Arial" w:eastAsia="Arial" w:hAnsi="Arial"/>
                <w:sz w:val="12"/>
                <w:szCs w:val="12"/>
                <w:b w:val="1"/>
                <w:bCs w:val="1"/>
                <w:color w:val="003300"/>
              </w:rPr>
              <w:t>EN</w:t>
            </w:r>
            <w:r>
              <w:rPr>
                <w:rFonts w:ascii="Arial" w:cs="Arial" w:eastAsia="Arial" w:hAnsi="Arial"/>
                <w:sz w:val="18"/>
                <w:szCs w:val="18"/>
                <w:b w:val="1"/>
                <w:bCs w:val="1"/>
                <w:color w:val="003300"/>
              </w:rPr>
              <w:t>, I</w:t>
            </w:r>
            <w:r>
              <w:rPr>
                <w:rFonts w:ascii="Arial" w:cs="Arial" w:eastAsia="Arial" w:hAnsi="Arial"/>
                <w:sz w:val="12"/>
                <w:szCs w:val="12"/>
                <w:b w:val="1"/>
                <w:bCs w:val="1"/>
                <w:color w:val="003300"/>
              </w:rPr>
              <w:t>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6280" w:type="dxa"/>
            <w:vAlign w:val="bottom"/>
            <w:gridSpan w:val="3"/>
          </w:tcPr>
          <w:p>
            <w:pPr>
              <w:spacing w:after="0"/>
              <w:rPr>
                <w:sz w:val="20"/>
                <w:szCs w:val="20"/>
                <w:color w:val="auto"/>
              </w:rPr>
            </w:pPr>
            <w:r>
              <w:rPr>
                <w:rFonts w:ascii="Arial" w:cs="Arial" w:eastAsia="Arial" w:hAnsi="Arial"/>
                <w:sz w:val="18"/>
                <w:szCs w:val="18"/>
                <w:color w:val="003300"/>
              </w:rPr>
              <w:t>/s/ Michael Lowenstein</w:t>
            </w:r>
          </w:p>
        </w:tc>
        <w:tc>
          <w:tcPr>
            <w:tcW w:w="5140" w:type="dxa"/>
            <w:vAlign w:val="bottom"/>
          </w:tcPr>
          <w:p>
            <w:pPr>
              <w:spacing w:after="0"/>
              <w:rPr>
                <w:sz w:val="20"/>
                <w:szCs w:val="20"/>
                <w:color w:val="auto"/>
              </w:rPr>
            </w:pPr>
            <w:r>
              <w:rPr>
                <w:rFonts w:ascii="Arial" w:cs="Arial" w:eastAsia="Arial" w:hAnsi="Arial"/>
                <w:sz w:val="18"/>
                <w:szCs w:val="18"/>
                <w:color w:val="003300"/>
              </w:rPr>
              <w:t>/s/ James Polarek</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Michael Lowenstein</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James Polarek</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Chief Legal Counsel</w:t>
            </w:r>
          </w:p>
        </w:tc>
        <w:tc>
          <w:tcPr>
            <w:tcW w:w="5140" w:type="dxa"/>
            <w:vAlign w:val="bottom"/>
          </w:tcPr>
          <w:p>
            <w:pPr>
              <w:spacing w:after="0"/>
              <w:rPr>
                <w:sz w:val="20"/>
                <w:szCs w:val="20"/>
                <w:color w:val="auto"/>
              </w:rPr>
            </w:pPr>
            <w:r>
              <w:rPr>
                <w:rFonts w:ascii="Arial" w:cs="Arial" w:eastAsia="Arial" w:hAnsi="Arial"/>
                <w:sz w:val="18"/>
                <w:szCs w:val="18"/>
                <w:color w:val="003300"/>
              </w:rPr>
              <w:t>Vice President</w:t>
            </w:r>
          </w:p>
        </w:tc>
        <w:tc>
          <w:tcPr>
            <w:tcW w:w="20" w:type="dxa"/>
            <w:vAlign w:val="bottom"/>
          </w:tcPr>
          <w:p>
            <w:pPr>
              <w:spacing w:after="0"/>
              <w:rPr>
                <w:sz w:val="20"/>
                <w:szCs w:val="20"/>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1" w:name="page82"/>
    <w:bookmarkEnd w:id="81"/>
    <w:p>
      <w:pPr>
        <w:ind w:firstLine="8"/>
        <w:spacing w:after="0" w:line="282" w:lineRule="auto"/>
        <w:tabs>
          <w:tab w:leader="none" w:pos="25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(Version of March 19,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82" w:name="page83"/>
    <w:bookmarkEnd w:id="82"/>
    <w:p>
      <w:pPr>
        <w:ind w:firstLine="8"/>
        <w:spacing w:after="0" w:line="282" w:lineRule="auto"/>
        <w:tabs>
          <w:tab w:leader="none" w:pos="25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26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26 </w:t>
      </w:r>
      <w:r>
        <w:rPr>
          <w:rFonts w:ascii="Arial" w:cs="Arial" w:eastAsia="Arial" w:hAnsi="Arial"/>
          <w:sz w:val="17"/>
          <w:szCs w:val="17"/>
          <w:color w:val="auto"/>
        </w:rPr>
        <w:t>(the “26th Amendment”), effective as of the date of the last signature (the “26th Amendment Effective Date”) by and between</w:t>
      </w:r>
      <w:r>
        <w:rPr>
          <w:rFonts w:ascii="Arial" w:cs="Arial" w:eastAsia="Arial" w:hAnsi="Arial"/>
          <w:sz w:val="17"/>
          <w:szCs w:val="17"/>
          <w:b w:val="1"/>
          <w:bCs w:val="1"/>
          <w:color w:val="auto"/>
        </w:rPr>
        <w:t xml:space="preserve"> 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CA 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2015(hereinafter together the “Supply Agreement”). BI and FIBROGEN shall be referred to individually herein as a “Party”, and collectively as the “Parties”.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wishes BI to [*] in compliance with the terms of the Supply Agreement as set forth in and as amended by this 26th Amendment.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1240" w:hanging="435"/>
        <w:spacing w:after="0" w:line="277" w:lineRule="auto"/>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26th Amendment shall have the meaning ascribed to them in the Supply Agreement.</w:t>
      </w:r>
    </w:p>
    <w:p>
      <w:pPr>
        <w:spacing w:after="0" w:line="170" w:lineRule="exact"/>
        <w:rPr>
          <w:rFonts w:ascii="Arial" w:cs="Arial" w:eastAsia="Arial" w:hAnsi="Arial"/>
          <w:sz w:val="18"/>
          <w:szCs w:val="18"/>
          <w:color w:val="auto"/>
        </w:rPr>
      </w:pPr>
    </w:p>
    <w:p>
      <w:pPr>
        <w:ind w:left="1240" w:hanging="435"/>
        <w:spacing w:after="0" w:line="308" w:lineRule="auto"/>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Parties agree that pursuant to Section 2.2 of the Supply Agreement, the workplan entitled “[*]” in the current version as amended from time to time by amendments shall be changed by the document “[*], Version of June 15, 2016”,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1240" w:hanging="435"/>
        <w:spacing w:after="0" w:line="279" w:lineRule="auto"/>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26th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26th Amendment, either oral or written, heretofore made with respect to subject matter herein are expressly superseded by this 26th Amendment.</w:t>
      </w:r>
    </w:p>
    <w:p>
      <w:pPr>
        <w:spacing w:after="0" w:line="171" w:lineRule="exact"/>
        <w:rPr>
          <w:rFonts w:ascii="Arial" w:cs="Arial" w:eastAsia="Arial" w:hAnsi="Arial"/>
          <w:sz w:val="17"/>
          <w:szCs w:val="17"/>
          <w:color w:val="auto"/>
        </w:rPr>
      </w:pPr>
    </w:p>
    <w:p>
      <w:pPr>
        <w:jc w:val="both"/>
        <w:ind w:left="1240" w:hanging="435"/>
        <w:spacing w:after="0" w:line="264" w:lineRule="auto"/>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26th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ind w:right="20" w:firstLine="8"/>
        <w:spacing w:after="0" w:line="282"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860"/>
        <w:spacing w:after="0"/>
        <w:rPr>
          <w:sz w:val="20"/>
          <w:szCs w:val="20"/>
          <w:color w:val="auto"/>
        </w:rPr>
      </w:pPr>
      <w:r>
        <w:rPr>
          <w:rFonts w:ascii="Arial" w:cs="Arial" w:eastAsia="Arial" w:hAnsi="Arial"/>
          <w:sz w:val="17"/>
          <w:szCs w:val="17"/>
          <w:b w:val="1"/>
          <w:bCs w:val="1"/>
          <w:color w:val="auto"/>
        </w:rPr>
        <w:t>Exhibit 10.26(xxviii)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26th Amendment to the Supply Agreement as of the 26</w:t>
      </w:r>
      <w:r>
        <w:rPr>
          <w:rFonts w:ascii="Arial" w:cs="Arial" w:eastAsia="Arial" w:hAnsi="Arial"/>
          <w:sz w:val="15"/>
          <w:szCs w:val="15"/>
          <w:color w:val="auto"/>
        </w:rPr>
        <w:t>th</w:t>
      </w:r>
      <w:r>
        <w:rPr>
          <w:rFonts w:ascii="Arial" w:cs="Arial" w:eastAsia="Arial" w:hAnsi="Arial"/>
          <w:sz w:val="18"/>
          <w:szCs w:val="18"/>
          <w:color w:val="auto"/>
        </w:rPr>
        <w:t xml:space="preserve"> Amendment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3300"/>
        </w:rPr>
        <w:t xml:space="preserve">Biberach, </w:t>
      </w:r>
      <w:r>
        <w:rPr>
          <w:rFonts w:ascii="Arial" w:cs="Arial" w:eastAsia="Arial" w:hAnsi="Arial"/>
          <w:sz w:val="18"/>
          <w:szCs w:val="18"/>
          <w:color w:val="000000"/>
        </w:rPr>
        <w:t>June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300"/>
        </w:rPr>
        <w:t>B</w:t>
      </w:r>
      <w:r>
        <w:rPr>
          <w:rFonts w:ascii="Arial" w:cs="Arial" w:eastAsia="Arial" w:hAnsi="Arial"/>
          <w:sz w:val="12"/>
          <w:szCs w:val="12"/>
          <w:b w:val="1"/>
          <w:bCs w:val="1"/>
          <w:color w:val="003300"/>
        </w:rPr>
        <w:t>OEHRINGER</w:t>
      </w:r>
      <w:r>
        <w:rPr>
          <w:rFonts w:ascii="Arial" w:cs="Arial" w:eastAsia="Arial" w:hAnsi="Arial"/>
          <w:sz w:val="18"/>
          <w:szCs w:val="18"/>
          <w:b w:val="1"/>
          <w:bCs w:val="1"/>
          <w:color w:val="003300"/>
        </w:rPr>
        <w:t xml:space="preserve"> I</w:t>
      </w:r>
      <w:r>
        <w:rPr>
          <w:rFonts w:ascii="Arial" w:cs="Arial" w:eastAsia="Arial" w:hAnsi="Arial"/>
          <w:sz w:val="12"/>
          <w:szCs w:val="12"/>
          <w:b w:val="1"/>
          <w:bCs w:val="1"/>
          <w:color w:val="003300"/>
        </w:rPr>
        <w:t>NGELHEIM</w:t>
      </w:r>
      <w:r>
        <w:rPr>
          <w:rFonts w:ascii="Arial" w:cs="Arial" w:eastAsia="Arial" w:hAnsi="Arial"/>
          <w:sz w:val="18"/>
          <w:szCs w:val="18"/>
          <w:b w:val="1"/>
          <w:bCs w:val="1"/>
          <w:color w:val="003300"/>
        </w:rPr>
        <w:t xml:space="preserve"> B</w:t>
      </w:r>
      <w:r>
        <w:rPr>
          <w:rFonts w:ascii="Arial" w:cs="Arial" w:eastAsia="Arial" w:hAnsi="Arial"/>
          <w:sz w:val="12"/>
          <w:szCs w:val="12"/>
          <w:b w:val="1"/>
          <w:bCs w:val="1"/>
          <w:color w:val="003300"/>
        </w:rPr>
        <w:t>IOPHARMACEUTICALS</w:t>
      </w:r>
      <w:r>
        <w:rPr>
          <w:rFonts w:ascii="Arial" w:cs="Arial" w:eastAsia="Arial" w:hAnsi="Arial"/>
          <w:sz w:val="18"/>
          <w:szCs w:val="18"/>
          <w:b w:val="1"/>
          <w:bCs w:val="1"/>
          <w:color w:val="003300"/>
        </w:rPr>
        <w:t xml:space="preserve"> G</w:t>
      </w:r>
      <w:r>
        <w:rPr>
          <w:rFonts w:ascii="Arial" w:cs="Arial" w:eastAsia="Arial" w:hAnsi="Arial"/>
          <w:sz w:val="12"/>
          <w:szCs w:val="12"/>
          <w:b w:val="1"/>
          <w:bCs w:val="1"/>
          <w:color w:val="003300"/>
        </w:rPr>
        <w:t>MB</w:t>
      </w:r>
      <w:r>
        <w:rPr>
          <w:rFonts w:ascii="Arial" w:cs="Arial" w:eastAsia="Arial" w:hAnsi="Arial"/>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ppa.</w:t>
            </w:r>
          </w:p>
        </w:tc>
        <w:tc>
          <w:tcPr>
            <w:tcW w:w="5140" w:type="dxa"/>
            <w:vAlign w:val="bottom"/>
          </w:tcPr>
          <w:p>
            <w:pPr>
              <w:spacing w:after="0"/>
              <w:rPr>
                <w:sz w:val="20"/>
                <w:szCs w:val="20"/>
                <w:color w:val="auto"/>
              </w:rPr>
            </w:pPr>
            <w:r>
              <w:rPr>
                <w:rFonts w:ascii="Arial" w:cs="Arial" w:eastAsia="Arial" w:hAnsi="Arial"/>
                <w:sz w:val="18"/>
                <w:szCs w:val="18"/>
                <w:color w:val="003300"/>
              </w:rPr>
              <w:t>ppa.</w:t>
            </w:r>
          </w:p>
        </w:tc>
        <w:tc>
          <w:tcPr>
            <w:tcW w:w="20" w:type="dxa"/>
            <w:vAlign w:val="bottom"/>
          </w:tcPr>
          <w:p>
            <w:pPr>
              <w:spacing w:after="0"/>
              <w:rPr>
                <w:sz w:val="20"/>
                <w:szCs w:val="20"/>
                <w:color w:val="auto"/>
              </w:rPr>
            </w:pPr>
          </w:p>
        </w:tc>
      </w:tr>
      <w:tr>
        <w:trPr>
          <w:trHeight w:val="648"/>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003300"/>
              </w:rPr>
              <w:t>Head of Corporate Legal Biopharmaceuticals</w:t>
            </w:r>
          </w:p>
        </w:tc>
        <w:tc>
          <w:tcPr>
            <w:tcW w:w="20" w:type="dxa"/>
            <w:vAlign w:val="bottom"/>
          </w:tcPr>
          <w:p>
            <w:pPr>
              <w:spacing w:after="0"/>
              <w:rPr>
                <w:sz w:val="20"/>
                <w:szCs w:val="20"/>
                <w:color w:val="auto"/>
              </w:rPr>
            </w:pP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June 29, 2016</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003300"/>
              </w:rPr>
              <w:t>F</w:t>
            </w:r>
            <w:r>
              <w:rPr>
                <w:rFonts w:ascii="Arial" w:cs="Arial" w:eastAsia="Arial" w:hAnsi="Arial"/>
                <w:sz w:val="12"/>
                <w:szCs w:val="12"/>
                <w:b w:val="1"/>
                <w:bCs w:val="1"/>
                <w:color w:val="003300"/>
              </w:rPr>
              <w:t>IBRO</w:t>
            </w:r>
            <w:r>
              <w:rPr>
                <w:rFonts w:ascii="Arial" w:cs="Arial" w:eastAsia="Arial" w:hAnsi="Arial"/>
                <w:sz w:val="18"/>
                <w:szCs w:val="18"/>
                <w:b w:val="1"/>
                <w:bCs w:val="1"/>
                <w:color w:val="003300"/>
              </w:rPr>
              <w:t>G</w:t>
            </w:r>
            <w:r>
              <w:rPr>
                <w:rFonts w:ascii="Arial" w:cs="Arial" w:eastAsia="Arial" w:hAnsi="Arial"/>
                <w:sz w:val="12"/>
                <w:szCs w:val="12"/>
                <w:b w:val="1"/>
                <w:bCs w:val="1"/>
                <w:color w:val="003300"/>
              </w:rPr>
              <w:t>EN</w:t>
            </w:r>
            <w:r>
              <w:rPr>
                <w:rFonts w:ascii="Arial" w:cs="Arial" w:eastAsia="Arial" w:hAnsi="Arial"/>
                <w:sz w:val="18"/>
                <w:szCs w:val="18"/>
                <w:b w:val="1"/>
                <w:bCs w:val="1"/>
                <w:color w:val="003300"/>
              </w:rPr>
              <w:t>, I</w:t>
            </w:r>
            <w:r>
              <w:rPr>
                <w:rFonts w:ascii="Arial" w:cs="Arial" w:eastAsia="Arial" w:hAnsi="Arial"/>
                <w:sz w:val="12"/>
                <w:szCs w:val="12"/>
                <w:b w:val="1"/>
                <w:bCs w:val="1"/>
                <w:color w:val="003300"/>
              </w:rPr>
              <w:t>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6280" w:type="dxa"/>
            <w:vAlign w:val="bottom"/>
            <w:gridSpan w:val="3"/>
          </w:tcPr>
          <w:p>
            <w:pPr>
              <w:spacing w:after="0"/>
              <w:rPr>
                <w:sz w:val="20"/>
                <w:szCs w:val="20"/>
                <w:color w:val="auto"/>
              </w:rPr>
            </w:pPr>
            <w:r>
              <w:rPr>
                <w:rFonts w:ascii="Arial" w:cs="Arial" w:eastAsia="Arial" w:hAnsi="Arial"/>
                <w:sz w:val="18"/>
                <w:szCs w:val="18"/>
                <w:color w:val="003300"/>
              </w:rPr>
              <w:t>/s/ Michael Lowenstein</w:t>
            </w:r>
          </w:p>
        </w:tc>
        <w:tc>
          <w:tcPr>
            <w:tcW w:w="5140" w:type="dxa"/>
            <w:vAlign w:val="bottom"/>
          </w:tcPr>
          <w:p>
            <w:pPr>
              <w:spacing w:after="0"/>
              <w:rPr>
                <w:sz w:val="20"/>
                <w:szCs w:val="20"/>
                <w:color w:val="auto"/>
              </w:rPr>
            </w:pPr>
            <w:r>
              <w:rPr>
                <w:rFonts w:ascii="Arial" w:cs="Arial" w:eastAsia="Arial" w:hAnsi="Arial"/>
                <w:sz w:val="18"/>
                <w:szCs w:val="18"/>
                <w:color w:val="003300"/>
              </w:rPr>
              <w:t>/s/ Jim Polarek</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Name…Michael Lowenstein</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003300"/>
              </w:rPr>
              <w:t>Name…Jim Polarek</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Title…Chief Legal Counsel</w:t>
            </w:r>
          </w:p>
        </w:tc>
        <w:tc>
          <w:tcPr>
            <w:tcW w:w="5140" w:type="dxa"/>
            <w:vAlign w:val="bottom"/>
          </w:tcPr>
          <w:p>
            <w:pPr>
              <w:spacing w:after="0"/>
              <w:rPr>
                <w:sz w:val="20"/>
                <w:szCs w:val="20"/>
                <w:color w:val="auto"/>
              </w:rPr>
            </w:pPr>
            <w:r>
              <w:rPr>
                <w:rFonts w:ascii="Arial" w:cs="Arial" w:eastAsia="Arial" w:hAnsi="Arial"/>
                <w:sz w:val="18"/>
                <w:szCs w:val="18"/>
                <w:color w:val="003300"/>
              </w:rPr>
              <w:t>Title…Vice President</w:t>
            </w:r>
          </w:p>
        </w:tc>
        <w:tc>
          <w:tcPr>
            <w:tcW w:w="20" w:type="dxa"/>
            <w:vAlign w:val="bottom"/>
          </w:tcPr>
          <w:p>
            <w:pPr>
              <w:spacing w:after="0"/>
              <w:rPr>
                <w:sz w:val="20"/>
                <w:szCs w:val="20"/>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4" w:name="page85"/>
    <w:bookmarkEnd w:id="84"/>
    <w:p>
      <w:pPr>
        <w:ind w:firstLine="8"/>
        <w:spacing w:after="0" w:line="282" w:lineRule="auto"/>
        <w:tabs>
          <w:tab w:leader="none" w:pos="25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10.26(xxviii)</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(Version of June 15,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8,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8,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as adopted pursuant to Section 906 of the Sarbanes-Oxley Act of 2002, Thomas B. Neff, Chief Executive Officer of FibroGen, Inc. (“the Company”), and Pat Cotroneo, Chief Financial Officer of the Company, each hereby certifies that, to the best of his knowledge:</w:t>
      </w:r>
    </w:p>
    <w:p>
      <w:pPr>
        <w:spacing w:after="0" w:line="187" w:lineRule="exact"/>
        <w:rPr>
          <w:sz w:val="20"/>
          <w:szCs w:val="20"/>
          <w:color w:val="auto"/>
        </w:rPr>
      </w:pPr>
    </w:p>
    <w:p>
      <w:pPr>
        <w:ind w:left="520" w:right="8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2016, to which this Certification is attached as Exhibit 32.1 (“Quarterly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50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decimal"/>
      <w:start w:val="3"/>
    </w:lvl>
  </w:abstractNum>
  <w:abstractNum w:abstractNumId="9">
    <w:nsid w:val="2463B9EA"/>
    <w:multiLevelType w:val="hybridMultilevel"/>
    <w:lvl w:ilvl="0">
      <w:lvlJc w:val="left"/>
      <w:lvlText w:val="%1."/>
      <w:numFmt w:val="decimal"/>
      <w:start w:val="5"/>
    </w:lvl>
  </w:abstractNum>
  <w:abstractNum w:abstractNumId="10">
    <w:nsid w:val="5E884ADC"/>
    <w:multiLevelType w:val="hybridMultilevel"/>
    <w:lvl w:ilvl="0">
      <w:lvlJc w:val="left"/>
      <w:lvlText w:val="%1."/>
      <w:numFmt w:val="decimal"/>
      <w:start w:val="6"/>
    </w:lvl>
  </w:abstractNum>
  <w:abstractNum w:abstractNumId="11">
    <w:nsid w:val="51EAD36B"/>
    <w:multiLevelType w:val="hybridMultilevel"/>
    <w:lvl w:ilvl="0">
      <w:lvlJc w:val="left"/>
      <w:lvlText w:val="%1."/>
      <w:numFmt w:val="decimal"/>
      <w:start w:val="7"/>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lvl w:ilvl="1">
      <w:lvlJc w:val="left"/>
      <w:lvlText w:val="(%2)"/>
      <w:numFmt w:val="lowerRoman"/>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lowerLetter"/>
      <w:start w:val="1"/>
    </w:lvl>
    <w:lvl w:ilvl="1">
      <w:lvlJc w:val="left"/>
      <w:lvlText w:val="(%2)"/>
      <w:numFmt w:val="lowerLetter"/>
      <w:start w:val="27"/>
    </w:lvl>
    <w:lvl w:ilvl="2">
      <w:lvlJc w:val="left"/>
      <w:lvlText w:val="(%3)"/>
      <w:numFmt w:val="lowerRoman"/>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2"/>
    </w:lvl>
  </w:abstractNum>
  <w:abstractNum w:abstractNumId="50">
    <w:nsid w:val="354FE9F9"/>
    <w:multiLevelType w:val="hybridMultilevel"/>
    <w:lvl w:ilvl="0">
      <w:lvlJc w:val="left"/>
      <w:lvlText w:val="%1."/>
      <w:numFmt w:val="decimal"/>
      <w:start w:val="3"/>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2019-12-29T10:54:06Z</dcterms:created>
  <dcterms:modified xsi:type="dcterms:W3CDTF">2019-12-29T10:54:06Z</dcterms:modified>
</cp:coreProperties>
</file>