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62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3200" w:type="dxa"/>
            <w:vAlign w:val="bottom"/>
            <w:gridSpan w:val="2"/>
          </w:tcPr>
          <w:p>
            <w:pPr>
              <w:spacing w:after="0"/>
              <w:rPr>
                <w:sz w:val="17"/>
                <w:szCs w:val="17"/>
                <w:color w:val="auto"/>
              </w:rPr>
            </w:pPr>
          </w:p>
        </w:tc>
      </w:tr>
      <w:tr>
        <w:trPr>
          <w:trHeight w:val="345"/>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94"/>
        </w:trPr>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583"/>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240" w:type="dxa"/>
            <w:vAlign w:val="bottom"/>
            <w:gridSpan w:val="9"/>
          </w:tcPr>
          <w:p>
            <w:pPr>
              <w:jc w:val="center"/>
              <w:ind w:right="301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81"/>
        </w:trPr>
        <w:tc>
          <w:tcPr>
            <w:tcW w:w="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60" w:type="dxa"/>
            <w:vAlign w:val="bottom"/>
          </w:tcPr>
          <w:p>
            <w:pPr>
              <w:spacing w:after="0"/>
              <w:rPr>
                <w:sz w:val="7"/>
                <w:szCs w:val="7"/>
                <w:color w:val="auto"/>
              </w:rPr>
            </w:pPr>
          </w:p>
        </w:tc>
      </w:tr>
      <w:tr>
        <w:trPr>
          <w:trHeight w:val="308"/>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60" w:type="dxa"/>
            <w:vAlign w:val="bottom"/>
            <w:gridSpan w:val="5"/>
          </w:tcPr>
          <w:p>
            <w:pPr>
              <w:jc w:val="right"/>
              <w:ind w:right="1799"/>
              <w:spacing w:after="0"/>
              <w:rPr>
                <w:sz w:val="20"/>
                <w:szCs w:val="20"/>
                <w:color w:val="auto"/>
              </w:rPr>
            </w:pPr>
            <w:r>
              <w:rPr>
                <w:rFonts w:ascii="Arial" w:cs="Arial" w:eastAsia="Arial" w:hAnsi="Arial"/>
                <w:sz w:val="18"/>
                <w:szCs w:val="18"/>
                <w:b w:val="1"/>
                <w:bCs w:val="1"/>
                <w:color w:val="auto"/>
              </w:rPr>
              <w:t>77-0357827</w:t>
            </w:r>
          </w:p>
        </w:tc>
      </w:tr>
      <w:tr>
        <w:trPr>
          <w:trHeight w:val="148"/>
        </w:trPr>
        <w:tc>
          <w:tcPr>
            <w:tcW w:w="80" w:type="dxa"/>
            <w:vAlign w:val="bottom"/>
          </w:tcPr>
          <w:p>
            <w:pPr>
              <w:spacing w:after="0"/>
              <w:rPr>
                <w:sz w:val="12"/>
                <w:szCs w:val="12"/>
                <w:color w:val="auto"/>
              </w:rPr>
            </w:pPr>
          </w:p>
        </w:tc>
        <w:tc>
          <w:tcPr>
            <w:tcW w:w="6040" w:type="dxa"/>
            <w:vAlign w:val="bottom"/>
            <w:gridSpan w:val="5"/>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jc w:val="center"/>
              <w:ind w:right="13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409 Illinois Street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80" w:type="dxa"/>
            <w:vAlign w:val="bottom"/>
          </w:tcPr>
          <w:p>
            <w:pPr>
              <w:spacing w:after="0"/>
              <w:rPr>
                <w:sz w:val="18"/>
                <w:szCs w:val="18"/>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0"/>
              </w:rPr>
              <w:t>San Francisco, CA</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gridSpan w:val="5"/>
          </w:tcPr>
          <w:p>
            <w:pPr>
              <w:jc w:val="right"/>
              <w:ind w:right="1999"/>
              <w:spacing w:after="0"/>
              <w:rPr>
                <w:sz w:val="20"/>
                <w:szCs w:val="20"/>
                <w:color w:val="auto"/>
              </w:rPr>
            </w:pPr>
            <w:r>
              <w:rPr>
                <w:rFonts w:ascii="Arial" w:cs="Arial" w:eastAsia="Arial" w:hAnsi="Arial"/>
                <w:sz w:val="18"/>
                <w:szCs w:val="18"/>
                <w:b w:val="1"/>
                <w:bCs w:val="1"/>
                <w:color w:val="auto"/>
              </w:rPr>
              <w:t>94158</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60" w:type="dxa"/>
            <w:vAlign w:val="bottom"/>
            <w:gridSpan w:val="8"/>
          </w:tcPr>
          <w:p>
            <w:pPr>
              <w:jc w:val="center"/>
              <w:ind w:right="33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6"/>
        </w:trPr>
        <w:tc>
          <w:tcPr>
            <w:tcW w:w="80" w:type="dxa"/>
            <w:vAlign w:val="bottom"/>
          </w:tcPr>
          <w:p>
            <w:pPr>
              <w:spacing w:after="0"/>
              <w:rPr>
                <w:sz w:val="5"/>
                <w:szCs w:val="5"/>
                <w:color w:val="auto"/>
              </w:rPr>
            </w:pPr>
          </w:p>
        </w:tc>
        <w:tc>
          <w:tcPr>
            <w:tcW w:w="324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4"/>
        </w:trPr>
        <w:tc>
          <w:tcPr>
            <w:tcW w:w="61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81"/>
        </w:trPr>
        <w:tc>
          <w:tcPr>
            <w:tcW w:w="8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r>
      <w:tr>
        <w:trPr>
          <w:trHeight w:val="191"/>
        </w:trPr>
        <w:tc>
          <w:tcPr>
            <w:tcW w:w="80" w:type="dxa"/>
            <w:vAlign w:val="bottom"/>
            <w:tcBorders>
              <w:right w:val="single" w:sz="8" w:color="auto"/>
            </w:tcBorders>
          </w:tcPr>
          <w:p>
            <w:pPr>
              <w:spacing w:after="0"/>
              <w:rPr>
                <w:sz w:val="16"/>
                <w:szCs w:val="16"/>
                <w:color w:val="auto"/>
              </w:rPr>
            </w:pPr>
          </w:p>
        </w:tc>
        <w:tc>
          <w:tcPr>
            <w:tcW w:w="2960" w:type="dxa"/>
            <w:vAlign w:val="bottom"/>
          </w:tcPr>
          <w:p>
            <w:pPr>
              <w:ind w:left="940"/>
              <w:spacing w:after="0" w:line="191"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2"/>
          </w:tcPr>
          <w:p>
            <w:pPr>
              <w:jc w:val="center"/>
              <w:ind w:left="210"/>
              <w:spacing w:after="0" w:line="191" w:lineRule="exact"/>
              <w:rPr>
                <w:sz w:val="20"/>
                <w:szCs w:val="20"/>
                <w:color w:val="auto"/>
              </w:rPr>
            </w:pPr>
            <w:r>
              <w:rPr>
                <w:rFonts w:ascii="Arial" w:cs="Arial" w:eastAsia="Arial" w:hAnsi="Arial"/>
                <w:sz w:val="18"/>
                <w:szCs w:val="18"/>
                <w:b w:val="1"/>
                <w:bCs w:val="1"/>
                <w:color w:val="auto"/>
                <w:w w:val="91"/>
              </w:rPr>
              <w:t>Trading Symbol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80" w:type="dxa"/>
            <w:vAlign w:val="bottom"/>
            <w:tcBorders>
              <w:right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0"/>
        </w:trPr>
        <w:tc>
          <w:tcPr>
            <w:tcW w:w="80" w:type="dxa"/>
            <w:vAlign w:val="bottom"/>
            <w:tcBorders>
              <w:right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1"/>
              </w:rPr>
              <w:t>FGEN</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jc w:val="both"/>
        <w:ind w:right="40"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40" w:firstLine="56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right="220" w:firstLine="56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60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April 30, 2021 was 92,128,227.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7040" w:type="dxa"/>
            <w:vAlign w:val="bottom"/>
            <w:gridSpan w:val="14"/>
            <w:vMerge w:val="restart"/>
          </w:tcPr>
          <w:p>
            <w:pPr>
              <w:jc w:val="center"/>
              <w:ind w:right="38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40" w:type="dxa"/>
            <w:vAlign w:val="bottom"/>
            <w:gridSpan w:val="14"/>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Financial Statements (Unaudited)</w:t>
              </w:r>
            </w:hyperlink>
          </w:p>
        </w:tc>
        <w:tc>
          <w:tcPr>
            <w:tcW w:w="562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2021 and December 31,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Months Ended March 31, 2021 and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2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Loss for the Three Months Ended March 31, 2021 and 2020 (Unaudited)</w:t>
              </w:r>
            </w:hyperlink>
          </w:p>
        </w:tc>
        <w:tc>
          <w:tcPr>
            <w:tcW w:w="6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Condensed Consolidated Statements of Changes in Equity for the Three Months Ended March 31, 2021 and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080" w:type="dxa"/>
            <w:vAlign w:val="bottom"/>
            <w:tcBorders>
              <w:top w:val="single" w:sz="8" w:color="0000EE"/>
            </w:tcBorders>
            <w:gridSpan w:val="20"/>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Condensed Consolidated Statements of Cash Flows for the Three Months Ended March 31, 2021 and 2020 (Unaudited)</w:t>
              </w:r>
            </w:hyperlink>
          </w:p>
        </w:tc>
        <w:tc>
          <w:tcPr>
            <w:tcW w:w="8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 (Unaudited)</w:t>
              </w:r>
            </w:hyperlink>
          </w:p>
        </w:tc>
        <w:tc>
          <w:tcPr>
            <w:tcW w:w="12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8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4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4"/>
          </w:tcPr>
          <w:p>
            <w:pPr>
              <w:jc w:val="center"/>
              <w:ind w:right="386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0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02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56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Unregistered Sales of Equity Securities and Use of Proceeds</w:t>
              </w:r>
            </w:hyperlink>
          </w:p>
        </w:tc>
        <w:tc>
          <w:tcPr>
            <w:tcW w:w="554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Defaults Upon Senior Securities</w:t>
              </w:r>
            </w:hyperlink>
          </w:p>
        </w:tc>
        <w:tc>
          <w:tcPr>
            <w:tcW w:w="756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812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17"/>
                <w:szCs w:val="17"/>
                <w:color w:val="auto"/>
              </w:rPr>
            </w:pPr>
          </w:p>
        </w:tc>
        <w:tc>
          <w:tcPr>
            <w:tcW w:w="858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Signatures</w:t>
              </w:r>
            </w:hyperlink>
          </w:p>
        </w:tc>
        <w:tc>
          <w:tcPr>
            <w:tcW w:w="912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5160" w:type="dxa"/>
            <w:vAlign w:val="bottom"/>
            <w:gridSpan w:val="13"/>
          </w:tcPr>
          <w:p>
            <w:pPr>
              <w:ind w:left="466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success of the Company will depend on a number of factors, many of which are beyond our control and involve risks, including but not limited to the following: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substantially dependent on the success of our lead product, roxadustat, and our second compound in development, pamrevlumab.</w:t>
      </w:r>
    </w:p>
    <w:p>
      <w:pPr>
        <w:spacing w:after="0" w:line="34" w:lineRule="exact"/>
        <w:rPr>
          <w:rFonts w:ascii="Arial" w:cs="Arial" w:eastAsia="Arial" w:hAnsi="Arial"/>
          <w:sz w:val="17"/>
          <w:szCs w:val="17"/>
          <w:color w:val="auto"/>
        </w:rPr>
      </w:pPr>
    </w:p>
    <w:p>
      <w:pPr>
        <w:ind w:left="500" w:right="260" w:hanging="492"/>
        <w:spacing w:after="0" w:line="26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ind w:left="500" w:right="60" w:hanging="492"/>
        <w:spacing w:after="0" w:line="26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Although regulatory approval has been obtained for roxadustat in China, Japan, and Chile, we may be unable to obtain regulatory approval for other countries, or such approval may be delayed or limited, due to a number of factors, many of which are beyond our control.</w:t>
      </w:r>
    </w:p>
    <w:p>
      <w:pPr>
        <w:ind w:left="500" w:right="46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the FDA Cardiovascular and Renal Drugs Advisory Committee meeting may affect roxadustat’s approvability and label in CKD anemia.</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Phase 1 and Phase 2 clinical trial results may not be indicative of the results that may be obtained in larger clinical trials.</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ind w:left="500" w:right="18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cause or have attributed to them undesirable side effects or have other properties that delay or prevent their regulatory approval or limit their commercial potential.</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spacing w:after="0" w:line="9"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manufacturers or we cannot properly manufacture sufficient product, we may experience delays in development, regulatory approval, launch or successful commercialization.</w:t>
      </w:r>
    </w:p>
    <w:p>
      <w:pPr>
        <w:ind w:left="500" w:right="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ind w:left="500" w:right="18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are able to obtain regulatory approval of our product candidates, the label we obtain may limit the indicated uses for which our product candidates may be marketed.</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in the discovery, development and commercialization of product candidates.</w:t>
      </w:r>
    </w:p>
    <w:p>
      <w:pPr>
        <w:spacing w:after="0" w:line="9" w:lineRule="exact"/>
        <w:rPr>
          <w:rFonts w:ascii="Arial" w:cs="Arial" w:eastAsia="Arial" w:hAnsi="Arial"/>
          <w:sz w:val="18"/>
          <w:szCs w:val="18"/>
          <w:color w:val="auto"/>
        </w:rPr>
      </w:pPr>
    </w:p>
    <w:p>
      <w:pPr>
        <w:ind w:left="500" w:right="5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necessary for commercial success.</w:t>
      </w:r>
    </w:p>
    <w:p>
      <w:pPr>
        <w:ind w:left="500" w:right="40" w:hanging="492"/>
        <w:spacing w:after="0" w:line="26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or limited reimbursement or insurance coverage of our approved products, if any, by third-party payors may render our products less attractive to patients and healthcare providers.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Severe Acute Respiratory Syndrome Coronavirus 2 and the Resulting Coronavirus Disease (“COVID-19”)</w:t>
      </w:r>
    </w:p>
    <w:p>
      <w:pPr>
        <w:spacing w:after="0" w:line="12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COVID-19 global pandemic.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00" w:right="80" w:hanging="492"/>
        <w:spacing w:after="0" w:line="25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preclinical and clinical trial contractors do not properly perform their agreed upon obligations, we may not be able to obtain or may be delayed in receiving regulatory approvals for our product candidates.</w:t>
      </w:r>
    </w:p>
    <w:p>
      <w:pPr>
        <w:ind w:left="500" w:right="18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ind w:left="500" w:right="140" w:hanging="492"/>
        <w:spacing w:after="0" w:line="26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disputes may be costly, time consuming, and may negatively affect our competitive position.</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ind w:left="500" w:right="16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ind w:left="500" w:right="10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rights do not address all potential threats to any competitive advantage we may have.</w:t>
      </w:r>
    </w:p>
    <w:p>
      <w:pPr>
        <w:spacing w:after="0" w:line="9" w:lineRule="exact"/>
        <w:rPr>
          <w:rFonts w:ascii="Arial" w:cs="Arial" w:eastAsia="Arial" w:hAnsi="Arial"/>
          <w:sz w:val="18"/>
          <w:szCs w:val="18"/>
          <w:color w:val="auto"/>
        </w:rPr>
      </w:pPr>
    </w:p>
    <w:p>
      <w:pPr>
        <w:ind w:left="500" w:right="420" w:hanging="49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existence of counterfeit pharmaceutical products in pharmaceutical markets may compromise our brand and reputation and have a material adverse effect on our business, operations and prospects.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 is highly uncertain and we may not obtain regulatory approval for our product candidates.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could fail to receive regulatory approval from the FDA or other regulatory authorities.</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laws and regulations governing corruption, which will require us to maintain costly compliance programs.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ind w:left="500" w:right="600" w:hanging="492"/>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recent U.S. healthcare reform, its potential partial or full repeal, and other changes in the healthcare industry and in healthcare spending is currently unknown, and may adversely affect our business model.</w:t>
      </w:r>
    </w:p>
    <w:p>
      <w:pPr>
        <w:ind w:left="500" w:hanging="492"/>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Roxadustat is considered a Class 2 substance on the 2019 World Anti-Doping Agency Prohibited List that could limit sales and increase security and distribution costs for our partners and us.</w:t>
      </w: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employees may engage in misconduct or improper activities, which could result in significant liability or harm our reputation.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environmental, health or safety laws and regulations, we could incur fines, penalties or other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left="500" w:right="320" w:hanging="492"/>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pharmaceutical industry in China is highly regulated and such regulations are subject to change.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experience distributing drugs in China.</w:t>
      </w:r>
    </w:p>
    <w:p>
      <w:pPr>
        <w:spacing w:after="0" w:line="9" w:lineRule="exact"/>
        <w:rPr>
          <w:rFonts w:ascii="Arial" w:cs="Arial" w:eastAsia="Arial" w:hAnsi="Arial"/>
          <w:sz w:val="18"/>
          <w:szCs w:val="18"/>
          <w:color w:val="auto"/>
        </w:rPr>
      </w:pPr>
    </w:p>
    <w:p>
      <w:pPr>
        <w:ind w:left="500" w:right="320" w:hanging="492"/>
        <w:spacing w:after="0" w:line="28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use our own manufacturing facilities in China to produce roxadustat API and drug product. There are risks inherent to operating commercial manufacturing facilities, and with these being our single source suppliers, we may not be able to continually meet market demand.</w:t>
      </w:r>
    </w:p>
    <w:p>
      <w:pPr>
        <w:spacing w:after="0" w:line="1" w:lineRule="exact"/>
        <w:rPr>
          <w:rFonts w:ascii="Arial" w:cs="Arial" w:eastAsia="Arial" w:hAnsi="Arial"/>
          <w:sz w:val="16"/>
          <w:szCs w:val="16"/>
          <w:color w:val="auto"/>
        </w:rPr>
      </w:pPr>
    </w:p>
    <w:p>
      <w:pPr>
        <w:ind w:left="500" w:right="42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ind w:left="500" w:right="22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collaboration partner in China, AstraZeneca, and we may experience difficulties in successfully growing and sustaining sales of roxadustat in China.</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retail prices of any product candidates that we develop may be subject to pricing control in China and elsewhere.</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FibroGen (China) Medical Technology Development Co., Ltd. (“FibroGen Beijing”) would be subject to restrictions on paying dividends or making other payments to us, which may restrict our ability to satisfy our liquidity requirements.</w:t>
      </w:r>
    </w:p>
    <w:p>
      <w:pPr>
        <w:ind w:left="500" w:right="2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capital contributions from us to FibroGen Beijing must be approved by the Ministry of Commerce in China, and failure to obtain such approval may materially and adversely affect the liquidity position of FibroGen Beijing.</w:t>
      </w:r>
    </w:p>
    <w:p>
      <w:pPr>
        <w:ind w:left="500" w:right="2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currency exchange rate fluctuations and currency exchange restrictions with respect to our operations in China, which could adversely affect our financial performance.</w:t>
      </w:r>
    </w:p>
    <w:p>
      <w:pPr>
        <w:ind w:left="500" w:right="28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FibroGen Beijing’s funds are held in banks that do not provide insurance, the failure of any bank in which FibroGen Beijing deposits its funds could adversely affect our business.</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tax inefficiencies associated with our offshore corporate structure.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foreign operations, particularly those in China, are subject to significant risks involving the protection of intellectual property.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with respect to the China legal system could have a material adverse effect on us.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China’s economic, governmental, or social conditions could have a material adverse effect on our business.</w:t>
      </w:r>
    </w:p>
    <w:p>
      <w:pPr>
        <w:spacing w:after="0" w:line="9" w:lineRule="exact"/>
        <w:rPr>
          <w:rFonts w:ascii="Arial" w:cs="Arial" w:eastAsia="Arial" w:hAnsi="Arial"/>
          <w:sz w:val="18"/>
          <w:szCs w:val="18"/>
          <w:color w:val="auto"/>
        </w:rPr>
      </w:pPr>
    </w:p>
    <w:p>
      <w:pPr>
        <w:ind w:left="500" w:right="80" w:hanging="492"/>
        <w:spacing w:after="0" w:line="26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Part II – Other Information, Item 1A. Risk Factors</w:t>
      </w:r>
      <w:r>
        <w:rPr>
          <w:rFonts w:ascii="Arial" w:cs="Arial" w:eastAsia="Arial" w:hAnsi="Arial"/>
          <w:sz w:val="18"/>
          <w:szCs w:val="18"/>
          <w:color w:val="auto"/>
        </w:rPr>
        <w:t xml:space="preserve"> for additional risk factors related to the operation of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also a variety of Risks Related to Our Common Stock</w:t>
      </w:r>
    </w:p>
    <w:p>
      <w:pPr>
        <w:spacing w:after="0" w:line="12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Part II – Other Information, Item 1A. Risk Factors</w:t>
      </w:r>
      <w:r>
        <w:rPr>
          <w:rFonts w:ascii="Arial" w:cs="Arial" w:eastAsia="Arial" w:hAnsi="Arial"/>
          <w:sz w:val="18"/>
          <w:szCs w:val="18"/>
          <w:color w:val="auto"/>
        </w:rPr>
        <w:t xml:space="preserve"> for additional risk factors to our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3"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FIBROGEN, INC.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433,508</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110,724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($32,847 and $4,127 from related parties)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16,530</w:t>
            </w:r>
          </w:p>
        </w:tc>
        <w:tc>
          <w:tcPr>
            <w:tcW w:w="100" w:type="dxa"/>
            <w:vAlign w:val="bottom"/>
          </w:tcPr>
          <w:p>
            <w:pPr>
              <w:spacing w:after="0"/>
              <w:rPr>
                <w:sz w:val="19"/>
                <w:szCs w:val="19"/>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 ($5,015 and $889 from</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related parties)</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621,694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755,110</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Restricted time deposits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33,647</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29,606</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Equity method investment in unconsolidated variable interest entity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FF0FC"/>
          </w:tcPr>
          <w:p>
            <w:pPr>
              <w:spacing w:after="0"/>
              <w:rPr>
                <w:sz w:val="19"/>
                <w:szCs w:val="19"/>
                <w:color w:val="auto"/>
              </w:rPr>
            </w:pPr>
          </w:p>
        </w:tc>
      </w:tr>
      <w:tr>
        <w:trPr>
          <w:trHeight w:val="26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787,301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826,840</w:t>
            </w:r>
          </w:p>
        </w:tc>
        <w:tc>
          <w:tcPr>
            <w:tcW w:w="100" w:type="dxa"/>
            <w:vAlign w:val="bottom"/>
            <w:tcBorders>
              <w:bottom w:val="single" w:sz="8" w:color="CFF0FC"/>
            </w:tcBorders>
          </w:tcPr>
          <w:p>
            <w:pPr>
              <w:spacing w:after="0"/>
              <w:rPr>
                <w:sz w:val="22"/>
                <w:szCs w:val="22"/>
                <w:color w:val="auto"/>
              </w:rPr>
            </w:pPr>
          </w:p>
        </w:tc>
      </w:tr>
      <w:tr>
        <w:trPr>
          <w:trHeight w:val="210"/>
        </w:trPr>
        <w:tc>
          <w:tcPr>
            <w:tcW w:w="7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 ($0 and $1,118 to a related party)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24,061</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24,789</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 ($121 and $24 to a related party)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119,521</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Deferred revenue ($4,005 and $2,907 to a related party)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167,047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163,187</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18,697</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($14,638 and $4,636 to a related party)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138,474</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Finance lease liabilities, non-current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39,642</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385,391</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at March 31, 2021, and December 31, 2020</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w w:val="95"/>
              </w:rPr>
              <w:t>Common stock, $0.01 par value; 225,000 shares authorized at March 31, 2021, and December 31,</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tcPr>
          <w:p>
            <w:pPr>
              <w:ind w:left="260"/>
              <w:spacing w:after="0"/>
              <w:rPr>
                <w:sz w:val="20"/>
                <w:szCs w:val="20"/>
                <w:color w:val="auto"/>
              </w:rPr>
            </w:pPr>
            <w:r>
              <w:rPr>
                <w:rFonts w:ascii="Arial" w:cs="Arial" w:eastAsia="Arial" w:hAnsi="Arial"/>
                <w:sz w:val="18"/>
                <w:szCs w:val="18"/>
                <w:color w:val="auto"/>
              </w:rPr>
              <w:t>2020; 92,080 and 91,441 shares issued and outstanding at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March 31, 2021, and December 31, 2020</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1,420,471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1,399,774</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(4,499)</w:t>
            </w: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(1,045,766)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(974,011)</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422,178</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390,273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441,449</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787,301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826,840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40" w:type="dxa"/>
            <w:vAlign w:val="bottom"/>
            <w:tcBorders>
              <w:bottom w:val="single" w:sz="8" w:color="auto"/>
            </w:tcBorders>
            <w:gridSpan w:val="5"/>
          </w:tcPr>
          <w:p>
            <w:pPr>
              <w:jc w:val="right"/>
              <w:ind w:right="147"/>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2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 (includes $3,611 and $4,737</w:t>
            </w:r>
          </w:p>
        </w:tc>
        <w:tc>
          <w:tcPr>
            <w:tcW w:w="1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from a related party)</w:t>
            </w:r>
          </w:p>
        </w:tc>
        <w:tc>
          <w:tcPr>
            <w:tcW w:w="1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19,446</w:t>
            </w:r>
          </w:p>
        </w:tc>
        <w:tc>
          <w:tcPr>
            <w:tcW w:w="120" w:type="dxa"/>
            <w:vAlign w:val="bottom"/>
            <w:shd w:val="clear" w:color="auto" w:fill="CFF0FC"/>
          </w:tcPr>
          <w:p>
            <w:pPr>
              <w:spacing w:after="0"/>
              <w:rPr>
                <w:sz w:val="20"/>
                <w:szCs w:val="20"/>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Product revenue, net (includes $10,406 and $0 from a related party)</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 (includes $4,030 and $0 from a related party)</w:t>
            </w: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1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12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54,902</w:t>
            </w: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49,603</w:t>
            </w:r>
          </w:p>
        </w:tc>
        <w:tc>
          <w:tcPr>
            <w:tcW w:w="12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costs and expenses</w:t>
            </w:r>
          </w:p>
        </w:tc>
        <w:tc>
          <w:tcPr>
            <w:tcW w:w="1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108,856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105,475</w:t>
            </w:r>
          </w:p>
        </w:tc>
        <w:tc>
          <w:tcPr>
            <w:tcW w:w="12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(70,427)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(81,074)</w:t>
            </w: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(633)</w:t>
            </w: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income (expenses), net</w:t>
            </w: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12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and other, net</w:t>
            </w:r>
          </w:p>
        </w:tc>
        <w:tc>
          <w:tcPr>
            <w:tcW w:w="11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(71,381)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(78,542)</w:t>
            </w: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1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w:t>
            </w: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Investment loss in unconsolidated variable interest entity</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23"/>
        </w:trPr>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(71,755)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(78,348)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1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(0.78)</w:t>
            </w:r>
          </w:p>
        </w:tc>
        <w:tc>
          <w:tcPr>
            <w:tcW w:w="116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(0.89)</w:t>
            </w:r>
          </w:p>
        </w:tc>
      </w:tr>
      <w:tr>
        <w:trPr>
          <w:trHeight w:val="230"/>
        </w:trPr>
        <w:tc>
          <w:tcPr>
            <w:tcW w:w="6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used to calculate</w:t>
            </w:r>
          </w:p>
        </w:tc>
        <w:tc>
          <w:tcPr>
            <w:tcW w:w="1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 basic and diluted</w:t>
            </w:r>
          </w:p>
        </w:tc>
        <w:tc>
          <w:tcPr>
            <w:tcW w:w="1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88,219</w:t>
            </w:r>
          </w:p>
        </w:tc>
        <w:tc>
          <w:tcPr>
            <w:tcW w:w="120" w:type="dxa"/>
            <w:vAlign w:val="bottom"/>
            <w:shd w:val="clear" w:color="auto" w:fill="CFF0FC"/>
          </w:tcPr>
          <w:p>
            <w:pPr>
              <w:spacing w:after="0"/>
              <w:rPr>
                <w:sz w:val="20"/>
                <w:szCs w:val="20"/>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(71,755)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(78,348)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FF0FC"/>
          </w:tcPr>
          <w:p>
            <w:pPr>
              <w:spacing w:after="0"/>
              <w:rPr>
                <w:sz w:val="19"/>
                <w:szCs w:val="19"/>
                <w:color w:val="auto"/>
              </w:rPr>
            </w:pPr>
          </w:p>
        </w:tc>
      </w:tr>
      <w:tr>
        <w:trPr>
          <w:trHeight w:val="223"/>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FF0FC"/>
            </w:tcBorders>
          </w:tcPr>
          <w:p>
            <w:pPr>
              <w:spacing w:after="0"/>
              <w:rPr>
                <w:sz w:val="19"/>
                <w:szCs w:val="19"/>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(71,880)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(76,418)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For The Three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1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14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3"/>
                <w:szCs w:val="13"/>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91,440,633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1,399,774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(4,499)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(974,011)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441,449</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(71,755)</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(71,755)</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w:t>
            </w: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(70)</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639,766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19,384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19,384</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92,080,399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1,420,471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(4,624)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(1,045,766)</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390,273</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87,657,489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1,300,725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(784,720)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(78,348)</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(78,348)</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1,238,141</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1,725</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16,916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16,916</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88,895,630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1,319,354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(863,068)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477,629</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Three Months Ended March 31,</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3"/>
                <w:szCs w:val="13"/>
                <w:b w:val="1"/>
                <w:bCs w:val="1"/>
                <w:color w:val="auto"/>
                <w:w w:val="82"/>
              </w:rPr>
              <w:t>2020</w:t>
            </w:r>
          </w:p>
        </w:tc>
        <w:tc>
          <w:tcPr>
            <w:tcW w:w="120" w:type="dxa"/>
            <w:vAlign w:val="bottom"/>
            <w:tcBorders>
              <w:bottom w:val="single" w:sz="8" w:color="CFF0FC"/>
            </w:tcBorders>
          </w:tcPr>
          <w:p>
            <w:pPr>
              <w:spacing w:after="0"/>
              <w:rPr>
                <w:sz w:val="12"/>
                <w:szCs w:val="12"/>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7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(71,755)</w:t>
            </w:r>
          </w:p>
        </w:tc>
        <w:tc>
          <w:tcPr>
            <w:tcW w:w="740" w:type="dxa"/>
            <w:vAlign w:val="bottom"/>
            <w:gridSpan w:val="2"/>
          </w:tcPr>
          <w:p>
            <w:pPr>
              <w:jc w:val="right"/>
              <w:ind w:right="609"/>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(78,348)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2,723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2,868</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finance lease right-of-use assets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2,594</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Net accretion of premium and discount on investments</w:t>
            </w:r>
          </w:p>
        </w:tc>
        <w:tc>
          <w:tcPr>
            <w:tcW w:w="1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(143)</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on equity investments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Investment loss in unconsolidated variable interest entity</w:t>
            </w:r>
          </w:p>
        </w:tc>
        <w:tc>
          <w:tcPr>
            <w:tcW w:w="1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19,384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16,916</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Tax benefit on unrealized gain on available-for-sale securities</w:t>
            </w:r>
          </w:p>
        </w:tc>
        <w:tc>
          <w:tcPr>
            <w:tcW w:w="10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(439)</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Realized loss on sales of available-for-sale securities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(30,085)</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(4,288)</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(1,521)</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(5,457)</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(637)</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(5,621)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(669)</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(3,223)</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and other liabilities</w:t>
            </w:r>
          </w:p>
        </w:tc>
        <w:tc>
          <w:tcPr>
            <w:tcW w:w="1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(41,224)</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17,196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47,996</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interest for finance lease liabilities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(216)</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(1,043)</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24,936</w:t>
            </w:r>
          </w:p>
        </w:tc>
        <w:tc>
          <w:tcPr>
            <w:tcW w:w="120" w:type="dxa"/>
            <w:vAlign w:val="bottom"/>
            <w:shd w:val="clear" w:color="auto" w:fill="CFF0FC"/>
          </w:tcPr>
          <w:p>
            <w:pPr>
              <w:spacing w:after="0"/>
              <w:rPr>
                <w:sz w:val="14"/>
                <w:szCs w:val="14"/>
                <w:color w:val="auto"/>
              </w:rPr>
            </w:pPr>
          </w:p>
        </w:tc>
      </w:tr>
      <w:tr>
        <w:trPr>
          <w:trHeight w:val="156"/>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(44,984)</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(59,486)</w:t>
            </w:r>
          </w:p>
        </w:tc>
        <w:tc>
          <w:tcPr>
            <w:tcW w:w="120" w:type="dxa"/>
            <w:vAlign w:val="bottom"/>
            <w:tcBorders>
              <w:bottom w:val="single" w:sz="8" w:color="CFF0FC"/>
            </w:tcBorders>
          </w:tcPr>
          <w:p>
            <w:pPr>
              <w:spacing w:after="0"/>
              <w:rPr>
                <w:sz w:val="13"/>
                <w:szCs w:val="13"/>
                <w:color w:val="auto"/>
              </w:rPr>
            </w:pPr>
          </w:p>
        </w:tc>
      </w:tr>
      <w:tr>
        <w:trPr>
          <w:trHeight w:val="155"/>
        </w:trPr>
        <w:tc>
          <w:tcPr>
            <w:tcW w:w="7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(518)</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(459)</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Purchases of available-for-sale securities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(196,243)</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of available-for-sale securities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10,606</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maturities of investments</w:t>
            </w:r>
          </w:p>
        </w:tc>
        <w:tc>
          <w:tcPr>
            <w:tcW w:w="10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45,900</w:t>
            </w:r>
          </w:p>
        </w:tc>
        <w:tc>
          <w:tcPr>
            <w:tcW w:w="120" w:type="dxa"/>
            <w:vAlign w:val="bottom"/>
            <w:tcBorders>
              <w:bottom w:val="single" w:sz="8" w:color="CFF0FC"/>
            </w:tcBorders>
          </w:tcPr>
          <w:p>
            <w:pPr>
              <w:spacing w:after="0"/>
              <w:rPr>
                <w:sz w:val="14"/>
                <w:szCs w:val="14"/>
                <w:color w:val="auto"/>
              </w:rPr>
            </w:pPr>
          </w:p>
        </w:tc>
      </w:tr>
      <w:tr>
        <w:trPr>
          <w:trHeight w:val="155"/>
        </w:trPr>
        <w:tc>
          <w:tcPr>
            <w:tcW w:w="7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(196,719)</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56,009</w:t>
            </w:r>
          </w:p>
        </w:tc>
        <w:tc>
          <w:tcPr>
            <w:tcW w:w="120" w:type="dxa"/>
            <w:vAlign w:val="bottom"/>
            <w:shd w:val="clear" w:color="auto" w:fill="CFF0FC"/>
          </w:tcPr>
          <w:p>
            <w:pPr>
              <w:spacing w:after="0"/>
              <w:rPr>
                <w:sz w:val="13"/>
                <w:szCs w:val="13"/>
                <w:color w:val="auto"/>
              </w:rPr>
            </w:pPr>
          </w:p>
        </w:tc>
      </w:tr>
      <w:tr>
        <w:trPr>
          <w:trHeight w:val="156"/>
        </w:trPr>
        <w:tc>
          <w:tcPr>
            <w:tcW w:w="7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Repayments of finance lease liabilities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(3,299)</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(2,814)</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Repayments of lease obligations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(101)</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(4,757)</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(5,279)</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w:t>
            </w:r>
          </w:p>
        </w:tc>
        <w:tc>
          <w:tcPr>
            <w:tcW w:w="10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6,077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7,004</w:t>
            </w:r>
          </w:p>
        </w:tc>
        <w:tc>
          <w:tcPr>
            <w:tcW w:w="120" w:type="dxa"/>
            <w:vAlign w:val="bottom"/>
            <w:shd w:val="clear" w:color="auto" w:fill="CFF0FC"/>
          </w:tcPr>
          <w:p>
            <w:pPr>
              <w:spacing w:after="0"/>
              <w:rPr>
                <w:sz w:val="14"/>
                <w:szCs w:val="14"/>
                <w:color w:val="auto"/>
              </w:rPr>
            </w:pPr>
          </w:p>
        </w:tc>
      </w:tr>
      <w:tr>
        <w:trPr>
          <w:trHeight w:val="155"/>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used in financing activities</w:t>
            </w:r>
          </w:p>
        </w:tc>
        <w:tc>
          <w:tcPr>
            <w:tcW w:w="10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(2,080)</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(1,190)</w:t>
            </w:r>
          </w:p>
        </w:tc>
        <w:tc>
          <w:tcPr>
            <w:tcW w:w="120" w:type="dxa"/>
            <w:vAlign w:val="bottom"/>
            <w:tcBorders>
              <w:bottom w:val="single" w:sz="8" w:color="CFF0FC"/>
            </w:tcBorders>
          </w:tcPr>
          <w:p>
            <w:pPr>
              <w:spacing w:after="0"/>
              <w:rPr>
                <w:sz w:val="13"/>
                <w:szCs w:val="13"/>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 on cash and cash equivalents</w:t>
            </w:r>
          </w:p>
        </w:tc>
        <w:tc>
          <w:tcPr>
            <w:tcW w:w="10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(1,102)</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Net decrease in cash and cash equivalents</w:t>
            </w:r>
          </w:p>
        </w:tc>
        <w:tc>
          <w:tcPr>
            <w:tcW w:w="10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(244,885)</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(4,706)</w:t>
            </w: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10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678,393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126,266</w:t>
            </w:r>
          </w:p>
        </w:tc>
        <w:tc>
          <w:tcPr>
            <w:tcW w:w="120" w:type="dxa"/>
            <w:vAlign w:val="bottom"/>
            <w:shd w:val="clear" w:color="auto" w:fill="CFF0FC"/>
          </w:tcPr>
          <w:p>
            <w:pPr>
              <w:spacing w:after="0"/>
              <w:rPr>
                <w:sz w:val="14"/>
                <w:szCs w:val="14"/>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Total cash and cash equivalents at end of period</w:t>
            </w:r>
          </w:p>
        </w:tc>
        <w:tc>
          <w:tcPr>
            <w:tcW w:w="1020" w:type="dxa"/>
            <w:vAlign w:val="bottom"/>
            <w:tcBorders>
              <w:bottom w:val="single" w:sz="8" w:color="auto"/>
            </w:tcBorders>
          </w:tcPr>
          <w:p>
            <w:pPr>
              <w:jc w:val="right"/>
              <w:ind w:right="871"/>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433,508</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121,560</w:t>
            </w:r>
          </w:p>
        </w:tc>
        <w:tc>
          <w:tcPr>
            <w:tcW w:w="12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320" w:firstLine="8"/>
        <w:spacing w:after="0" w:line="400" w:lineRule="auto"/>
        <w:tabs>
          <w:tab w:leader="none" w:pos="499"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ind w:right="140"/>
        <w:spacing w:after="0" w:line="301" w:lineRule="auto"/>
        <w:rPr>
          <w:sz w:val="20"/>
          <w:szCs w:val="20"/>
          <w:color w:val="auto"/>
        </w:rPr>
      </w:pPr>
      <w:r>
        <w:rPr>
          <w:rFonts w:ascii="Arial" w:cs="Arial" w:eastAsia="Arial" w:hAnsi="Arial"/>
          <w:sz w:val="16"/>
          <w:szCs w:val="16"/>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biology, 2-oxoglutarate enzymology, connective tissue growth factor (“CTGF”) biology, and clinical development to advance innovative medicines for the treatment of anemia, fibrotic disease, and cancer.</w:t>
      </w:r>
    </w:p>
    <w:p>
      <w:pPr>
        <w:spacing w:after="0" w:line="157" w:lineRule="exact"/>
        <w:rPr>
          <w:sz w:val="20"/>
          <w:szCs w:val="20"/>
          <w:color w:val="auto"/>
        </w:rPr>
      </w:pPr>
    </w:p>
    <w:p>
      <w:pPr>
        <w:ind w:right="200"/>
        <w:spacing w:after="0" w:line="226" w:lineRule="exact"/>
        <w:rPr>
          <w:sz w:val="20"/>
          <w:szCs w:val="20"/>
          <w:color w:val="auto"/>
        </w:rPr>
      </w:pPr>
      <w:r>
        <w:rPr>
          <w:rFonts w:ascii="Arial" w:cs="Arial" w:eastAsia="Arial" w:hAnsi="Arial"/>
          <w:sz w:val="18"/>
          <w:szCs w:val="18"/>
          <w:color w:val="auto"/>
        </w:rPr>
        <w:t xml:space="preserve">Roxadustat, FibroGen’s most advanced product, is an oral small molecule inhibitor of HIF prolyl hydroxylase activity that is being commercialized in China (tradename: </w:t>
      </w:r>
      <w:r>
        <w:rPr>
          <w:rFonts w:ascii="SimSun" w:cs="SimSun" w:eastAsia="SimSun" w:hAnsi="SimSun"/>
          <w:sz w:val="18"/>
          <w:szCs w:val="18"/>
          <w:color w:val="auto"/>
        </w:rPr>
        <w:t>爱瑞卓</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anemia caused by chronic kidney disease (“CKD”) in dialysis and non-dialysis patients. EVRENZO® (roxadustat) is also being commercialized in Japan and has been approved in Chile for the treatment of anemia associated with CKD in dialysis and non-dialysis patients.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New Drug Application (“NDA”) filing in the United States (“U.S.”) for roxadustat for the treatment of anemia in dialysis and non-dialysis CKD patients was submitted in December 2019 to the U.S. Food and Drug Administration (“FDA”). In December 2020, the FDA extended the review period of the NDA by three months for FibroGen to submit additional analyses of existing roxadustat clinical data, and set a new Prescription Drug User Fee Act goal date of March 20, 2021. On March 1, 2021, the FDA informed us that the Cardiovascular and Renal Drugs Advisory Committee will hold an advisory committee meeting to review the NDA for roxadustat. The date of the advisory committee meeting has been tentatively set for July 15, 2021. In Europe, the Marketing Authorization Application filing for roxadustat for the treatment of anemia in dialysis and non-dialysis CKD patients was accepted for regulatory review by the European Medicines Agency (“EMA”) in May 2020 and Astellas Pharma Inc. (“Astellas”) expects an approval decision by the EMA mid-2021.</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3 development in China for anemia associated with myelodysplastic syndromes. Roxadustat is in Phase 2 clinical development for chemotherapy-induced anemia.</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idiopathic pulmonary fibrosis, locally advanced unresectable pancreatic cancer and Duchenne muscular dystrophy.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condensed consolidated financial statements include the accounts of FibroGen, its wholly owned subsidiaries and its majority-owned subsidiaries, FibroGen Europe Oy and FibroGen China Anemia Holdings, Ltd. All inter-company transactions and balances have been eliminated in consolidation. For any variable interest entity for which FibroGen is not the primary beneficiary, the Company uses the equity method of accounting. The Company operates as one segment — the discovery, development and commercialization of novel therapeutics to treat serious unmet medical needs.</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2020 (“2020 Form 10-K”).</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specifically, estimates in variable consideration for drug product sales, and estimates in transaction price per unit for China performance obligation (as defined and discussed under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below).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Potential common shares that would have the effect of increasing diluted earnings per share are considered to be anti-dilutive and as such, these shares are not included in the calculation of diluted earnings per share. Diluted weighted average shares excluded potential common shares related to stock options, restricted stock units and shares to be purchased under the employee stock purchase plan totaling 7.8 million and 8.7 million, for the three months ended March 31, 2021 and 2020, respectively, as they were anti-dilutive.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business is subject to risks and uncertainties, including those related to COVID-19 and the related shelter-in-place, stay-at-home and other similar governmental orders issued in response to the COVID-19 pandemic.</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rapid technological change, obtaining second source suppliers, </w:t>
      </w:r>
      <w:r>
        <w:rPr>
          <w:rFonts w:ascii="Arial" w:cs="Arial" w:eastAsia="Arial" w:hAnsi="Arial"/>
          <w:sz w:val="17"/>
          <w:szCs w:val="17"/>
          <w:color w:val="auto"/>
        </w:rPr>
        <w:t>regulatory approval from the FDA or other regulatory authorities,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Starting in the first quarter of 2020, the Company experienced slower enrollment in its clinical trials due to the interruption caused by COVID-19 in the worldwide healthcare system. The future impact of the COVID-19 pandemic on the Company’s business is uncertain. The COVID-19 pandemic may continue to affect enrollment in and initiation of the Company’s clinical trials, and could affect the Company’s supply chain if further social distancing and other business restrictions are put in place by various government entities, particularly in China and the U.S. COVID-19 may affect the health of the Company’s employees limiting the Company’s productivity. The COVID-19 pandemic may also impact the market for the Company’s products and product candidates in the future, affecting sales of the Company’s products. Such possible risks and uncertain impacts from the COVID-19 pandemic could have a material adverse effect on the Company’s drug development, commercialization revenues, and other portions of its business, and in particular, could impact the Company’s assumptions of accounts receivable collectability, fair value measurements of investments, liquidity, and development costs. The extent of the pandemic’s effect on the Company’s operational and financial performance will depend in large part on future developments, particularly with respect to the scope and severity of the pandemic, governmental restrictions put in place to fight the pandemic, and the roll out of vaccines and treatments for COVID-19. Due to the inherent uncertainty of the unprecedented and rapidly evolving situation, the Company is unable to estimate the likely impact of the COVID-19 pandemic on its future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No.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740): Simplifying the Accounting for Income Taxes</w:t>
      </w:r>
      <w:r>
        <w:rPr>
          <w:rFonts w:ascii="Arial" w:cs="Arial" w:eastAsia="Arial" w:hAnsi="Arial"/>
          <w:sz w:val="17"/>
          <w:szCs w:val="17"/>
          <w:color w:val="auto"/>
        </w:rPr>
        <w:t>. This guidance simplifies the accounting for income taxes by clarifying and amending existing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recognition of franchise tax, the evaluation of a step up in the tax basis of goodwill, and the effects of enacted changes in tax laws or rates in the effective tax rate computation, among other clarifications. This guidance was effective for annual reporting periods beginning after December 15, 2020 including interim periods. The Company adopted this guidance on January 1, 2021, and the adoption of this guidance did not have material impact to the Company’s condensed consolidated financial statements and related disclosures.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t>
      </w:r>
      <w:r>
        <w:rPr>
          <w:rFonts w:ascii="Arial" w:cs="Arial" w:eastAsia="Arial" w:hAnsi="Arial"/>
          <w:sz w:val="16"/>
          <w:szCs w:val="16"/>
          <w:i w:val="1"/>
          <w:iCs w:val="1"/>
          <w:color w:val="auto"/>
        </w:rPr>
        <w:t>ASU 2020-04”</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companies with optional financial reporting alternatives to reduce the cost and complexity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 2020-04. The relief offered by this guidance, if adopted, is available to companies for the period March 12, 2020 through December 31, 2022. The Company has certain lease arrangements that are linked to LIBOR. The Company is in the process of evaluating options for transitioning away from LIBOR and expects to complete by the time LIBOR is phased out. The Company did not elect to apply any of the expedients or exceptions as of and for the period ended March 31, 2021 and is currently evaluating the impact on its consolidated financial statements and related disclosures upon adoption of this guidance.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2020 Form 10-K, except for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Product revenue, net consists of revenues from sales of roxadustat commercial product to Beijing Falikang Pharmaceutical Co., Ltd. (“Falikang”), and directly to pharmaceutical distributors located in a few provinces in China that are not covered by Falikang. Falikang is jointly owned by AstraZeneca AB (“AstraZeneca”) and FibroGen Beijing. The Company is not the primary beneficiary of Falikang for accounting purposes, as AstraZeneca is the final decision maker for all the roxadustat commercialization activities, and the Company lacks the power criterion to direct the activities of Falikang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promises identified under the AstraZeneca China Agreement (as defined in Note 2,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the Company’s agreements with AstraZeneca as outlined in Note 2,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xml:space="preserve"> are deferred until control of the manufactured commercial product has begun to transfer to AstraZeneca.</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initiation of roxadustat sales to Falikang marked the beginning of the China performance obligation</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the Company believes those sales would occur. The price per unit is subject to reassessment on a quarterly basis, which may result in cumulative catch up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380" w:hanging="372"/>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China Agreement allocated to the China performance obligation;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Co-development billings resulting from the Company’s research and development efforts, which are reimbursable under the China Agreement;</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transfer price from product sales to Falikang from January 1, 2021 onwards. The net transfer price includes the following elements:</w:t>
      </w:r>
    </w:p>
    <w:p>
      <w:pPr>
        <w:spacing w:after="0" w:line="117" w:lineRule="exact"/>
        <w:rPr>
          <w:rFonts w:ascii="Arial" w:cs="Arial" w:eastAsia="Arial" w:hAnsi="Arial"/>
          <w:sz w:val="18"/>
          <w:szCs w:val="18"/>
          <w:color w:val="auto"/>
        </w:rPr>
      </w:pPr>
    </w:p>
    <w:p>
      <w:pPr>
        <w:ind w:left="740" w:right="200" w:hanging="365"/>
        <w:spacing w:after="0" w:line="245"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Gross transfer price: The gross transfer price is based on a percentage of Falikang’s net sales to its distributors, which takes into account</w:t>
      </w:r>
      <w:r>
        <w:rPr>
          <w:rFonts w:ascii="Courier New" w:cs="Courier New" w:eastAsia="Courier New" w:hAnsi="Courier New"/>
          <w:sz w:val="18"/>
          <w:szCs w:val="18"/>
          <w:color w:val="auto"/>
        </w:rPr>
        <w:t xml:space="preserve"> </w:t>
      </w:r>
      <w:r>
        <w:rPr>
          <w:rFonts w:ascii="Arial" w:cs="Arial" w:eastAsia="Arial" w:hAnsi="Arial"/>
          <w:sz w:val="18"/>
          <w:szCs w:val="18"/>
          <w:color w:val="auto"/>
        </w:rPr>
        <w:t>Falikang’s operating expenses and its payments to AstraZeneca for roxadustat sales and marketing efforts, capped at a percentage of Falikang’s net roxadustat sales.</w:t>
      </w:r>
    </w:p>
    <w:p>
      <w:pPr>
        <w:spacing w:after="0" w:line="89" w:lineRule="exact"/>
        <w:rPr>
          <w:rFonts w:ascii="Arial" w:cs="Arial" w:eastAsia="Arial" w:hAnsi="Arial"/>
          <w:sz w:val="18"/>
          <w:szCs w:val="18"/>
          <w:color w:val="auto"/>
        </w:rPr>
      </w:pPr>
    </w:p>
    <w:p>
      <w:pPr>
        <w:ind w:left="740" w:right="40" w:hanging="365"/>
        <w:spacing w:after="0" w:line="300"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Profit share: The gross transfer price is then adjusted for an estimated amount to achieve the 50/50 profit share from current period roxadustat net</w:t>
      </w:r>
      <w:r>
        <w:rPr>
          <w:rFonts w:ascii="Courier New" w:cs="Courier New" w:eastAsia="Courier New" w:hAnsi="Courier New"/>
          <w:sz w:val="16"/>
          <w:szCs w:val="16"/>
          <w:color w:val="auto"/>
        </w:rPr>
        <w:t xml:space="preserve"> </w:t>
      </w:r>
      <w:r>
        <w:rPr>
          <w:rFonts w:ascii="Arial" w:cs="Arial" w:eastAsia="Arial" w:hAnsi="Arial"/>
          <w:sz w:val="16"/>
          <w:szCs w:val="16"/>
          <w:color w:val="auto"/>
        </w:rPr>
        <w:t>sales in China. The adjustments to date have been a reduction to the transfer price and the related accounts receivable from Falikang.</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key estimation areas such as total sales quantity, performance period, gross transfer price and profit share, which require a substantial degree of judgment.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net transfer price in excess of the revenue recognized is added to the deferred balance to date, and will be recognized over future periods as the performance obligations are satisfied.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roxadustat in China directly to a number of pharmaceutical distributors located in a few provinces in China that are not covered by Falikang.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the Company expects to be entitled to in exchange for the product.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the Company receives payment is based on 60-day payment terms.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which includes the following estimates of variable consideration:</w:t>
      </w:r>
    </w:p>
    <w:p>
      <w:pPr>
        <w:spacing w:after="0" w:line="117" w:lineRule="exact"/>
        <w:rPr>
          <w:sz w:val="20"/>
          <w:szCs w:val="20"/>
          <w:color w:val="auto"/>
        </w:rPr>
      </w:pPr>
    </w:p>
    <w:p>
      <w:pPr>
        <w:jc w:val="both"/>
        <w:ind w:left="740" w:hanging="368"/>
        <w:spacing w:after="0" w:line="259"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adjustment: When China’s National Healthcare Security Administration releases price guidance for roxadustat under the National Reimbursement Drug List (“NRDL”), any channel inventories that have not been sold through by distributors, or to patients by hospitals and retailors, would be eligible for a price adjustment under the price protection. The price adjustment is calculated based on estimated channel inventory levels;</w:t>
      </w:r>
    </w:p>
    <w:p>
      <w:pPr>
        <w:spacing w:after="0" w:line="78"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jc w:val="both"/>
        <w:ind w:left="740" w:hanging="368"/>
        <w:spacing w:after="0" w:line="279"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Non-key account hospital listing award: A one-time fixed-amount award is offered to a distributor who successfully lists the product with an eligible hospital, and who meets certain requirements. The Company considers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63" w:lineRule="exact"/>
        <w:rPr>
          <w:rFonts w:ascii="Arial" w:cs="Arial" w:eastAsia="Arial" w:hAnsi="Arial"/>
          <w:sz w:val="17"/>
          <w:szCs w:val="17"/>
          <w:color w:val="auto"/>
        </w:rPr>
      </w:pPr>
    </w:p>
    <w:p>
      <w:pPr>
        <w:ind w:left="740" w:hanging="368"/>
        <w:spacing w:after="0" w:line="30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740" w:right="2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the Company only due to quality issues or for product purchased within one year prior to the product’s expiration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the Company expects to settle the discount in cash. The distributor’s legal right of offset is calculated at the individual distributor level.</w:t>
      </w:r>
    </w:p>
    <w:p>
      <w:pPr>
        <w:spacing w:after="0" w:line="296" w:lineRule="exact"/>
        <w:rPr>
          <w:sz w:val="20"/>
          <w:szCs w:val="20"/>
          <w:color w:val="auto"/>
        </w:rPr>
      </w:pPr>
    </w:p>
    <w:p>
      <w:pPr>
        <w:ind w:right="7600" w:firstLine="8"/>
        <w:spacing w:after="0" w:line="377" w:lineRule="auto"/>
        <w:tabs>
          <w:tab w:leader="none" w:pos="49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and Revenues Astellas Agreements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June 2005, the Company entered into a collaboration agreement with Astellas for the development and commercialization (but not manufacture)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roxadustat for the treatment of anemia in Japan (“Japan Agreement”). Under this agreement, Astellas paid license fees and other consideration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$40.1 million (such amounts were fully received as of February 2009). Under the Japan Agreement, the Company is also eligible to receive from Astellas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aggregate of approximately $132.5 million in potential milestone payments, comprised of (i) up to $22.5 million in milestone payments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achievement of specified clinical and development milestone events (such amounts were fully received as of July 2016), (ii) up to $95.0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upon achievement of specified regulatory milestone events, and (iii) up to approximately $15.0 million in milestone payments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specified commercial sales milestone. The Japan Agreement also provides for tiered payments based on net sales of product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low 20% range of the list price published by Japan’s Ministry of Health, Labour and Welfare, adjusted for certain elements, after commercial launch.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consideration received through March 31, 2021 totals $105.1 million, excluding drug product revenue that is discussed separately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In 2018, FibroGen and Astellas entered into an amendment to the Japan Agreement that allows Astellas to manufacture roxadustat drug product for commercialization in Japan (the “Japan Amendment”). Under this amendment, FibroGen would continue to manufacture and supply roxadustat API to Astellas for the roxadustat commercial purposes in Japan. The commercial terms of the Japan Agreement relating to the transfer price for roxadustat for commercial use remain substantially the same, reflecting an adjustment for the manufacture of drug product by Astellas rather than FibroGen. The related drug product revenue, as described in details under </w:t>
      </w:r>
      <w:r>
        <w:rPr>
          <w:rFonts w:ascii="Arial" w:cs="Arial" w:eastAsia="Arial" w:hAnsi="Arial"/>
          <w:sz w:val="16"/>
          <w:szCs w:val="16"/>
          <w:i w:val="1"/>
          <w:iCs w:val="1"/>
          <w:color w:val="auto"/>
        </w:rPr>
        <w:t>Drug Product Revenue</w:t>
      </w:r>
      <w:r>
        <w:rPr>
          <w:rFonts w:ascii="Arial" w:cs="Arial" w:eastAsia="Arial" w:hAnsi="Arial"/>
          <w:sz w:val="16"/>
          <w:szCs w:val="16"/>
          <w:color w:val="auto"/>
        </w:rPr>
        <w:t xml:space="preserve"> section below, was $4.0 million for the three months ended March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w:t>
      </w:r>
    </w:p>
    <w:p>
      <w:pPr>
        <w:spacing w:after="0" w:line="1" w:lineRule="exact"/>
        <w:rPr>
          <w:sz w:val="20"/>
          <w:szCs w:val="20"/>
          <w:color w:val="auto"/>
        </w:rPr>
      </w:pPr>
    </w:p>
    <w:p>
      <w:pPr>
        <w:ind w:right="100" w:firstLine="8"/>
        <w:spacing w:after="0" w:line="292" w:lineRule="auto"/>
        <w:tabs>
          <w:tab w:leader="none" w:pos="2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The aggregate amount of consideration received under the Europe Agreement through March 31, 2021 totals $540.0 million, excluding drug product revenue that is discussed separately below.</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Under the Europe Agreement, Astellas has an option to purchase roxadustat bulk drug product in support of commercial supplies. During the three months ended March 31, 2021, the Company entered into an Astellas EU Supply Agreement (“EU Supply Agreement”) under the Europe Agreement with Astellas to define general forecast, order, supply and payment terms for Astellas to purchase roxadustat bulk drug product from FibroGen in support of commercial supplies. The Company shipped bulk drug product to Astellas as pre-commercial supply for process validation purposes during the three months ended March 31, 2021. The Company constrained the consideration of $11.8 million from this shipment, as described in details under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(such amounts were fully received as of April 2020), (ii) up to $325.0 million in milestone payments upon achievement of specified regulatory milestone events, (iii) up to $160.0 million in milestone payments related to activity by potential competitors and</w:t>
      </w:r>
    </w:p>
    <w:p>
      <w:pPr>
        <w:spacing w:after="0" w:line="1" w:lineRule="exact"/>
        <w:rPr>
          <w:sz w:val="20"/>
          <w:szCs w:val="20"/>
          <w:color w:val="auto"/>
        </w:rPr>
      </w:pPr>
    </w:p>
    <w:p>
      <w:pPr>
        <w:ind w:right="320" w:firstLine="8"/>
        <w:spacing w:after="0" w:line="255" w:lineRule="auto"/>
        <w:tabs>
          <w:tab w:leader="none" w:pos="3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approximately $325.0 million in milestone payments upon the achievement of specified commercial sales events. The aggregate amount of consideration received under the U.S./RoW Agreement through March 31, 2021 totals $439.0 million, excluding drug product revenue that is discussed separately below.</w:t>
      </w:r>
    </w:p>
    <w:p>
      <w:pPr>
        <w:spacing w:after="0" w:line="19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In 2020, the Company entered into Master Supply Agreement under the U.S./RoW Agreement with AstraZeneca (“Master Supply Agreement”) to define general forecast, order, supply and payment terms for AstraZeneca to purchase roxadustat bulk drug product from FibroGen in support of commercial supplies. The Company shipped bulk drug product to AstraZeneca as commercial supply during the three months ended March 31, 2021 and recognized related drug product revenue of $4.5 million, as described in details under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Effective July 30, 2013, the Company (through its subsidiaries affiliated with China) entered into the China Agreement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which was amended under the China Amendment discussed below in the third quarter of 2020, and provides for joint development costs (including capital and equipment costs for construction of the manufacturing plant in China), to be shared equally during the development period. The aggregate amount of such consideration received for milestone and upfront payments through March 31, 2021 totals $77.2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July 2020, FibroGen China and AstraZeneca (together with FibroGen China, the “Parties”) entered into the China Amendment, effective July 1, 2020, relating to the development and commercialization of roxadustat in China. While the responsibilities of the Parties under the China Agreement remain largely the same, certain changes were made.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Under the China Amendment, in September 2020, FibroGen Beijing and AstraZeneca completed the establishment of a jointly owned entity, Falikang, which performs roxadustat distribution, as well as conduct sales and marketing through AstraZeneca.</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Under the China Amendment, the interim period is defined as the period from April 1, 2020 to the time when Falikang is fully operational. Falikang became fully operational in January 2021. The calculation for profit or loss share related to sales of roxadustat in China has changed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Since Falikang became fully operational in January 2021, substantially all direct roxadustat product sales to distributors in China are made by Falikang, while FibroGen Beijing continues to sell roxadustat product directly in a few provinces in China. FibroGen Beijing manufactures and supplies commercial product to Falikang based on a gross transfer price, which is adjusted for the estimated profit share. In addition, AstraZeneca now bills the co-promotion expenses to Falikang and to FibroGen Beijing, respectively, for its services provided to the respective entity. Development costs continue to be shared 50/50 between the Parties.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During the three months ended March 31, 2021, the Company recognized $10.4 million of net product revenue from the sales to Falikang, as described in details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addition to sales to Falikang, the Company recognized $5.0 million of net product revenue from sales directly to distributors in a few provinces in China, as described as direct sales in Note 2,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 and Development Revenue Recognized Under the Collaboration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license revenue and development revenue under the Japan Agreement with Astellas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18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3"/>
                <w:szCs w:val="13"/>
                <w:color w:val="auto"/>
              </w:rPr>
            </w:pPr>
          </w:p>
        </w:tc>
        <w:tc>
          <w:tcPr>
            <w:tcW w:w="1320" w:type="dxa"/>
            <w:vAlign w:val="bottom"/>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Development revenue</w:t>
            </w:r>
          </w:p>
        </w:tc>
        <w:tc>
          <w:tcPr>
            <w:tcW w:w="126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w w:val="89"/>
              </w:rPr>
              <w:t>80</w:t>
            </w:r>
          </w:p>
        </w:tc>
        <w:tc>
          <w:tcPr>
            <w:tcW w:w="13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with Astellas,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6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March 31, 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ind w:left="12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9"/>
              </w:rPr>
              <w:t>75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116,777</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89"/>
              </w:rPr>
              <w:t>75</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revenue recognized under the Japan Agreement for the three months ended March 31, 2021 included immaterial revenue resulting from changes to estimated variable consideration in the current period relating to performance obligations satisfied or partially satisfied in previous periods. The Company does not expect material variable consideration from estimated future co-development billing beyond the development period in the transaction price related to the Japan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as license revenue and development revenue under the Europe Agreement with Astellas were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40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260" w:type="dxa"/>
            <w:vAlign w:val="bottom"/>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Development revenue</w:t>
            </w:r>
          </w:p>
        </w:tc>
        <w:tc>
          <w:tcPr>
            <w:tcW w:w="11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3,531</w:t>
            </w:r>
          </w:p>
        </w:tc>
        <w:tc>
          <w:tcPr>
            <w:tcW w:w="12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with Astellas,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6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March 31, 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252,493</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740,444</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741,269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revenue recognized under the Europe Agreement for the three months ended March 31, 2021 included an increase in revenue of $0.4 million resulting from changes to estimated variable consideration. The remainder of the transaction price related to the Europe Agreement includes $24.5 million of variable consideration from estimated future co-development billing and is expected to be recognized over the remaining development service period.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and China Agreement with AstraZeneca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40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80" w:type="dxa"/>
            <w:vAlign w:val="bottom"/>
            <w:tcBorders>
              <w:top w:val="single" w:sz="8" w:color="CFF0FC"/>
            </w:tcBorders>
            <w:shd w:val="clear" w:color="auto" w:fill="CFF0FC"/>
          </w:tcPr>
          <w:p>
            <w:pPr>
              <w:spacing w:after="0"/>
              <w:rPr>
                <w:sz w:val="18"/>
                <w:szCs w:val="18"/>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80" w:type="dxa"/>
            <w:vAlign w:val="bottom"/>
            <w:shd w:val="clear" w:color="auto" w:fill="CFF0FC"/>
          </w:tcPr>
          <w:p>
            <w:pPr>
              <w:spacing w:after="0"/>
              <w:rPr>
                <w:sz w:val="20"/>
                <w:szCs w:val="20"/>
                <w:color w:val="auto"/>
              </w:rPr>
            </w:pPr>
          </w:p>
        </w:tc>
        <w:tc>
          <w:tcPr>
            <w:tcW w:w="3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Development revenue</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FF0FC"/>
          </w:tcPr>
          <w:p>
            <w:pPr>
              <w:spacing w:after="0"/>
              <w:rPr>
                <w:sz w:val="19"/>
                <w:szCs w:val="19"/>
                <w:color w:val="auto"/>
              </w:rPr>
            </w:pPr>
          </w:p>
        </w:tc>
        <w:tc>
          <w:tcPr>
            <w:tcW w:w="40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China performance obligation</w:t>
            </w:r>
          </w:p>
        </w:tc>
        <w:tc>
          <w:tcPr>
            <w:tcW w:w="5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 U.S./RoW Agreement and China Agreement with AstraZeneca, along with any associated deferred revenue as follows (in thousands):</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7"/>
              </w:rPr>
              <w:t>Deferred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260" w:type="dxa"/>
            <w:vAlign w:val="bottom"/>
          </w:tcPr>
          <w:p>
            <w:pPr>
              <w:spacing w:after="0"/>
              <w:rPr>
                <w:sz w:val="12"/>
                <w:szCs w:val="12"/>
                <w:color w:val="auto"/>
              </w:rPr>
            </w:pPr>
          </w:p>
        </w:tc>
        <w:tc>
          <w:tcPr>
            <w:tcW w:w="15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March 31, 2021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March 31, 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spacing w:after="0"/>
              <w:rPr>
                <w:sz w:val="20"/>
                <w:szCs w:val="20"/>
                <w:color w:val="auto"/>
              </w:rPr>
            </w:pPr>
            <w:r>
              <w:rPr>
                <w:rFonts w:ascii="Arial" w:cs="Arial" w:eastAsia="Arial" w:hAnsi="Arial"/>
                <w:sz w:val="18"/>
                <w:szCs w:val="18"/>
                <w:color w:val="auto"/>
              </w:rPr>
              <w:t>Co-development, information sharing &amp;</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80"/>
              <w:spacing w:after="0"/>
              <w:rPr>
                <w:sz w:val="20"/>
                <w:szCs w:val="20"/>
                <w:color w:val="auto"/>
              </w:rPr>
            </w:pPr>
            <w:r>
              <w:rPr>
                <w:rFonts w:ascii="Arial" w:cs="Arial" w:eastAsia="Arial" w:hAnsi="Arial"/>
                <w:sz w:val="18"/>
                <w:szCs w:val="18"/>
                <w:color w:val="auto"/>
              </w:rPr>
              <w:t>committee services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565,751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4,449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570,200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China performance obligation *</w:t>
            </w:r>
          </w:p>
        </w:tc>
        <w:tc>
          <w:tcPr>
            <w:tcW w:w="2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142,813</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Total license and development</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918,001</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147,262</w:t>
            </w:r>
          </w:p>
        </w:tc>
        <w:tc>
          <w:tcPr>
            <w:tcW w:w="620" w:type="dxa"/>
            <w:vAlign w:val="bottom"/>
            <w:gridSpan w:val="3"/>
          </w:tcPr>
          <w:p>
            <w:pPr>
              <w:jc w:val="right"/>
              <w:ind w:right="87"/>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1,065,263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China performance obligation revenue is recognized as product revenue, as described in details under </w:t>
      </w:r>
      <w:r>
        <w:rPr>
          <w:rFonts w:ascii="Arial" w:cs="Arial" w:eastAsia="Arial" w:hAnsi="Arial"/>
          <w:sz w:val="17"/>
          <w:szCs w:val="17"/>
          <w:i w:val="1"/>
          <w:iCs w:val="1"/>
          <w:color w:val="auto"/>
        </w:rPr>
        <w:t>Product Revenue, Net</w:t>
      </w:r>
      <w:r>
        <w:rPr>
          <w:rFonts w:ascii="Arial" w:cs="Arial" w:eastAsia="Arial" w:hAnsi="Arial"/>
          <w:sz w:val="17"/>
          <w:szCs w:val="17"/>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9512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ind w:left="380" w:right="220" w:hanging="372"/>
        <w:spacing w:after="0" w:line="31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March 31, 2021, deferred revenue included $143.6 million related to the U.S./RoW and China Agreement, which represents the net of $147.3 million of deferred revenue presented above and a $3.7 million unbilled co-development revenue under the China Amendment with AstraZeneca.</w:t>
      </w:r>
    </w:p>
    <w:p>
      <w:pPr>
        <w:spacing w:after="0" w:line="149"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The revenue recognized under the U.S./RoW Agreement for the three months ended March 31, 2021 included a reduction in revenue of $4.2 million resulting from changes to estimated variable consideration. The remainder of the transaction price related to the U.S./RoW Agreement and China Agreement includes $49.5 million of variable consideration from estimated future co-development billing and is expected to be recognized over the remaining development service period, except for amounts allocated to the China performance obligation. The amount allocated to the U.S./RoW Agreement is expected to be recognized over the remaining development service period. The amount allocated to the China performance obligation is expected to be recognized as the Company transfers control of the commercial products to Falikang.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net from the sales of roxadustat commercial product in China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18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Gross revenue</w:t>
            </w:r>
          </w:p>
        </w:tc>
        <w:tc>
          <w:tcPr>
            <w:tcW w:w="28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5,429</w:t>
            </w:r>
          </w:p>
        </w:tc>
        <w:tc>
          <w:tcPr>
            <w:tcW w:w="160" w:type="dxa"/>
            <w:vAlign w:val="bottom"/>
          </w:tcPr>
          <w:p>
            <w:pPr>
              <w:spacing w:after="0"/>
              <w:rPr>
                <w:sz w:val="19"/>
                <w:szCs w:val="19"/>
                <w:color w:val="auto"/>
              </w:rPr>
            </w:pPr>
          </w:p>
        </w:tc>
        <w:tc>
          <w:tcPr>
            <w:tcW w:w="120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Discounts and rebates</w:t>
            </w:r>
          </w:p>
        </w:tc>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returns</w:t>
            </w:r>
          </w:p>
        </w:tc>
        <w:tc>
          <w:tcPr>
            <w:tcW w:w="1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Direct sales revenue, net</w:t>
            </w:r>
          </w:p>
        </w:tc>
        <w:tc>
          <w:tcPr>
            <w:tcW w:w="18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Sales to Falikang:</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Gross transfer price</w:t>
            </w:r>
          </w:p>
        </w:tc>
        <w:tc>
          <w:tcPr>
            <w:tcW w:w="1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Profit share</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transfer price</w:t>
            </w:r>
          </w:p>
        </w:tc>
        <w:tc>
          <w:tcPr>
            <w:tcW w:w="18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Constrained for future recognition</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Sales to Falikang revenue, net</w:t>
            </w:r>
          </w:p>
        </w:tc>
        <w:tc>
          <w:tcPr>
            <w:tcW w:w="18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Pr>
          <w:p>
            <w:pPr>
              <w:ind w:left="740"/>
              <w:spacing w:after="0"/>
              <w:rPr>
                <w:sz w:val="20"/>
                <w:szCs w:val="20"/>
                <w:color w:val="auto"/>
              </w:rPr>
            </w:pPr>
            <w:r>
              <w:rPr>
                <w:rFonts w:ascii="Arial" w:cs="Arial" w:eastAsia="Arial" w:hAnsi="Arial"/>
                <w:sz w:val="18"/>
                <w:szCs w:val="18"/>
                <w:color w:val="auto"/>
              </w:rPr>
              <w:t>Total product revenue, net</w:t>
            </w:r>
          </w:p>
        </w:tc>
        <w:tc>
          <w:tcPr>
            <w:tcW w:w="1820" w:type="dxa"/>
            <w:vAlign w:val="bottom"/>
          </w:tcPr>
          <w:p>
            <w:pPr>
              <w:spacing w:after="0"/>
              <w:rPr>
                <w:sz w:val="19"/>
                <w:szCs w:val="19"/>
                <w:color w:val="auto"/>
              </w:rPr>
            </w:pP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20" w:type="dxa"/>
            <w:vAlign w:val="bottom"/>
            <w:vMerge w:val="restart"/>
          </w:tcPr>
          <w:p>
            <w:pPr>
              <w:jc w:val="right"/>
              <w:ind w:right="690"/>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Product revenue from direct roxadustat product sales to distributors in China is recognized in an amount that reflects the consideration to which the Company expects to be entitled in exchange for those products, net of various sales rebates and discounts. The total discounts and rebates were $0.6 million and $0.4 million for the three months ended March 31, 2021 and 2020, respectively, which primarily consisted of the contractual sales rebate calculated based on the stated percentage of gross sales by each distributor in the distribution agreement entered between FibroGen and each distributor.</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rebates and discounts that the Company’s pharmaceutical distributors have earned are eligible to be applied against future sales orders, limited to certain maximums until such rebates and discounts are exhausted. These rebates and discounts are recorded as contract liabilities at the time they become eligible in the same period that the related revenue is recorded. 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contract liabilities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2"/>
                <w:szCs w:val="12"/>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6"/>
              </w:rPr>
              <w:t>Deduction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and 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 Direct sales - contract liabilities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2021 and December 31, 2020, the total contract liabilities were $16.0 million and $15.1 million, which were included in accrued and other current liabilities in the condensed consolidated balance sheet. There were no rebates and discounts reflected as reductions to gross accounts receivable as of March 31, 2021 as substantially all direct product sales to distributors were transitioned to Falikang. As of December 31, 2020, the total rebates and discounts as reductions to gross accounts receivable was $0.5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 – China Performance Obligation</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roxadustat sales to Falikang marked the beginning of the Company’s China performance obligation under the Company’s agreements with AstraZeneca</w:t>
      </w:r>
      <w:r>
        <w:rPr>
          <w:rFonts w:ascii="Arial" w:cs="Arial" w:eastAsia="Arial" w:hAnsi="Arial"/>
          <w:sz w:val="17"/>
          <w:szCs w:val="17"/>
          <w:i w:val="1"/>
          <w:iCs w:val="1"/>
          <w:color w:val="auto"/>
        </w:rPr>
        <w:t>.</w:t>
      </w:r>
      <w:r>
        <w:rPr>
          <w:rFonts w:ascii="Arial" w:cs="Arial" w:eastAsia="Arial" w:hAnsi="Arial"/>
          <w:sz w:val="17"/>
          <w:szCs w:val="17"/>
          <w:color w:val="auto"/>
        </w:rPr>
        <w:t xml:space="preserve"> Product revenue is based on the transaction price of the China performance obligation. Revenue is recognized when control of product is transferred to Falikang, in an amount that reflects the allocation of the transaction price to the performance obligation satisfied during the reporting period. Any net transfer price in excess of the revenue recognized is added to the deferred balance to date, and will be recognized over future periods as the performance obligations are satisfied. During the three months ended March 31, 2021, the Company constrained $3.9 million from the net transfer price to Falikang, which was included in the related deferred revenue of China performance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roll-forward of the related deferred revenue that is considered as a contract liability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Recognized as</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 AstraZeneca</w:t>
            </w: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China performance obligation - deferred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(137,338)</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(15,881)</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(142,813)</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March 31, 2021, approximately $6.0 million of the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reductions to gross accounts receivable related to product revenue to Falikang was $9.2 million as of March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Drug product revenue from commercial-grade API or bulk drug product sales to AstraZeneca and Astellas was as follows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2021</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Astellas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AstraZeneca</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6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Drug product revenue</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three months ended March 31, 2021, the Company recorded $4.0 million drug product revenue related to the API shipments fulfilled under the terms of the Japan Amendment with Astellas in 2018, due to a change in estimated variable consideration. Specifically, the change in estimated variable consideration was based on the API held by Astellas at March 31, 2021 adjusted to reflect the changes in the estimated bulk product strength mix intended to be manufactured by Astellas, estimated cost to convert the API to bulk product tablets, and estimated yield from the manufacture of bulk product tablets, among others. This amount was unbilled to Astellas as of March 31, 2021, and recorded under prepaid expenses and other current assets in the condensed consolidated balance sheet. This amount was billed to Astellas in April 2021.</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three months ended March 31, 2021, the Company shipped bulk drug product to AstraZeneca as commercial supply under the terms of the Master Supply Agreement, and recognized drug product revenue of $4.5 million.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months ended March 31, 2021, the Company shipped bulk drug product from process validation supplies for commercial purposes under the terms of the Europe Agreement and the EU Supply Agreement with Astellas. The Company constrained the consideration of $11.8 million from this shipment due to a high degree of uncertainty associated with the final consideration, which was reflected as deferred revenue as of March 31, 2021. The deferred revenue will be recognized as and when uncertainty is resolved. The following table includes a roll-forward of the related deferred revenue that is considered as a contract liability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Recognized as</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Drug product revenue - Astellas - deferred revenue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Falikang is a distribution entity jointly owned by AstraZeneca and FibroGen Beijing. FibroGen Beijing owns 51.1% of the outstanding shares of Falikang.</w:t>
      </w:r>
    </w:p>
    <w:p>
      <w:pPr>
        <w:spacing w:after="0" w:line="2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the guidance under ASC 810, the Company concluded that Falikang qualifies as a variable interest entity (“VIE”). As Falikang is a distribution entity and AstraZeneca is the final decision maker for all the roxadustat commercialization activities, the Company lacks the power criterion while AstraZeneca meets both the power and economic criteria under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Accordingly, the Company records its total investments in Falikang as an equity method investment in an unconsolidated variable interest entity in the condensed consolidated balance sheet. In addition, the Company recognizes its proportionate share of the reported profits or losses of Falikang as investment gain or loss in unconsolidated variable interest entity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these loans have been immaterial.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method investment in Falikang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40" w:type="dxa"/>
            <w:vAlign w:val="bottom"/>
            <w:vMerge w:val="restart"/>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1600" w:type="dxa"/>
            <w:vAlign w:val="bottom"/>
          </w:tcPr>
          <w:p>
            <w:pPr>
              <w:jc w:val="center"/>
              <w:ind w:left="362"/>
              <w:spacing w:after="0"/>
              <w:rPr>
                <w:sz w:val="20"/>
                <w:szCs w:val="20"/>
                <w:color w:val="auto"/>
              </w:rPr>
            </w:pPr>
            <w:r>
              <w:rPr>
                <w:rFonts w:ascii="Arial" w:cs="Arial" w:eastAsia="Arial" w:hAnsi="Arial"/>
                <w:sz w:val="14"/>
                <w:szCs w:val="14"/>
                <w:b w:val="1"/>
                <w:bCs w:val="1"/>
                <w:color w:val="auto"/>
                <w:w w:val="91"/>
              </w:rPr>
              <w:t>Balance at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0"/>
              </w:rPr>
              <w:t>Share of Net Loss</w:t>
            </w:r>
          </w:p>
        </w:tc>
        <w:tc>
          <w:tcPr>
            <w:tcW w:w="3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Percentage</w:t>
            </w:r>
          </w:p>
        </w:tc>
        <w:tc>
          <w:tcPr>
            <w:tcW w:w="40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4"/>
              </w:rPr>
              <w:t>March 31, 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20" w:type="dxa"/>
            <w:vAlign w:val="bottom"/>
            <w:shd w:val="clear" w:color="auto" w:fill="CFF0FC"/>
          </w:tcPr>
          <w:p>
            <w:pPr>
              <w:spacing w:after="0"/>
              <w:rPr>
                <w:sz w:val="20"/>
                <w:szCs w:val="20"/>
                <w:color w:val="auto"/>
              </w:rPr>
            </w:pPr>
            <w:r>
              <w:rPr>
                <w:rFonts w:ascii="Arial" w:cs="Arial" w:eastAsia="Arial" w:hAnsi="Arial"/>
                <w:sz w:val="18"/>
                <w:szCs w:val="18"/>
                <w:color w:val="auto"/>
              </w:rPr>
              <w:t>Falikang</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51.1%</w:t>
            </w:r>
          </w:p>
        </w:tc>
        <w:tc>
          <w:tcPr>
            <w:tcW w:w="1600" w:type="dxa"/>
            <w:vAlign w:val="bottom"/>
            <w:shd w:val="clear" w:color="auto" w:fill="CFF0FC"/>
          </w:tcPr>
          <w:p>
            <w:pPr>
              <w:jc w:val="right"/>
              <w:ind w:right="142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2,728</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as a related party to the Company. See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5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282,269</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84,538</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84,538</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100,958</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100,958</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30,059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30,059</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14,347</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14,347</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12,569</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Foreign government bonds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12,194</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12,194</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r>
      <w:tr>
        <w:trPr>
          <w:trHeight w:val="223"/>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224,606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537,176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5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590,591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598,735</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months ended March 31, 2021.</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financial liabilities related to lease obligations as of March 31, 2021 and December 31, 2020 were $1.0 million and $1.1 million, respectively. The fair values of the Company’s financial liabilities are carried at historical cost that were derived by using an income approach, which required Level 3 inputs such as discounted estimated future cash flows. There were no transfers of assets or liabilities between levels for any of the periods presented.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w:t>
            </w:r>
          </w:p>
        </w:tc>
        <w:tc>
          <w:tcPr>
            <w:tcW w:w="16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2020</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Finance:</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50,796</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50,477</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(23,485)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(20,871)</w:t>
            </w:r>
          </w:p>
        </w:tc>
      </w:tr>
      <w:tr>
        <w:trPr>
          <w:trHeight w:val="223"/>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Finance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Operating:</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r>
      <w:tr>
        <w:trPr>
          <w:trHeight w:val="223"/>
        </w:trPr>
        <w:tc>
          <w:tcPr>
            <w:tcW w:w="40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4080" w:type="dxa"/>
            <w:vAlign w:val="bottom"/>
            <w:tcBorders>
              <w:bottom w:val="single" w:sz="8" w:color="CFF0FC"/>
            </w:tcBorders>
          </w:tcPr>
          <w:p>
            <w:pPr>
              <w:jc w:val="right"/>
              <w:ind w:right="2130"/>
              <w:spacing w:after="0"/>
              <w:rPr>
                <w:sz w:val="20"/>
                <w:szCs w:val="20"/>
                <w:color w:val="auto"/>
              </w:rPr>
            </w:pPr>
            <w:r>
              <w:rPr>
                <w:rFonts w:ascii="Arial" w:cs="Arial" w:eastAsia="Arial" w:hAnsi="Arial"/>
                <w:sz w:val="18"/>
                <w:szCs w:val="18"/>
                <w:color w:val="auto"/>
              </w:rPr>
              <w:t>Total lease assets</w:t>
            </w:r>
          </w:p>
        </w:tc>
        <w:tc>
          <w:tcPr>
            <w:tcW w:w="38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31,649</w:t>
            </w:r>
          </w:p>
        </w:tc>
        <w:tc>
          <w:tcPr>
            <w:tcW w:w="120" w:type="dxa"/>
            <w:vAlign w:val="bottom"/>
            <w:tcBorders>
              <w:bottom w:val="single" w:sz="8" w:color="CFF0FC"/>
            </w:tcBorders>
          </w:tcPr>
          <w:p>
            <w:pPr>
              <w:spacing w:after="0"/>
              <w:rPr>
                <w:sz w:val="22"/>
                <w:szCs w:val="22"/>
                <w:color w:val="auto"/>
              </w:rPr>
            </w:pPr>
          </w:p>
        </w:tc>
      </w:tr>
      <w:tr>
        <w:trPr>
          <w:trHeight w:val="210"/>
        </w:trPr>
        <w:tc>
          <w:tcPr>
            <w:tcW w:w="408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liabilities, current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25,391</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Total lease liabilities</w:t>
            </w:r>
          </w:p>
        </w:tc>
        <w:tc>
          <w:tcPr>
            <w:tcW w:w="3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March 31, 2021, after FibroGen Beijing’s previous long-term lease agreement expired, the Company entered into a new lease agreement with the landlord for the same pilot plant located in Beijing Yizhuang Biomedical Park of BDA. The new lease term is five year, scheduled to expire in 2026, and is treated as an operating lease. Accordingly, the Company recorded $3.4 million in the operating right-of-use assets and total operating lease liabilities, respectively. The lease contract provides for fixed quarterly rent payments, and require the Company to pay operating and maintenance costs.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Statement of Operations Line Item</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w w:val="83"/>
              </w:rPr>
              <w:t>2021</w:t>
            </w:r>
          </w:p>
        </w:tc>
        <w:tc>
          <w:tcPr>
            <w:tcW w:w="140" w:type="dxa"/>
            <w:vAlign w:val="bottom"/>
          </w:tcPr>
          <w:p>
            <w:pPr>
              <w:spacing w:after="0"/>
              <w:rPr>
                <w:sz w:val="13"/>
                <w:szCs w:val="13"/>
                <w:color w:val="auto"/>
              </w:rPr>
            </w:pPr>
          </w:p>
        </w:tc>
        <w:tc>
          <w:tcPr>
            <w:tcW w:w="106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44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ind w:left="260"/>
              <w:spacing w:after="0"/>
              <w:rPr>
                <w:sz w:val="20"/>
                <w:szCs w:val="20"/>
                <w:color w:val="auto"/>
              </w:rPr>
            </w:pPr>
            <w:r>
              <w:rPr>
                <w:rFonts w:ascii="Arial" w:cs="Arial" w:eastAsia="Arial" w:hAnsi="Arial"/>
                <w:sz w:val="18"/>
                <w:szCs w:val="18"/>
                <w:color w:val="auto"/>
              </w:rPr>
              <w:t>Amortization of</w:t>
            </w: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Cost of goods sold;</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2,616</w:t>
            </w:r>
          </w:p>
        </w:tc>
        <w:tc>
          <w:tcPr>
            <w:tcW w:w="14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380"/>
              <w:spacing w:after="0"/>
              <w:rPr>
                <w:sz w:val="20"/>
                <w:szCs w:val="20"/>
                <w:color w:val="auto"/>
              </w:rPr>
            </w:pPr>
            <w:r>
              <w:rPr>
                <w:rFonts w:ascii="Arial" w:cs="Arial" w:eastAsia="Arial" w:hAnsi="Arial"/>
                <w:sz w:val="18"/>
                <w:szCs w:val="18"/>
                <w:color w:val="auto"/>
              </w:rPr>
              <w:t>right-of-use assets</w:t>
            </w: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w w:val="99"/>
              </w:rPr>
              <w:t>Selling, general and administrative expenses</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40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w w:val="99"/>
              </w:rPr>
              <w:t>Selling, general and administrative expenses</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40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99"/>
              </w:rPr>
              <w:t>Selling, general and administrative expenses</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Total lease cost</w:t>
            </w:r>
          </w:p>
        </w:tc>
        <w:tc>
          <w:tcPr>
            <w:tcW w:w="4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ind w:left="40"/>
              <w:spacing w:after="0"/>
              <w:rPr>
                <w:sz w:val="20"/>
                <w:szCs w:val="20"/>
                <w:color w:val="auto"/>
              </w:rPr>
            </w:pPr>
            <w:r>
              <w:rPr>
                <w:rFonts w:ascii="Arial" w:cs="Arial" w:eastAsia="Arial" w:hAnsi="Arial"/>
                <w:sz w:val="18"/>
                <w:szCs w:val="18"/>
                <w:color w:val="auto"/>
              </w:rPr>
              <w:t>Supplemental cash flow information related to leases were as follows (in thousands):</w:t>
            </w: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4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11"/>
          </w:tcPr>
          <w:p>
            <w:pPr>
              <w:jc w:val="right"/>
              <w:ind w:right="98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86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475</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8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3,299</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2,814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4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FF0FC"/>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3,462</w:t>
            </w:r>
          </w:p>
        </w:tc>
        <w:tc>
          <w:tcPr>
            <w:tcW w:w="86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term and discount rate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4.39%</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458"/>
        </w:trPr>
        <w:tc>
          <w:tcPr>
            <w:tcW w:w="6060" w:type="dxa"/>
            <w:vAlign w:val="bottom"/>
            <w:gridSpan w:val="4"/>
          </w:tcPr>
          <w:p>
            <w:pPr>
              <w:spacing w:after="0"/>
              <w:rPr>
                <w:sz w:val="20"/>
                <w:szCs w:val="20"/>
                <w:color w:val="auto"/>
              </w:rPr>
            </w:pPr>
            <w:r>
              <w:rPr>
                <w:rFonts w:ascii="Arial" w:cs="Arial" w:eastAsia="Arial" w:hAnsi="Arial"/>
                <w:sz w:val="18"/>
                <w:szCs w:val="18"/>
                <w:color w:val="auto"/>
                <w:w w:val="95"/>
              </w:rPr>
              <w:t>Maturities of lease liabilities as of March 31, 2021 are as follows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5740" w:type="dxa"/>
            <w:vAlign w:val="bottom"/>
            <w:gridSpan w:val="3"/>
          </w:tcPr>
          <w:p>
            <w:pPr>
              <w:ind w:left="82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Finance Leases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(remaining nine month period)</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10,237</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13,898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12,535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Beyond 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future lease payments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36,670</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(1,997)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574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20" w:type="dxa"/>
            <w:vAlign w:val="bottom"/>
            <w:vMerge w:val="continue"/>
          </w:tcPr>
          <w:p>
            <w:pPr>
              <w:spacing w:after="0"/>
              <w:rPr>
                <w:sz w:val="24"/>
                <w:szCs w:val="24"/>
                <w:color w:val="auto"/>
              </w:rPr>
            </w:pPr>
          </w:p>
        </w:tc>
        <w:tc>
          <w:tcPr>
            <w:tcW w:w="57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60" w:type="dxa"/>
            <w:vAlign w:val="bottom"/>
            <w:gridSpan w:val="4"/>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100,735</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88,046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41,419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282,269</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590,347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433,508</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678,393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2021 and December 31, 2020, a total of $76.5 million and $66.0 million, respectively, of the Company’s cash and cash equivalents were held outside of the U.S. in its foreign subsidiaries to be used primarily for its China operations.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The amortized cost, gross unrealized holding gains or losses, and fair value of the Company’s investments by major investments type are summarized in the tables below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Holding 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75,503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59,536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bonds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204,341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Holding Losses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investments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31, 2021, the available-for-sale investments had contractual maturities range from several months to four years. During the three months ended March 31, 2021, the Company did not recognize any other-than-temporary impairment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Work-in-progress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8,114</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capitalizes inventory costs for FibroGen Beijing’s productions of roxadustat for commercial sales purposes. The Company started capitalizing pre-launch inventory costs in the U.S. in the second quarter of 2020 prior to regulatory approval. As of March 31, 2021 and December 31, 2020, pre-launch inventory capitalized was 37% and 29% of the total inventory balance, respectively. The provision to write-down excess and obsolete inventory was immaterial for the three months ended March 31, 2021 and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(3,691)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(2,147)</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Prepaid assets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8,353</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8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w:t>
            </w:r>
          </w:p>
        </w:tc>
        <w:tc>
          <w:tcPr>
            <w:tcW w:w="8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unbilled contract assets as of March 31, 2021 included $4.0 million related to a change in estimated variable consideration associated with the API shipments fulfilled under the terms of the Japan Amendment with Astellas in 2018, and $3.7 million related to unbilled co-development revenue under the China Amendment with AstraZeneca. The unbilled contract assets as of December 31, 2020 were related to unbilled co-development revenue under the China Amendment with AstraZeneca. See Note 2, </w:t>
      </w:r>
      <w:r>
        <w:rPr>
          <w:rFonts w:ascii="Arial" w:cs="Arial" w:eastAsia="Arial" w:hAnsi="Arial"/>
          <w:sz w:val="17"/>
          <w:szCs w:val="17"/>
          <w:i w:val="1"/>
          <w:iCs w:val="1"/>
          <w:color w:val="auto"/>
        </w:rPr>
        <w:t>Collaboration Agreements and Revenues</w:t>
      </w:r>
      <w:r>
        <w:rPr>
          <w:rFonts w:ascii="Arial" w:cs="Arial" w:eastAsia="Arial" w:hAnsi="Arial"/>
          <w:sz w:val="17"/>
          <w:szCs w:val="17"/>
          <w:color w:val="auto"/>
        </w:rPr>
        <w:t>, for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102,265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Computer equipment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(113,634)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(111,247)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2"/>
          </w:tcPr>
          <w:p>
            <w:pPr>
              <w:spacing w:after="0"/>
              <w:rPr>
                <w:sz w:val="20"/>
                <w:szCs w:val="20"/>
                <w:color w:val="auto"/>
              </w:rPr>
            </w:pPr>
            <w:r>
              <w:rPr>
                <w:rFonts w:ascii="Arial" w:cs="Arial" w:eastAsia="Arial" w:hAnsi="Arial"/>
                <w:sz w:val="18"/>
                <w:szCs w:val="18"/>
                <w:color w:val="auto"/>
                <w:w w:val="98"/>
              </w:rPr>
              <w:t>Accrued and other current liabilities consisted of the following (in thousands):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to pharmaceutical distributors</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Accrued co-promotion expenses - current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Roxadustat profit share to AstraZeneca</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Property taxes and other taxes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119,781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profit share liability of $7.0 million to AstraZeneca as of March 31, 2021 and December 31, 2020 represented the profit/loss share between FibroGen Beijing and AstraZeneca that was calculated for the interim period pursuant to the China Amendment. This liability correspondingly reduced the deferred revenue related to the performance obligation in accordance with the China Amendment.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long-term co-promotion expenses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8,675</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8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38,335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Stock-based compensation expense was recorded directly to research and development and selling, general and administrative expense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3"/>
                <w:szCs w:val="13"/>
                <w:color w:val="auto"/>
              </w:rPr>
            </w:pPr>
          </w:p>
        </w:tc>
        <w:tc>
          <w:tcPr>
            <w:tcW w:w="146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12,221</w:t>
            </w:r>
          </w:p>
        </w:tc>
        <w:tc>
          <w:tcPr>
            <w:tcW w:w="3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w:t>
            </w: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8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19,384</w:t>
            </w: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assumptions used to estimate the fair value of stock options granted and purchases under the Company’s 2014 Employee Share Purchase Plan (“ESPP”) using the Black-Scholes option valuation model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27.46</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17.24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0.5 - 2.0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47.5 - 64.4 %</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49.5 - 57.7 %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0.1 - 2.2 %</w:t>
            </w:r>
          </w:p>
        </w:tc>
        <w:tc>
          <w:tcPr>
            <w:tcW w:w="380" w:type="dxa"/>
            <w:vAlign w:val="bottom"/>
          </w:tcPr>
          <w:p>
            <w:pPr>
              <w:spacing w:after="0"/>
              <w:rPr>
                <w:sz w:val="19"/>
                <w:szCs w:val="19"/>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1.5 - 2.9 %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16.94</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18.57</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Provision for income tax for the three months ended March 31, 2021 was primarily due to foreign taxes. The benefit from income taxes for the three months ended March 31, 2020 was primarily due to the tax effect arising from other comprehensive income related to available-for-sale securities, partially offset by foreign taxes.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deferred tax assets as it does not currently believe that realization of those assets is more likely than not.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$3.6 million and $4.7 million for the three months ended March 31, 2021 and 2020, respectively.</w:t>
      </w:r>
    </w:p>
    <w:p>
      <w:pPr>
        <w:spacing w:after="0" w:line="170"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 xml:space="preserve">During the three months ended March 31, 2021, the Company also recorded drug product revenue from Astellas of $4.0 million related to the API shipments fulfilled under the terms of the Japan Amendment with Astellas in 2018, due to a change in estimated variable consideration. See Note 2,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for details.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expense related to collaboration agreements with Astellas was $0.1 million for each of the three months ended March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accounts receivable from Astellas were $17.5 million and $4.1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total deferred revenue from Astellas was $18.6 million and $7.5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amounts due to Astellas were $0.1 million and $1.1 million, respectively.</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of March 31, 2021, prepaid expenses and other current assets included $4.0 million of unbilled contract assets from Astellas, representing the above mentioned change in estimated variable consideration related to the API shipments fulfilled in 2018. This amount was billed to Astellas in April 2021. See Note 2,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for details.</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In September 2020, FibroGen Beijing and AstraZeneca completed the establishment of a jointly owned entity, Falikang, which was determined to be an unconsolidated VIE. As such, Falikang is accounted for as an equity method investment, and considered as a related party to the Company. FibroGen Beijing owns 51.1% of Falikang’s equity.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for details.</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For the three months ended March 31, 2021, the net product revenue from Falikang was $10.4 million. See Note 2, </w:t>
      </w:r>
      <w:r>
        <w:rPr>
          <w:rFonts w:ascii="Arial" w:cs="Arial" w:eastAsia="Arial" w:hAnsi="Arial"/>
          <w:sz w:val="18"/>
          <w:szCs w:val="18"/>
          <w:i w:val="1"/>
          <w:iCs w:val="1"/>
          <w:color w:val="auto"/>
        </w:rPr>
        <w:t>Collaboration Agreements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w:t>
      </w:r>
      <w:r>
        <w:rPr>
          <w:rFonts w:ascii="Arial" w:cs="Arial" w:eastAsia="Arial" w:hAnsi="Arial"/>
          <w:sz w:val="18"/>
          <w:szCs w:val="18"/>
          <w:color w:val="auto"/>
        </w:rPr>
        <w:t>, for details.</w:t>
      </w:r>
    </w:p>
    <w:p>
      <w:pPr>
        <w:spacing w:after="0" w:line="170" w:lineRule="exact"/>
        <w:rPr>
          <w:sz w:val="20"/>
          <w:szCs w:val="20"/>
          <w:color w:val="auto"/>
        </w:rPr>
      </w:pPr>
    </w:p>
    <w:p>
      <w:pPr>
        <w:jc w:val="both"/>
        <w:ind w:right="680"/>
        <w:spacing w:after="0" w:line="342" w:lineRule="auto"/>
        <w:rPr>
          <w:sz w:val="20"/>
          <w:szCs w:val="20"/>
          <w:color w:val="auto"/>
        </w:rPr>
      </w:pPr>
      <w:r>
        <w:rPr>
          <w:rFonts w:ascii="Arial" w:cs="Arial" w:eastAsia="Arial" w:hAnsi="Arial"/>
          <w:sz w:val="16"/>
          <w:szCs w:val="16"/>
          <w:color w:val="auto"/>
        </w:rPr>
        <w:t xml:space="preserve">For the three months ended March 31, 2021, the investment loss in Falikang was $0.2 million. As of March 31, 2021 and December 31, 2020, the Company’s equity method investment in Falikang was $2.5 million and $2.7 million, respectively.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for details.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accounts receivable, net, from Falikang was of $15.4 million.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and December 31, 2020, prepaid expenses and other current assets included miscellaneous receivables from Falikang of $1.0 million and $0.9 million, respectively.</w:t>
      </w:r>
    </w:p>
    <w:p>
      <w:pPr>
        <w:spacing w:after="0" w:line="274"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of March 31, 2021, the Company had outstanding total non-cancelable purchase obligations of $93.9 million, including $30.4 million for manufacture and supply of roxadustat, $57.5 million for manufacture and supply of pamrevlumab, and $6.0 million for other purchases. The Company expects to fulfill our commitments under these agreements in the normal course of business, and as such, no liability has been recorded.</w:t>
      </w:r>
    </w:p>
    <w:p>
      <w:pPr>
        <w:spacing w:after="0" w:line="16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Some of the Company’s license agreements provide for periodic maintenance fees over specified time periods, as well as payments by the Company upon the achievement of development, regulatory and commercial milestones. Future milestone payments for research and pre-clinical stage development programs consisted of up to approximately $10.9 million in total potential future milestone payments under the Company’s license agreements with Dana-Farber Cancer Institute, University of Miami and Medarex, Inc. These milestone payments generally become due and payable only upon the achievement of certain developmental, clinical, regulatory and/or commercial milestones. The event triggering such payment or obligation has not yet occurred.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did not have material accruals for any currently active legal action in its condensed consolidated balance sheets as of March 31, 2021, as it could not predict the ultimate outcome of these matters, or reasonably estimate the potential exposure.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2021, three putative securities class action complaints were filed against FibroGen and certain of its current and former executive officers (collectively, the “Defendants”) in the United States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Motions for lead plaintiff are due on June 11, 2021. Once a lead plaintiff is appointed by the Court, we expect to receive an amended consolidated complaint. We believe that the claims are without merit and we intend to vigorously defend against them. However, any litigation is inherently uncertain, and any judgment or injunctive relief entered against us or any adverse settlement could materially and adversely impact our business, results of operations, financial condition, and prospects.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2020 filed with the SEC on March 1,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biology, 2-oxoglutarate enzymology, connective tissue growth factor (“CTGF”) biology, and clinical development to advance innovative medicines for the treatment of anemia, fibrotic disease, and cancer.</w:t>
      </w:r>
    </w:p>
    <w:p>
      <w:pPr>
        <w:spacing w:after="0" w:line="187" w:lineRule="exact"/>
        <w:rPr>
          <w:sz w:val="20"/>
          <w:szCs w:val="20"/>
          <w:color w:val="auto"/>
        </w:rPr>
      </w:pPr>
    </w:p>
    <w:p>
      <w:pPr>
        <w:spacing w:after="0" w:line="226" w:lineRule="exact"/>
        <w:rPr>
          <w:sz w:val="20"/>
          <w:szCs w:val="20"/>
          <w:color w:val="auto"/>
        </w:rPr>
      </w:pPr>
      <w:r>
        <w:rPr>
          <w:rFonts w:ascii="Arial" w:cs="Arial" w:eastAsia="Arial" w:hAnsi="Arial"/>
          <w:sz w:val="18"/>
          <w:szCs w:val="18"/>
          <w:color w:val="auto"/>
        </w:rPr>
        <w:t xml:space="preserve">Roxadustat, our most advanced product, is an oral small molecule inhibitor of HIF prolyl hydroxylase (together with HIF, “HIF-PH”) activity that is being commercialized in China (tradename: </w:t>
      </w:r>
      <w:r>
        <w:rPr>
          <w:rFonts w:ascii="SimSun" w:cs="SimSun" w:eastAsia="SimSun" w:hAnsi="SimSun"/>
          <w:sz w:val="18"/>
          <w:szCs w:val="18"/>
          <w:color w:val="auto"/>
        </w:rPr>
        <w:t>爱瑞卓</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anemia caused by chronic kidney disease (“CKD”) in dialysis and non-dialysis patients. EVRENZO® (roxadustat) is also being commercialized in Japan and has been approved in Chile for the treatment of anemia associated with CKD in dialysis and non-dialysis patients.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New Drug Application (“NDA”) filing in the United States (“U.S.”) for roxadustat for the treatment of anemia in dialysis and non-dialysis CKD patients was submitted for review in December 2019 to the U.S. Food and Drug Administration (“FDA”) and in December 2020, the FDA extended the review period of the NDA by three months for FibroGen to submit additional analyses of existing roxadustat clinical data, and set a new Prescription Drug User Fee Act goal date of March 20, 2021. On March 1, 2021, the FDA informed us that the Cardiovascular and Renal Drugs Advisory Committee will hold an advisory committee meeting to review the NDA for roxadustat. The date of the advisory committee meeting has been tentatively set for July 15, 2021. In Europe, the Marketing Authorization Application (“MAA”) filing for roxadustat for the treatment of anemia in dialysis and non-dialysis CKD patients was accepted for regulatory review by the European Medicines Agency (“EMA”) in May 2020 and Astellas Pharma Inc. (“Astellas”) expects an approval decision mid-2021.</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3 development in China for anemia associated with myelodysplastic syndromes. Roxadustat is in Phase 2 clinical development for chemotherapy-induced anemia.</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idiopathic pulmonary fibrosis (“IPF”), pancreatic cancer and Duchenne muscular dystrophy.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Severe Acute Respiratory Syndrome Coronavirus 2 and the resulting Coronavirus Disease (“COVID-19”)</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March 11, 2020, COVID-19, a disease caused by a novel strain of the coronavirus, was characterized as a pandemic by the World Health Organization.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rapid spread has resulted in authorities implementing numerous measures to contain the virus.</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While we have seen some impacts from COVID-19, such as slower enrollment in our clinical trials, particularly our Phase 3 IPF program, we do not know if, or to what extent, these effects will continue in the future, as the impact of the COVID-19 pandemic continues to unfold. The effect on our operational and financial performance beyond those effects described above, including any impact on sales of roxadustat, will depend in large part on future developments with the pandemic, which cannot be predicted with confidence at this time. Future developments include the duration, scope, and severity of the COVID-19 pandemic, the actions taken to contain or mitigate its impact, the impact on governmental programs and budgets, the impact on healthcare systems and operating procedures, the development of treatments or roll out of vaccines, and the resumption of widespread economic activity. Due to the inherent uncertainty of the largely unprecedented and rapidly evolving situation, we are unable to predict with any confidence the likely impact of the COVID-19 pandemic on our future operations.</w:t>
      </w:r>
    </w:p>
    <w:p>
      <w:pPr>
        <w:spacing w:after="0" w:line="1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financial results for the three months ended March 31, 2021 were not significantly impacted by COVID-19 relative to prior quarters. However, we will continue to monitor, and to the extent possible, mitigate the impact of the COVID-19 pandemic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56"/>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940" w:type="dxa"/>
            <w:vAlign w:val="bottom"/>
            <w:tcBorders>
              <w:top w:val="single" w:sz="8" w:color="auto"/>
              <w:bottom w:val="single" w:sz="8" w:color="auto"/>
            </w:tcBorders>
          </w:tcPr>
          <w:p>
            <w:pPr>
              <w:jc w:val="right"/>
              <w:ind w:right="978"/>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8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160" w:type="dxa"/>
            <w:vAlign w:val="bottom"/>
            <w:gridSpan w:val="3"/>
          </w:tcPr>
          <w:p>
            <w:pPr>
              <w:jc w:val="center"/>
              <w:ind w:right="234"/>
              <w:spacing w:after="0" w:line="155" w:lineRule="exact"/>
              <w:rPr>
                <w:sz w:val="20"/>
                <w:szCs w:val="20"/>
                <w:color w:val="auto"/>
              </w:rPr>
            </w:pPr>
            <w:r>
              <w:rPr>
                <w:rFonts w:ascii="Arial" w:cs="Arial" w:eastAsia="Arial" w:hAnsi="Arial"/>
                <w:sz w:val="14"/>
                <w:szCs w:val="14"/>
                <w:b w:val="1"/>
                <w:bCs w:val="1"/>
                <w:color w:val="auto"/>
                <w:w w:val="91"/>
              </w:rPr>
              <w:t>(in thousands, except for per share data)</w:t>
            </w:r>
          </w:p>
        </w:tc>
        <w:tc>
          <w:tcPr>
            <w:tcW w:w="100" w:type="dxa"/>
            <w:vAlign w:val="bottom"/>
          </w:tcPr>
          <w:p>
            <w:pPr>
              <w:spacing w:after="0"/>
              <w:rPr>
                <w:sz w:val="13"/>
                <w:szCs w:val="13"/>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8"/>
              <w:spacing w:after="0"/>
              <w:rPr>
                <w:sz w:val="20"/>
                <w:szCs w:val="20"/>
                <w:color w:val="auto"/>
              </w:rPr>
            </w:pPr>
            <w:r>
              <w:rPr>
                <w:rFonts w:ascii="Arial" w:cs="Arial" w:eastAsia="Arial" w:hAnsi="Arial"/>
                <w:sz w:val="18"/>
                <w:szCs w:val="18"/>
                <w:color w:val="auto"/>
              </w:rPr>
              <w:t>38,429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24,401</w:t>
            </w:r>
          </w:p>
        </w:tc>
        <w:tc>
          <w:tcPr>
            <w:tcW w:w="10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108,856</w:t>
            </w:r>
          </w:p>
        </w:tc>
        <w:tc>
          <w:tcPr>
            <w:tcW w:w="4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105,475</w:t>
            </w: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(71,755)</w:t>
            </w:r>
          </w:p>
        </w:tc>
        <w:tc>
          <w:tcPr>
            <w:tcW w:w="4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(78,348)</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(0.89)</w:t>
            </w:r>
          </w:p>
        </w:tc>
      </w:tr>
      <w:tr>
        <w:trPr>
          <w:trHeight w:val="688"/>
        </w:trPr>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jc w:val="right"/>
              <w:ind w:right="658"/>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tcPr>
          <w:p>
            <w:pPr>
              <w:spacing w:after="0"/>
              <w:rPr>
                <w:sz w:val="24"/>
                <w:szCs w:val="24"/>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December 31, 2020</w:t>
            </w:r>
          </w:p>
        </w:tc>
      </w:tr>
      <w:tr>
        <w:trPr>
          <w:trHeight w:val="155"/>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2"/>
          </w:tcPr>
          <w:p>
            <w:pPr>
              <w:jc w:val="center"/>
              <w:ind w:left="131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8"/>
              <w:spacing w:after="0"/>
              <w:rPr>
                <w:sz w:val="20"/>
                <w:szCs w:val="20"/>
                <w:color w:val="auto"/>
              </w:rPr>
            </w:pPr>
            <w:r>
              <w:rPr>
                <w:rFonts w:ascii="Arial" w:cs="Arial" w:eastAsia="Arial" w:hAnsi="Arial"/>
                <w:sz w:val="18"/>
                <w:szCs w:val="18"/>
                <w:color w:val="auto"/>
              </w:rPr>
              <w:t>433,508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204,403</w:t>
            </w:r>
          </w:p>
        </w:tc>
        <w:tc>
          <w:tcPr>
            <w:tcW w:w="4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Accounts receivable</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8"/>
              <w:spacing w:after="0"/>
              <w:rPr>
                <w:sz w:val="20"/>
                <w:szCs w:val="20"/>
                <w:color w:val="auto"/>
              </w:rPr>
            </w:pPr>
            <w:r>
              <w:rPr>
                <w:rFonts w:ascii="Arial" w:cs="Arial" w:eastAsia="Arial" w:hAnsi="Arial"/>
                <w:sz w:val="18"/>
                <w:szCs w:val="18"/>
                <w:color w:val="auto"/>
              </w:rPr>
              <w:t>40,543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months ended March 31, 2021 included the revenue recognized related to the following:</w:t>
      </w:r>
    </w:p>
    <w:p>
      <w:pPr>
        <w:spacing w:after="0" w:line="117" w:lineRule="exact"/>
        <w:rPr>
          <w:sz w:val="20"/>
          <w:szCs w:val="20"/>
          <w:color w:val="auto"/>
        </w:rPr>
      </w:pPr>
    </w:p>
    <w:p>
      <w:pPr>
        <w:ind w:left="500" w:right="110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$14.6 million of development revenue recognized under our collaboration agreements with our partners Astellas and AstraZeneca AB (“AstraZeneca”);</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$15.4 million of net product revenue from roxadustat commercial sales in China; and</w:t>
      </w:r>
    </w:p>
    <w:p>
      <w:pPr>
        <w:spacing w:after="0" w:line="117" w:lineRule="exact"/>
        <w:rPr>
          <w:rFonts w:ascii="Arial" w:cs="Arial" w:eastAsia="Arial" w:hAnsi="Arial"/>
          <w:sz w:val="18"/>
          <w:szCs w:val="18"/>
          <w:color w:val="auto"/>
        </w:rPr>
      </w:pPr>
    </w:p>
    <w:p>
      <w:pPr>
        <w:ind w:left="500" w:right="44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$8.5 million of drug product revenue related to roxadustat bulk drug or active pharmaceutical ingredient (“API”) deliveries to AstraZeneca and Astellas.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comparison, our revenue for the three months ended March 31, 2020 included the revenue recognized related to the following:</w:t>
      </w:r>
    </w:p>
    <w:p>
      <w:pPr>
        <w:spacing w:after="0" w:line="11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$19.4 million of development revenue recognized under our collaboration agreements with our partners Astellas and AstraZeneca;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 million of net product revenue from roxadustat commercial sales in China.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costs and expenses for the three months ended March 31, 2021 increased compared to the same period a year ago primarily, as a result of the net effect of the following:</w:t>
      </w:r>
    </w:p>
    <w:p>
      <w:pPr>
        <w:spacing w:after="0" w:line="62"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clinical trial expenses associated with Phase 3 trials for pamrevlumab and roxadustat post-approval safety studies;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employee-related expenses resulting from higher average compensation level and headcount;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stock-based compensation expense, primarily due to the cumulative impact of stock option grant activities;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cost of goods sold associated with increased product revenue and drug product revenue; and</w:t>
      </w:r>
    </w:p>
    <w:p>
      <w:pPr>
        <w:spacing w:after="0" w:line="117" w:lineRule="exact"/>
        <w:rPr>
          <w:rFonts w:ascii="Arial" w:cs="Arial" w:eastAsia="Arial" w:hAnsi="Arial"/>
          <w:sz w:val="18"/>
          <w:szCs w:val="18"/>
          <w:color w:val="auto"/>
        </w:rPr>
      </w:pPr>
    </w:p>
    <w:p>
      <w:pPr>
        <w:ind w:left="500" w:right="100" w:hanging="492"/>
        <w:spacing w:after="0" w:line="255"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Lower sales and marketing expenses primarily due to a change in the calculation method of co-promotion expenses with AstraZeneca as a result of the China Amendment between FibroGen China and AstraZeneca in the third quarter of 2020. In addition, since Falikang became fully operational in January 2021, substantially all direct product sales to distributors were made by Falikang, while FibroGen Beijing continued to sell product directly in a few provinces in China. AstraZeneca now bills the co-promotion expenses to Falikang and to FibroGen Beijing, respectively, for its services provided to the respective entity. All defined terms referenced in this paragraph that are not already defined, are defined below in </w:t>
      </w:r>
      <w:r>
        <w:rPr>
          <w:rFonts w:ascii="Arial" w:cs="Arial" w:eastAsia="Arial" w:hAnsi="Arial"/>
          <w:sz w:val="18"/>
          <w:szCs w:val="18"/>
          <w:i w:val="1"/>
          <w:iCs w:val="1"/>
          <w:color w:val="auto"/>
        </w:rPr>
        <w:t>Collaboration Partnerships for Roxadustat</w:t>
      </w:r>
      <w:r>
        <w:rPr>
          <w:rFonts w:ascii="Arial" w:cs="Arial" w:eastAsia="Arial" w:hAnsi="Arial"/>
          <w:sz w:val="18"/>
          <w:szCs w:val="18"/>
          <w:color w:val="auto"/>
        </w:rPr>
        <w:t>.</w:t>
      </w:r>
    </w:p>
    <w:p>
      <w:pPr>
        <w:spacing w:after="0" w:line="1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three months ended March 31, 2021, we had a net loss of $71.8 million, or net loss per basic and diluted share of $0.78, as compared to a net loss of $78.3 million for the same period a year ago, due to an increase in revenue, partially offset by an increase in operating costs and expenses as discussed above.</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and cash equivalents, investments and accounts receivable totaled $678.5 million at March 31, 2021, a decrease of $50.2 million from December 31, 2020, primarily due to the cash used in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Roxadustat is our most advanced product, an oral small molecule inhibitor of HIF-PH activity that acts by stimulating the body’s natural pathway of erythropoiesis, or red blood cell production.</w:t>
      </w:r>
    </w:p>
    <w:p>
      <w:pPr>
        <w:spacing w:after="0" w:line="184" w:lineRule="exact"/>
        <w:rPr>
          <w:sz w:val="20"/>
          <w:szCs w:val="20"/>
          <w:color w:val="auto"/>
        </w:rPr>
      </w:pPr>
    </w:p>
    <w:p>
      <w:pPr>
        <w:ind w:right="100"/>
        <w:spacing w:after="0" w:line="223" w:lineRule="exact"/>
        <w:rPr>
          <w:sz w:val="20"/>
          <w:szCs w:val="20"/>
          <w:color w:val="auto"/>
        </w:rPr>
      </w:pPr>
      <w:r>
        <w:rPr>
          <w:rFonts w:ascii="Arial" w:cs="Arial" w:eastAsia="Arial" w:hAnsi="Arial"/>
          <w:sz w:val="16"/>
          <w:szCs w:val="16"/>
          <w:color w:val="auto"/>
        </w:rPr>
        <w:t xml:space="preserve">Our collaboration partner AstraZeneca and we continue to expand the commercialization of roxadustat (tradename: </w:t>
      </w:r>
      <w:r>
        <w:rPr>
          <w:rFonts w:ascii="SimSun" w:cs="SimSun" w:eastAsia="SimSun" w:hAnsi="SimSun"/>
          <w:sz w:val="16"/>
          <w:szCs w:val="16"/>
          <w:color w:val="auto"/>
        </w:rPr>
        <w:t>爱瑞卓</w:t>
      </w:r>
      <w:r>
        <w:rPr>
          <w:rFonts w:ascii="Arial" w:cs="Arial" w:eastAsia="Arial" w:hAnsi="Arial"/>
          <w:sz w:val="16"/>
          <w:szCs w:val="16"/>
          <w:color w:val="auto"/>
        </w:rPr>
        <w:t>®) in China where it is approved for the treatment of anemia caused by CKD in non-dialysis and dialysis patients. As of the end of the first quarter of 2021, roxadustat was listed at hospitals that collectively represent approximately 74% of the CKD anemia market opportunity in China and roxadustat had a 27% value share within the segment of erythropoiesis stimulating agents and HIF-PH inhibitors (roxadustat is the only HIF-PH inhibitor currently on the market in China).</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Japan, our partner Astellas continues the commercial launch of EVRENZO® (roxadustat) for the treatment of anemia associated with CKD in both non-dialysis and dialysis patients.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respect to the U.S., the Cardiovascular and Renal Drugs Advisory Committee will hold an advisory committee meeting to review the NDA for roxadustat for the treatment of anemia due to CKD, tentatively scheduled for July 15, 2021. In addition, ASPEN and DENALI, our two U.S. Phase 3b studies of roxadustat in CKD anemia with large dialysis organizations, have completed enrollment and we expect topline data to be presented at a future medical meeting.</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May 2020, our partner Astellas’ MAA for roxadustat for the treatment of anemia in patients with CKD was accepted for regulatory review by the EMA and Astellas expects an approval decision mid-2021.</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EVRENZO® (roxadustat) has also been approved for the treatment of anemia in CKD patients on dialysis and patients not on dialysis in Chile. In collaboration with AstraZeneca, applications for marketing approval of roxadustat in CKD anemia have been submitted in Canada, Australia, Mexico, Brazil, Taiwan, South Korea, Philippines, Singapore, India, Colombia, and Thailand.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continuing to enroll MATTERHORN, our Phase 2/3 placebo controlled, double-blind clinical trial to evaluate the safety and efficacy of roxadustat for treatment of anemia in MDS in the U.S. and Europe. This 160-patient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in the first half of 2022.</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China, we are preparing to enroll the randomized, double-blind, placebo-controlled portion of our Phase 3 clinical trial to evaluate the safety and efficacy of roxadustat in non-transfusion dependent, lower-risk MDS patients with anemia. One hundred thirty-five subjects will be randomized 2:1 to receive roxadustat or placebo three-times weekly for 26 weeks. The primary endpoint for this study is percentage of patients achieving a hemoglobin response.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1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We have completed enrollment in WHITNEY, our Phase 2 clinical trial of roxadustat in the U.S. in chemotherapy-induced anemia. This is a single-arm open label study investigating the efficacy and safety of roxadustat for the treatment of anemia in 92 patients receiving myelosuppressive chemotherapy treatment for non-myeloid malignancies, with a treatment duration of 16 weeks. We expect topline data from this study in the second half of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Pamrevlumab is our first-in-class antibody developed to inhibit the activity of CTGF, a common factor in fibrotic and fibro-proliferative disorders characterized by persistent and excessive scarring that can lead to organ dysfunction and failure.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second quarter of 2021, the FDA granted both Rare Pediatric Disease designation and Fast Track designation for pamrevlumab for the treatment of patients with Duchenne muscular dystrophy (“DMD”). In addition, the FDA has granted Orphan Drug Designation to pamrevlumab for the treatment of IPF, locally advanced unresectable pancreatic cancer, and DMD. Pamrevlumab has also received Fast Track designation from the FDA for the treatment of both IPF and locally advanced unresectable pancreatic cancer.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conducting ZEPHYRUS-1, our Phase 3 trial of pamrevlumab in IPF patients, as well as our newly initiated ZEPHYRUS-2, a second IPF Phase 3 study. Both studies are randomized, double-blind, placebo-controlled Phase 3 trials targeting approximately 340 patients, each with a primary U.S. efficacy endpoint of change from baseline in forced vital capacity. The primary efficacy endpoint in Europe for each study is disease progression (defined by a decline in forced vital capacity percent predicted of greater than or equal to 10% or death). Secondary endpoints will include clinical outcomes of disease progression, patient reported outcomes, and quantitative changes in lung fibrosis volume from baseline.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Locally Advanced Unresectable Pancreatic Cancer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enroll LAPIS, our double-blind placebo controlled Phase 3 clinical program for pamrevlumab as a neoadjuvant therapy for locally advanced unresectable pancreatic cancer. We intend to enroll approximately 260 patients, randomized at a 1:1 ratio to receive either pamrevlumab or placebo, in each case in combination with chemotherapy (either FOLFIRINOX or gemcitabine plus nab-paclitaxel). We expect topline resection data from this study in the second half of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third quarter of 2020, we initiated a Phase 3 clinical trial, LELANTOS-1, evaluating pamrevlumab in combination with systemic corticosteroids as a treatment for DMD. LELANTOS is a double-blind, placebo-controlled trial in approximately 90 non-ambulatory DMD patients. Patients are randomized at a 1:1 ratio to pamrevlumab or placebo and have a treatment period of 52 weeks. The primary endpoint will assess change in upper limb strength and additional endpoints will include pulmonary, performance, cardiac, and fibrosis assessments. We expect topline data from this study in the second half of 2022.</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2021, we initiated a second double-blind, placebo-controlled Phase 3 clinical trial, LELANTOS 2, evaluating pamrevlumab in combination with systemic corticosteroids in approximately 70 ambulatory DMD patients. Patients aged 6-12 will be randomized at a 1:1 ratio to pamrevlumab or placebo and have a treatment period of 52 weeks. The primary efficacy endpoint will assess ambulatory function, measured by the change in North Star Ambulatory Assessment from baseline to Week 52.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(“Europe Agreement”). Under these agreements, we provide Astellas the right to develop and commercialize roxadustat for anemia indications in these territories.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Europe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 Astellas is responsible for roxadustat commercialization activities in the Astellas territories.</w:t>
      </w:r>
    </w:p>
    <w:p>
      <w:pPr>
        <w:spacing w:after="0" w:line="192"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March 31, 2021 totals $645.1 million.</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Additionally, under these agreements, Astellas pays 100% of the commercialization costs in their territories. In Europe, Astellas will pay us a tiered transfer price for our manufacture and supply of roxadustat based on net sales of roxadustat in the low 20% range. In Japan, Astellas pays us a transfer price in the low 20% range of the list price published by Japan’s Ministry of Health, Labour and Welfare, adjusted for certain elements.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2018, FibroGen and Astellas entered into an amendment to the Japan Agreement that allows Astellas to manufacture roxadustat drug product for commercialization in Japan (the “Japan Amendment”). Under this amendment, FibroGen would continue to manufacture and supply roxadustat API to Astellas for the roxadustat commercial purposes in Japan. The commercial terms of the Japan Agreement relating to the transfer price for roxadustat for commercial use remain substantially the same, reflecting an adjustment for the manufacture of drug product by Astellas rather than FibroGen. The related drug product revenue was $4.0 million for the three months ended March 31, 2021.</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Europe Agreement, Astellas has an option to purchase roxadustat bulk drug product in support of commercial supplies. During the three months ended March 31, 2021, we entered into an EU Supply Agreement under the Europe Agreement with Astellas to define general forecast, order, supply and payment terms for Astellas to purchase roxadustat bulk drug product from FibroGen in support of commercial supplies. We shipped bulk drug product to Astellas as pre-commercial supply for process validation purposes during the three months ended March 31, 2021. We constrained the consideration of $11.8 million from this shipment due to a high degree of uncertainty associated to the final consideration, which was included in the related deferred revenue as of March 31, 2021. The deferred revenue will be recognized as and when uncertainty is resolved.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March 31, 2021, Astellas had separate investments of $80.5 million in the equity of 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a collaboration agreement with AstraZeneca for roxadustat for the treatment of anemia in China (“China Agreement”). Under these agreements, we provide AstraZeneca the right to develop and commercialize roxadustat for anemia in these territories. We share responsibility with AstraZeneca for clinical development activities required for U.S. regulatory approval of roxadustat, and FibroGen will transfer the U.S. NDA to AstraZeneca upon approval. AstraZeneca will hold the equivalent regulatory filings in the other licensed countries.</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March 31, 2021 totals $516.2 million.</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commercial activities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Under the China Agreement, which is conducted through FibroGen China Anemia Holdings, Ltd.,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Arial" w:cs="Arial" w:eastAsia="Arial" w:hAnsi="Arial"/>
          <w:sz w:val="18"/>
          <w:szCs w:val="18"/>
          <w:i w:val="1"/>
          <w:iCs w:val="1"/>
          <w:color w:val="auto"/>
        </w:rPr>
        <w:t>China Amendment</w:t>
      </w:r>
      <w:r>
        <w:rPr>
          <w:rFonts w:ascii="Arial" w:cs="Arial" w:eastAsia="Arial" w:hAnsi="Arial"/>
          <w:sz w:val="18"/>
          <w:szCs w:val="18"/>
          <w:color w:val="auto"/>
        </w:rPr>
        <w:t>.</w:t>
      </w:r>
    </w:p>
    <w:p>
      <w:pPr>
        <w:spacing w:after="0" w:line="18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2020, we entered into Master Supply Agreement under the U.S./RoW Agreement with AstraZeneca (“Master Supply Agreement”) to define general forecast, order, supply and payment terms for AstraZeneca to purchase roxadustat bulk drug product from FibroGen in support of commercial supplies. We shipped bulk drug product to AstraZeneca as commercial supply during the three months ended March 31, 2021 and recognized related drug product revenue of $4.5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July 2020, FibroGen China and AstraZeneca (together with FibroGen China, the “Parties”) entered into an amendment, effective July 1, 2020, to the China Agreement, relating to the development and commercialization of roxadustat in China (the “China Amendment”). While the responsibilities of the Parties under the China Agreement remain largely the same, certain changes are being made under the China Amendment.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Under the China Amendment, in September 2020, FibroGen Beijing and AstraZeneca completed the establishment of a jointly owned entity, Beijing Falikang Pharmaceutical Co., Ltd. (“Falikang”), which performs roxadustat distribution, as well as conduct sales and marketing through AstraZeneca.</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Falikang is a distribution entity for roxadustat and AstraZeneca is the final decision maker for all the roxadustat commercialization activities, we lack the power criterion while AstraZeneca meets both the power and economic criteria under ASC 810, to direct the activities of Falikang that most significantly impact its performance. Therefore, we are not the primary beneficiary of Falikang for accounting purposes. As a result, we accounted for our investment in Falikang under the equity method, and Falikang is not consolidated into our condensed consolidated financial statements. In addition, we recognized our proportionate share of the reported profits or losses of Falikang, as investment gain or loss in unconsolidated variable interest entity in the condensed consolidated statement of operations, and as an adjustment to our investment in Falikang in the condensed consolidated balance sheet. Falikang has not incurred material profit or loss to date.</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China Amendment, the interim period is defined as the period from April 1, 2020 to the time when Falikang is fully operational, which commenced in January 2021. Under the China Amendment, the calculation for profit or loss share has changed related to sales of roxadustat in China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66"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Since Falikang became fully operational in January 2021, substantially all direct product sales to distributors were made by Falikang, while FibroGen Beijing continued to sell product directly in a few provinces in China. AstraZeneca now bills the co-promotion expenses to Falikang and to FibroGen Beijing, respectively, for its services provided to the respective entity. In addition, FibroGen Beijing manufactures and supplies commercial product to Falikang based on an agreed upon transfer price. Development costs continue to be shared 50/50 between the Parties.</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During the three months ended March 31, 2021, we recognized net product revenue of $10.4 million. FibroGen, Inc. and AstraZeneca concurrently amended the U.S./RoW Agreement to reflect minor changes in the governance structure under the China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Total cash consideration received through March 31, 2021 and potential cash consideration, for upfront payments and milestone payments under our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Cash Received for Upfront</w:t>
            </w: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Payments and Milestone</w:t>
            </w:r>
          </w:p>
        </w:tc>
        <w:tc>
          <w:tcPr>
            <w:tcW w:w="300" w:type="dxa"/>
            <w:vAlign w:val="bottom"/>
          </w:tcPr>
          <w:p>
            <w:pPr>
              <w:spacing w:after="0"/>
              <w:rPr>
                <w:sz w:val="12"/>
                <w:szCs w:val="12"/>
                <w:color w:val="auto"/>
              </w:rPr>
            </w:pPr>
          </w:p>
        </w:tc>
        <w:tc>
          <w:tcPr>
            <w:tcW w:w="160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Payments</w:t>
            </w: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Through</w:t>
            </w:r>
          </w:p>
        </w:tc>
        <w:tc>
          <w:tcPr>
            <w:tcW w:w="300" w:type="dxa"/>
            <w:vAlign w:val="bottom"/>
          </w:tcPr>
          <w:p>
            <w:pPr>
              <w:spacing w:after="0"/>
              <w:rPr>
                <w:sz w:val="12"/>
                <w:szCs w:val="12"/>
                <w:color w:val="auto"/>
              </w:rPr>
            </w:pPr>
          </w:p>
        </w:tc>
        <w:tc>
          <w:tcPr>
            <w:tcW w:w="16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Potential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Cash Payments for Upfront</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March 31, 2021</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Cash Payment for Milestones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Payments and Milestones</w:t>
            </w:r>
          </w:p>
        </w:tc>
        <w:tc>
          <w:tcPr>
            <w:tcW w:w="0" w:type="dxa"/>
            <w:vAlign w:val="bottom"/>
          </w:tcPr>
          <w:p>
            <w:pPr>
              <w:spacing w:after="0"/>
              <w:rPr>
                <w:sz w:val="1"/>
                <w:szCs w:val="1"/>
                <w:color w:val="auto"/>
              </w:rPr>
            </w:pPr>
          </w:p>
        </w:tc>
      </w:tr>
      <w:tr>
        <w:trPr>
          <w:trHeight w:val="155"/>
        </w:trPr>
        <w:tc>
          <w:tcPr>
            <w:tcW w:w="2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23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105,093</w:t>
            </w:r>
          </w:p>
        </w:tc>
        <w:tc>
          <w:tcPr>
            <w:tcW w:w="3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645,093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272,500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439,000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8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1,161,293</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1,382,000</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above table does not include development cost reimbursement, transfer price payments, and royalties and profit share under our existing collaboration agreements. These collaboration agreements also provide for reimbursement of certain fully burdened research and development costs as well as direct out of pocket expenses.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License revenue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6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r>
      <w:tr>
        <w:trPr>
          <w:trHeight w:val="229"/>
        </w:trPr>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w w:val="98"/>
              </w:rPr>
              <w:t>(4,859)</w:t>
            </w:r>
          </w:p>
        </w:tc>
        <w:tc>
          <w:tcPr>
            <w:tcW w:w="11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(25) %</w:t>
            </w: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Product revenue, net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10,407</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Drug product revenue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8,480</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35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0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38,429</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14,028</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 In addition, we started roxadustat commercial sales in China in 2019.</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We did not have any license revenue for the three months ended March 31, 2021 and 2020.</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product to AstraZeneca, which commenced in the first quarter of 2021 and expected to continue through 2028. Other development related services are recognized as revenue over the non-contingent development period based on a proportional performance method. As of March 31, 2021, the estimated future non-contingent development periods range from six to 39 months. Other revenues consist of sales of research and development material and have not been material for any of the periods presented.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Drug product revenue includes commercial-grade API or bulk drug product sales to AstraZeneca and Astellas in support of pre-commercial preparation prior to the NDA or MAA approval, and to Astellas for ongoing commercial launch in Japan. Drug product revenue is recognized when we fulfill the delivery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Total revenue increased $14.0 million, or 57% for the three months ended March 31, 2021, compared to the same period a year ago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55"/>
        </w:trPr>
        <w:tc>
          <w:tcPr>
            <w:tcW w:w="3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w w:val="89"/>
              </w:rPr>
              <w:t>2021</w:t>
            </w:r>
          </w:p>
        </w:tc>
        <w:tc>
          <w:tcPr>
            <w:tcW w:w="5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r>
      <w:tr>
        <w:trPr>
          <w:trHeight w:val="155"/>
        </w:trPr>
        <w:tc>
          <w:tcPr>
            <w:tcW w:w="3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Astellas</w:t>
            </w:r>
          </w:p>
        </w:tc>
        <w:tc>
          <w:tcPr>
            <w:tcW w:w="178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3,611</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4,737</w:t>
            </w:r>
          </w:p>
        </w:tc>
        <w:tc>
          <w:tcPr>
            <w:tcW w:w="2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(1,126)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 %</w:t>
            </w:r>
          </w:p>
        </w:tc>
      </w:tr>
      <w:tr>
        <w:trPr>
          <w:trHeight w:val="229"/>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AstraZeneca</w:t>
            </w: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10,976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(3,733)</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 %</w:t>
            </w:r>
          </w:p>
        </w:tc>
      </w:tr>
      <w:tr>
        <w:trPr>
          <w:trHeight w:val="223"/>
        </w:trPr>
        <w:tc>
          <w:tcPr>
            <w:tcW w:w="3380" w:type="dxa"/>
            <w:vAlign w:val="bottom"/>
          </w:tcPr>
          <w:p>
            <w:pPr>
              <w:ind w:left="480"/>
              <w:spacing w:after="0"/>
              <w:rPr>
                <w:sz w:val="20"/>
                <w:szCs w:val="20"/>
                <w:color w:val="auto"/>
              </w:rPr>
            </w:pPr>
            <w:r>
              <w:rPr>
                <w:rFonts w:ascii="Arial" w:cs="Arial" w:eastAsia="Arial" w:hAnsi="Arial"/>
                <w:sz w:val="18"/>
                <w:szCs w:val="18"/>
                <w:color w:val="auto"/>
              </w:rPr>
              <w:t>Total development revenue</w:t>
            </w:r>
          </w:p>
        </w:tc>
        <w:tc>
          <w:tcPr>
            <w:tcW w:w="9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14,587</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19,446</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0"/>
              </w:rPr>
              <w:t>(4,859)</w:t>
            </w:r>
          </w:p>
        </w:tc>
        <w:tc>
          <w:tcPr>
            <w:tcW w:w="4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 %</w:t>
            </w:r>
          </w:p>
        </w:tc>
      </w:tr>
      <w:tr>
        <w:trPr>
          <w:trHeight w:val="20"/>
        </w:trPr>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Development and other revenue decreased $4.9 million, or 25% for the three months ended March 31, 2021, compared to the same period a year ago.</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Development revenue recognized under our collaboration agreements with AstraZeneca for the three months ended March 31, 2021 decreased primarily due to the extension of the estimated future non-contingent development period resulting from the notice received on March 1, 2021 from FDA, that the Cardiovascular and Renal Drugs Advisory Committee will hold an advisory committee meeting to review the NDA for roxadustat.</w:t>
      </w:r>
    </w:p>
    <w:p>
      <w:pPr>
        <w:spacing w:after="0" w:line="14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addition, co-development billings related to the development of roxadustat under our collaboration agreements with Astellas and AstraZeneca for the three months ended March 31, 2021 decreased as a result of the substantial completion of Phase 3 trials for roxadustat.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56"/>
        </w:trPr>
        <w:tc>
          <w:tcPr>
            <w:tcW w:w="3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ind w:right="7"/>
              <w:spacing w:after="0" w:line="155"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Gross revenue</w:t>
            </w:r>
          </w:p>
        </w:tc>
        <w:tc>
          <w:tcPr>
            <w:tcW w:w="11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5,429</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5,372</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tcPr>
          <w:p>
            <w:pPr>
              <w:ind w:left="120"/>
              <w:spacing w:after="0"/>
              <w:rPr>
                <w:sz w:val="20"/>
                <w:szCs w:val="20"/>
                <w:color w:val="auto"/>
              </w:rPr>
            </w:pPr>
            <w:r>
              <w:rPr>
                <w:rFonts w:ascii="Arial" w:cs="Arial" w:eastAsia="Arial" w:hAnsi="Arial"/>
                <w:sz w:val="18"/>
                <w:szCs w:val="18"/>
                <w:color w:val="auto"/>
              </w:rPr>
              <w:t>Discounts and rebates</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3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29"/>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returns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Direct sales revenue, net</w:t>
            </w:r>
          </w:p>
        </w:tc>
        <w:tc>
          <w:tcPr>
            <w:tcW w:w="8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b w:val="1"/>
                <w:bCs w:val="1"/>
                <w:color w:val="auto"/>
              </w:rPr>
              <w:t>Sales to Falikang:</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Gross transfer price</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9"/>
        </w:trPr>
        <w:tc>
          <w:tcPr>
            <w:tcW w:w="3480" w:type="dxa"/>
            <w:vAlign w:val="bottom"/>
          </w:tcPr>
          <w:p>
            <w:pPr>
              <w:ind w:left="120"/>
              <w:spacing w:after="0"/>
              <w:rPr>
                <w:sz w:val="20"/>
                <w:szCs w:val="20"/>
                <w:color w:val="auto"/>
              </w:rPr>
            </w:pPr>
            <w:r>
              <w:rPr>
                <w:rFonts w:ascii="Arial" w:cs="Arial" w:eastAsia="Arial" w:hAnsi="Arial"/>
                <w:sz w:val="18"/>
                <w:szCs w:val="18"/>
                <w:color w:val="auto"/>
              </w:rPr>
              <w:t>Profit share</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(10,064)</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(10,064)</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transfer price</w:t>
            </w:r>
          </w:p>
        </w:tc>
        <w:tc>
          <w:tcPr>
            <w:tcW w:w="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14,337</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14,337</w:t>
            </w:r>
          </w:p>
        </w:tc>
        <w:tc>
          <w:tcPr>
            <w:tcW w:w="4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9"/>
        </w:trPr>
        <w:tc>
          <w:tcPr>
            <w:tcW w:w="3480" w:type="dxa"/>
            <w:vAlign w:val="bottom"/>
          </w:tcPr>
          <w:p>
            <w:pPr>
              <w:ind w:left="240"/>
              <w:spacing w:after="0"/>
              <w:rPr>
                <w:sz w:val="20"/>
                <w:szCs w:val="20"/>
                <w:color w:val="auto"/>
              </w:rPr>
            </w:pPr>
            <w:r>
              <w:rPr>
                <w:rFonts w:ascii="Arial" w:cs="Arial" w:eastAsia="Arial" w:hAnsi="Arial"/>
                <w:sz w:val="18"/>
                <w:szCs w:val="18"/>
                <w:color w:val="auto"/>
              </w:rPr>
              <w:t>Constrained for future recognition</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(3,931)</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(3,931)</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Sales to Falikang revenue, net</w:t>
            </w:r>
          </w:p>
        </w:tc>
        <w:tc>
          <w:tcPr>
            <w:tcW w:w="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10,406</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10,406</w:t>
            </w:r>
          </w:p>
        </w:tc>
        <w:tc>
          <w:tcPr>
            <w:tcW w:w="4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Pr>
          <w:p>
            <w:pPr>
              <w:ind w:left="740"/>
              <w:spacing w:after="0"/>
              <w:rPr>
                <w:sz w:val="20"/>
                <w:szCs w:val="20"/>
                <w:color w:val="auto"/>
              </w:rPr>
            </w:pPr>
            <w:r>
              <w:rPr>
                <w:rFonts w:ascii="Arial" w:cs="Arial" w:eastAsia="Arial" w:hAnsi="Arial"/>
                <w:sz w:val="18"/>
                <w:szCs w:val="18"/>
                <w:color w:val="auto"/>
              </w:rPr>
              <w:t>Total product revenue, net</w:t>
            </w:r>
          </w:p>
        </w:tc>
        <w:tc>
          <w:tcPr>
            <w:tcW w:w="8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January 2021, Falikang became fully operational and substantially all direct product sales to distributors in China were made by Falikang, while FibroGen Beijing continued to sell product directly in a few provinces in China.</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Product revenue from direct sales to distributors is recognized in an amount that reflects the consideration to which we expect to be entitled in exchange for those products, net of various sales rebates and discounts. The gross product revenue from direct sales to distributors was $5.4 million for each of the three months ended March 31, 2021 and 2020, respectively. The total discounts and rebates were $0.6 million and $0.4 million for the three months ended March 31, 2021 and 2020, respectively, which primarily consisted of the contractual sales rebate that were calculated based on the stated percentage of gross sales by each distributor in the distribution agreement entered between FibroGen and each distributor.</w:t>
      </w:r>
    </w:p>
    <w:p>
      <w:pPr>
        <w:spacing w:after="0" w:line="1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 During the three months ended March 31, 2021, the gross transfer price was $24.4 million, net of the calculated profit share of $10.1 million, and we constrained $3.9 million from the sales to Falikang, which was included in the related deferred revenue of China performance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Three Months Ended March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tcPr>
          <w:p>
            <w:pPr>
              <w:jc w:val="right"/>
              <w:ind w:right="757"/>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Drug product revenue:</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Astellas</w:t>
            </w:r>
          </w:p>
        </w:tc>
        <w:tc>
          <w:tcPr>
            <w:tcW w:w="26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AstraZeneca</w:t>
            </w:r>
          </w:p>
        </w:tc>
        <w:tc>
          <w:tcPr>
            <w:tcW w:w="2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Total drug product revenue:</w:t>
            </w:r>
          </w:p>
        </w:tc>
        <w:tc>
          <w:tcPr>
            <w:tcW w:w="24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vMerge w:val="restart"/>
          </w:tcPr>
          <w:p>
            <w:pPr>
              <w:jc w:val="right"/>
              <w:ind w:right="123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three months ended March 31, 2021, we recorded $4.0 million drug product revenue related to the API shipments fulfilled under the terms of the Japan Amendment with Astellas in 2018, due to a change in estimated variable consideration. Specifically, the change in estimated variable consideration was based on the API held by Astellas at March 31, 2021 adjusted to reflect the updated listed price for roxadustat issued by Japan’s Ministry of Health, Labour and Welfare and changes in the estimated bulk product strength mix intended to be manufactured by Astellas, estimated cost to convert the API to bulk product tablets, and estimated yield from the manufacture of bulk product tablets, among others.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2021, we shipped bulk drug product from process validation supplies for commercial purposes under the terms of the Europe Agreement with Astellas. We constrained the consideration of $11.8 million from this shipment due to a high degree of uncertainty associated to the final consideration, which was included in the related deferred revenue as of March 31, 2021. The deferred revenue will be recognized as and when uncertainty is resolved.</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three months ended March 31, 2021, we shipped bulk drug product to AstraZeneca as commercial supply under the terms of the Master Supply Agreement and recognized drug product revenue of $4.5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72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55"/>
        </w:trPr>
        <w:tc>
          <w:tcPr>
            <w:tcW w:w="3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4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3,401</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970</w:t>
            </w:r>
          </w:p>
        </w:tc>
        <w:tc>
          <w:tcPr>
            <w:tcW w:w="3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2,431</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54,902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19,774</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30,779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(18,824)</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(38) %</w:t>
            </w:r>
          </w:p>
        </w:tc>
      </w:tr>
      <w:tr>
        <w:trPr>
          <w:trHeight w:val="223"/>
        </w:trPr>
        <w:tc>
          <w:tcPr>
            <w:tcW w:w="35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108,856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We have also seen some reduced enrollment in our clinical trials, particularly for our IPF pamrevlumab trial. However, the overall impact of COVID-19 on our expenses was not significant. During the three months ended March 31, 2021, some reduction in expenses, such as due to reduced travel and paused or slowed enrollment for trials, were offset by some increased expenses, such as in patient care.</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operating costs and expenses increased $3.4 million, or 3% for the three months ended March 31, 2021 compared to the same period a year ago, for the reason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was $3.4 million and $1.0 million for the three months ended March 31, 2021 and 2020, respectively.</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$2.7 million and $1.0 million for the three months ended March 31, 2021 and 2020, respectively, due to the sales to Falikang that started in January 2021.</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Cost of goods sold associated with the roxadustat drug product revenue in the U.S. was $0.7 million for the three months ended March 31, 2021. We expect costs of goods sold to increase in relation to drug product revenue as we deplete inventories that we had expensed prior to receiving regulatory approvals.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three months ended March 31, 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20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Phase of Development</w:t>
            </w:r>
          </w:p>
        </w:tc>
        <w:tc>
          <w:tcPr>
            <w:tcW w:w="400" w:type="dxa"/>
            <w:vAlign w:val="bottom"/>
          </w:tcPr>
          <w:p>
            <w:pPr>
              <w:spacing w:after="0"/>
              <w:rPr>
                <w:sz w:val="14"/>
                <w:szCs w:val="14"/>
                <w:color w:val="auto"/>
              </w:rPr>
            </w:pPr>
          </w:p>
        </w:tc>
        <w:tc>
          <w:tcPr>
            <w:tcW w:w="34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240" w:type="dxa"/>
            <w:vAlign w:val="bottom"/>
            <w:vMerge w:val="continue"/>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3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Roxadustat</w:t>
            </w:r>
          </w:p>
        </w:tc>
        <w:tc>
          <w:tcPr>
            <w:tcW w:w="20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Phase 3</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Pamrevlumab</w:t>
            </w: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rPr>
              <w:t>Phase 2/3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35,370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12,782</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Research and development expenses increased $19.8 million, or 36% for the three months ended March 31, 2021, compared to the same period a year ago, as a result of the net effect of the following:</w:t>
      </w:r>
    </w:p>
    <w:p>
      <w:pPr>
        <w:spacing w:after="0" w:line="62" w:lineRule="exact"/>
        <w:rPr>
          <w:sz w:val="20"/>
          <w:szCs w:val="20"/>
          <w:color w:val="auto"/>
        </w:rPr>
      </w:pPr>
    </w:p>
    <w:p>
      <w:pPr>
        <w:ind w:left="500" w:right="48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of $14.5 million in clinical trials costs, primarily due to Phase 3 trials for pamrevlumab and roxadustat post-approval safety studies in China;</w:t>
      </w:r>
    </w:p>
    <w:p>
      <w:pPr>
        <w:spacing w:after="0" w:line="62" w:lineRule="exact"/>
        <w:rPr>
          <w:rFonts w:ascii="Arial" w:cs="Arial" w:eastAsia="Arial" w:hAnsi="Arial"/>
          <w:sz w:val="18"/>
          <w:szCs w:val="18"/>
          <w:color w:val="auto"/>
        </w:rPr>
      </w:pPr>
    </w:p>
    <w:p>
      <w:pPr>
        <w:ind w:left="500" w:right="74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of $4.1 million in employee-related costs primarily due to higher headcount in the research and development functions and higher compensation levels;</w:t>
      </w:r>
    </w:p>
    <w:p>
      <w:pPr>
        <w:spacing w:after="0" w:line="62"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of $1.6 million in stock-based compensation expense, primarily due to the cumulative impact of stock option grant activities expensed in the normal course;</w:t>
      </w:r>
    </w:p>
    <w:p>
      <w:pPr>
        <w:spacing w:after="0" w:line="62"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of $1.5 million in outside services due to higher consulting expenses related to roxadustat Phase 3 and pamrevlumab Phase 3, and higher scientific contract activities related to pamrevlumab Phase 3; and</w:t>
      </w:r>
    </w:p>
    <w:p>
      <w:pPr>
        <w:spacing w:after="0" w:line="62" w:lineRule="exact"/>
        <w:rPr>
          <w:rFonts w:ascii="Arial" w:cs="Arial" w:eastAsia="Arial" w:hAnsi="Arial"/>
          <w:sz w:val="18"/>
          <w:szCs w:val="18"/>
          <w:color w:val="auto"/>
        </w:rPr>
      </w:pPr>
    </w:p>
    <w:p>
      <w:pPr>
        <w:ind w:left="500" w:right="4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 of $1.8 million in drug development expenses, primarily due to lower drug substance manufacturing activities and supplies related to roxadustat and pamrevlumab, partially offset by higher drug product manufacturing costs related to pamrevlumab, and higher supply chain expenses related to roxadustat and pamrevlumab.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anticipate that our SG&amp;A expenses will increase in the future as we anticipate an increase in payroll and related expenses associated with an increase in headcount to support the growth of the business in connection with potential commercialization of our product candidates.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SG&amp;A expenses decreased $18.8 million, or 38% for the three months ended March 31, 2021, compared to the same period a year ago, as a result of the net effect of the following:</w:t>
      </w:r>
    </w:p>
    <w:p>
      <w:pPr>
        <w:spacing w:after="0" w:line="62" w:lineRule="exact"/>
        <w:rPr>
          <w:sz w:val="20"/>
          <w:szCs w:val="20"/>
          <w:color w:val="auto"/>
        </w:rPr>
      </w:pPr>
    </w:p>
    <w:p>
      <w:pPr>
        <w:ind w:left="500" w:right="80" w:hanging="492"/>
        <w:spacing w:after="0" w:line="25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 of $24.6 million in outside service expenses, due to the above-mentioned change in the calculation of co-promotion expenses with AstraZeneca as a result of the China Amendment between FibroGen China and AstraZeneca in the third quarter of 2020. In addition, since Falikang became fully operational in January 2021, substantially all direct product sales to distributors were made by Falikang, while FibroGen Beijing continued to sell product directly in a few provinces in China. AstraZeneca now bills the co-promotion expenses to Falikang and to FibroGen Beijing, respectively, for its services provided to the respective entity;</w:t>
      </w:r>
    </w:p>
    <w:p>
      <w:pPr>
        <w:spacing w:after="0" w:line="79" w:lineRule="exact"/>
        <w:rPr>
          <w:rFonts w:ascii="Arial" w:cs="Arial" w:eastAsia="Arial" w:hAnsi="Arial"/>
          <w:sz w:val="18"/>
          <w:szCs w:val="18"/>
          <w:color w:val="auto"/>
        </w:rPr>
      </w:pPr>
    </w:p>
    <w:p>
      <w:pPr>
        <w:ind w:left="500" w:right="7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of $2.2 million in employee-related costs primarily due to higher headcount in the general and administrative functions and higher compensation levels;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of $1.4 million in audit and tax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6"/>
        </w:trPr>
        <w:tc>
          <w:tcPr>
            <w:tcW w:w="49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ind w:right="27"/>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(501)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(633)</w:t>
            </w: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 %</w:t>
            </w: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and other income (expenses), net</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(3,618)</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(114) %</w:t>
            </w:r>
          </w:p>
        </w:tc>
      </w:tr>
      <w:tr>
        <w:trPr>
          <w:trHeight w:val="223"/>
        </w:trPr>
        <w:tc>
          <w:tcPr>
            <w:tcW w:w="4960" w:type="dxa"/>
            <w:vAlign w:val="bottom"/>
          </w:tcPr>
          <w:p>
            <w:pPr>
              <w:ind w:left="480"/>
              <w:spacing w:after="0"/>
              <w:rPr>
                <w:sz w:val="20"/>
                <w:szCs w:val="20"/>
                <w:color w:val="auto"/>
              </w:rPr>
            </w:pPr>
            <w:r>
              <w:rPr>
                <w:rFonts w:ascii="Arial" w:cs="Arial" w:eastAsia="Arial" w:hAnsi="Arial"/>
                <w:sz w:val="18"/>
                <w:szCs w:val="18"/>
                <w:color w:val="auto"/>
              </w:rPr>
              <w:t>Total interest and other, net</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0"/>
              </w:rPr>
              <w:t>(954)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(3,486)</w:t>
            </w: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(138) %</w:t>
            </w:r>
          </w:p>
        </w:tc>
      </w:tr>
      <w:tr>
        <w:trPr>
          <w:trHeight w:val="20"/>
        </w:trPr>
        <w:tc>
          <w:tcPr>
            <w:tcW w:w="4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Income (Expenses), Net</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8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Interest income and other, net decreased $3.6 million, or 114% for the three months ended March 31, 2021 compared to the same period a year ago, primarily due to lower interest earned on our cash, cash equivalents and investments associated with the lower average balances.</w:t>
      </w:r>
    </w:p>
    <w:p>
      <w:pPr>
        <w:spacing w:after="0" w:line="14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April 1, 2020, FibroGen Beijing adopted Renminbi Yuan (“CNY”) as its functional currency based on reassessment of the primary economic environment in which FibroGen Beijing operates, as such environment was mainly associated with its growing manufacturing and product sales activities conducted in CNY. Prior to April 1, 2020, FibroGen Beijing’s functional currency was the U.S. dollar. This change did not result in material impact to unrealized foreign currency gain or loss for the three months ended March 31, 2021 compared to the same period a year ago.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322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6040" w:type="dxa"/>
            <w:vAlign w:val="bottom"/>
          </w:tcPr>
          <w:p>
            <w:pPr>
              <w:spacing w:after="0"/>
              <w:rPr>
                <w:sz w:val="13"/>
                <w:szCs w:val="13"/>
                <w:color w:val="auto"/>
              </w:rPr>
            </w:pPr>
          </w:p>
        </w:tc>
        <w:tc>
          <w:tcPr>
            <w:tcW w:w="110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6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20" w:type="dxa"/>
            <w:vAlign w:val="bottom"/>
            <w:gridSpan w:val="2"/>
          </w:tcPr>
          <w:p>
            <w:pPr>
              <w:jc w:val="center"/>
              <w:ind w:right="37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100" w:type="dxa"/>
            <w:vAlign w:val="bottom"/>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(71,381)</w:t>
            </w:r>
          </w:p>
        </w:tc>
        <w:tc>
          <w:tcPr>
            <w:tcW w:w="118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(78,542)</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100" w:type="dxa"/>
            <w:vAlign w:val="bottom"/>
          </w:tcPr>
          <w:p>
            <w:pPr>
              <w:spacing w:after="0"/>
              <w:rPr>
                <w:sz w:val="19"/>
                <w:szCs w:val="19"/>
                <w:color w:val="auto"/>
              </w:rPr>
            </w:pPr>
          </w:p>
        </w:tc>
        <w:tc>
          <w:tcPr>
            <w:tcW w:w="940" w:type="dxa"/>
            <w:vAlign w:val="bottom"/>
          </w:tcPr>
          <w:p>
            <w:pPr>
              <w:jc w:val="right"/>
              <w:ind w:right="215"/>
              <w:spacing w:after="0"/>
              <w:rPr>
                <w:sz w:val="20"/>
                <w:szCs w:val="20"/>
                <w:color w:val="auto"/>
              </w:rPr>
            </w:pPr>
            <w:r>
              <w:rPr>
                <w:rFonts w:ascii="Arial" w:cs="Arial" w:eastAsia="Arial" w:hAnsi="Arial"/>
                <w:sz w:val="18"/>
                <w:szCs w:val="18"/>
                <w:color w:val="auto"/>
              </w:rPr>
              <w:t>134</w:t>
            </w:r>
          </w:p>
        </w:tc>
        <w:tc>
          <w:tcPr>
            <w:tcW w:w="1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r>
      <w:tr>
        <w:trPr>
          <w:trHeight w:val="230"/>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Provision for income tax for the three months ended March 31, 2021 was primarily due to foreign taxes. The benefit from income taxes for the three months ended March 31, 2020 was primarily due to the tax effect arising from other comprehensive income related to available-for-sale securities, partially offset by foreign taxes.</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deferred tax assets as we do not currently believe that realization of those assets is more likely than not.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loss in unconsolidated variable interest entity</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Investment loss in unconsolidated variable interest entity represented our proportionate share of the reported profits or losses of Falikang, an unconsolidated VIE accounted for under the equity method, and was immaterial for the three months ended March 31, 2021. See Note 3, </w:t>
      </w:r>
      <w:r>
        <w:rPr>
          <w:rFonts w:ascii="Arial" w:cs="Arial" w:eastAsia="Arial" w:hAnsi="Arial"/>
          <w:sz w:val="18"/>
          <w:szCs w:val="18"/>
          <w:i w:val="1"/>
          <w:iCs w:val="1"/>
          <w:color w:val="auto"/>
        </w:rPr>
        <w:t>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Entity</w:t>
      </w:r>
      <w:r>
        <w:rPr>
          <w:rFonts w:ascii="Arial" w:cs="Arial" w:eastAsia="Arial" w:hAnsi="Arial"/>
          <w:sz w:val="18"/>
          <w:szCs w:val="18"/>
          <w:color w:val="auto"/>
        </w:rPr>
        <w:t>, to the condensed consolidated financial statements for details.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of March 31, 2021, we had cash and cash equivalents of $433.5 million. Cash is invested in accordance with our investment policy, primarily with a view to liquidity and capital preservation. Investments, consisting of available-for-sale debt investments and marketable equity investments, and stated at fair value, are also available as a source of liquidity. As of March 31, 2021, we had short-term and long-term investments of $110.7 million and $93.7 million, respectively. As of March 31, 2021, a total of $76.5 million of our cash and cash equivalents was held outside of the U.S. in our foreign subsidiaries, including $55.1 million of our cash and cash equivalents is held in China, to be used primarily for our China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We expect increase in our operating expenses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anticipate that we will need substantial additional funding in connection with our continuing operations.</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from the date of this Quarterly Report on Form 10-Q.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and cash equivalents for each of the periods set forth below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2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(44,984)</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(59,486)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(196,719)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(1,190)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Effect of exchange rate changes on cash and cash equivalents</w:t>
            </w: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Net decrease in cash and cash equivalents</w:t>
            </w:r>
          </w:p>
        </w:tc>
        <w:tc>
          <w:tcPr>
            <w:tcW w:w="19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40" w:type="dxa"/>
            <w:vAlign w:val="bottom"/>
            <w:vMerge w:val="restart"/>
          </w:tcPr>
          <w:p>
            <w:pPr>
              <w:jc w:val="right"/>
              <w:ind w:right="1510"/>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operating activities was $45.0 million for the three months ended March 31, 2021 and consisted primarily of net loss of $71.8 million adjusted for non-cash items of $25.1 million, offset by a net increase in operating assets and liabilities of $1.7 million. The significant non-cash items included stock-based compensation expense of $19.4 million, depreciation expense of $2.7 million and amortization of finance lease ROU of $2.6 million. The significant items in the changes in operating assets and liabilities included the increases resulting from the following:</w:t>
      </w:r>
    </w:p>
    <w:p>
      <w:pPr>
        <w:spacing w:after="0" w:line="63" w:lineRule="exact"/>
        <w:rPr>
          <w:sz w:val="20"/>
          <w:szCs w:val="20"/>
          <w:color w:val="auto"/>
        </w:rPr>
      </w:pPr>
    </w:p>
    <w:p>
      <w:pPr>
        <w:ind w:left="500" w:right="40" w:hanging="492"/>
        <w:spacing w:after="0" w:line="296"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Deferred revenue of $17.2 million, primarily related to the above-mentioned $11.8 million of the constrained consideration of the bulk drug product shipped to Astellas due to a high degree of uncertainty associated to the final consideration, and $3.9 million of the constrained revenue from the sales to Falikang associated with China performance obligation. The change in deferred revenue was also driven by the extension of the estimated future non-contingent development period and recognition of revenues under our collaboration agreements with Astellas and AstraZeneca. See Note 2,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to the condensed consolidated financial statements for details.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assets of $5.6 million, primarily related to the new operation right-of-use assets in China;</w:t>
      </w:r>
    </w:p>
    <w:p>
      <w:pPr>
        <w:spacing w:after="0" w:line="117" w:lineRule="exact"/>
        <w:rPr>
          <w:rFonts w:ascii="Arial" w:cs="Arial" w:eastAsia="Arial" w:hAnsi="Arial"/>
          <w:sz w:val="18"/>
          <w:szCs w:val="18"/>
          <w:color w:val="auto"/>
        </w:rPr>
      </w:pPr>
    </w:p>
    <w:p>
      <w:pPr>
        <w:ind w:left="500" w:right="260" w:hanging="492"/>
        <w:spacing w:after="0" w:line="286"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Prepaid expenses and other current assets of $5.5 million, primarily driven by the above-mentioned $4.0 million unbilled contract asset related to drug product revenue as a change in estimated variable consideration, based on the API held by Astellas at March 31, 2021. See Note 2, </w:t>
      </w:r>
      <w:r>
        <w:rPr>
          <w:rFonts w:ascii="Arial" w:cs="Arial" w:eastAsia="Arial" w:hAnsi="Arial"/>
          <w:sz w:val="17"/>
          <w:szCs w:val="17"/>
          <w:i w:val="1"/>
          <w:iCs w:val="1"/>
          <w:color w:val="auto"/>
        </w:rPr>
        <w:t>Collaboration Agreements and Revenues</w:t>
      </w:r>
      <w:r>
        <w:rPr>
          <w:rFonts w:ascii="Arial" w:cs="Arial" w:eastAsia="Arial" w:hAnsi="Arial"/>
          <w:sz w:val="17"/>
          <w:szCs w:val="17"/>
          <w:color w:val="auto"/>
        </w:rPr>
        <w:t>, to the condensed consolidated financial statements for details; and</w:t>
      </w:r>
    </w:p>
    <w:p>
      <w:pPr>
        <w:spacing w:after="0" w:line="57"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Inventories of $4.3 million, driven by the increased inventory level primarily related to FibroGen Beijing’s productions of roxadustat for commercial sales purposes and pre-launch inventory cost capitalized in the U.S.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operating activities was $59.5 million for the three months ended March 31, 2020 and consisted primarily of net loss of $78.3 million adjusted for non-cash items of $22.1 million, offset by a net decrease in operating assets and liabilities of $3.2 million. The significant non-cash items included stock-based compensation expense of $16.9 million, depreciation expense of $2.9 million and amortization of finance lease ROU of $2.6 million. The significant items in the changes in operating assets and liabilities included the decreases resulting from the following:</w:t>
      </w:r>
    </w:p>
    <w:p>
      <w:pPr>
        <w:spacing w:after="0" w:line="63" w:lineRule="exact"/>
        <w:rPr>
          <w:sz w:val="20"/>
          <w:szCs w:val="20"/>
          <w:color w:val="auto"/>
        </w:rPr>
      </w:pPr>
    </w:p>
    <w:p>
      <w:pPr>
        <w:ind w:left="380" w:right="60" w:hanging="372"/>
        <w:spacing w:after="0" w:line="342"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Accrued and other liabilities of $41.2 million, primarily driven by the payment of $36.3 million that was accrued at December 31, 2019, related to the change in estimated variable consideration associated with the roxadustat API delivery; as well as driven by the timing of invoicing and payment;</w:t>
      </w:r>
    </w:p>
    <w:p>
      <w:pPr>
        <w:spacing w:after="0" w:line="15" w:lineRule="exact"/>
        <w:rPr>
          <w:rFonts w:ascii="Arial" w:cs="Arial" w:eastAsia="Arial" w:hAnsi="Arial"/>
          <w:sz w:val="16"/>
          <w:szCs w:val="16"/>
          <w:color w:val="auto"/>
        </w:rPr>
      </w:pPr>
    </w:p>
    <w:p>
      <w:pPr>
        <w:ind w:left="380" w:right="320" w:hanging="372"/>
        <w:spacing w:after="0" w:line="286"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Accounts receivable of $30.1 million, primarily related to the billing of a $50.0 million regulatory milestone under the U.S./RoW Agreement with AstraZeneca associated with the FDA acceptance of our NDA submission for review in the U.S., as well as driven by the timing of the receipt of upfront payments and recognition of revenues under our collaboration agreements with Astellas and AstraZeneca;</w:t>
      </w:r>
    </w:p>
    <w:p>
      <w:pPr>
        <w:spacing w:after="0" w:line="57" w:lineRule="exact"/>
        <w:rPr>
          <w:rFonts w:ascii="Arial" w:cs="Arial" w:eastAsia="Arial" w:hAnsi="Arial"/>
          <w:sz w:val="17"/>
          <w:szCs w:val="17"/>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Accounts payable of $3.2 million, primarily driven by the timing of invoicing and payment; and</w:t>
      </w:r>
    </w:p>
    <w:p>
      <w:pPr>
        <w:spacing w:after="0" w:line="117" w:lineRule="exact"/>
        <w:rPr>
          <w:rFonts w:ascii="Arial" w:cs="Arial" w:eastAsia="Arial" w:hAnsi="Arial"/>
          <w:sz w:val="18"/>
          <w:szCs w:val="18"/>
          <w:color w:val="auto"/>
        </w:rPr>
      </w:pPr>
    </w:p>
    <w:p>
      <w:pPr>
        <w:ind w:left="380" w:right="440" w:hanging="372"/>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Inventories of $1.5 million, driven by the increased inventory level related to FibroGen Beijing’s productions of roxadustat for commercial sales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decreases were partially offset by the increases resulting from the following:</w:t>
      </w:r>
    </w:p>
    <w:p>
      <w:pPr>
        <w:spacing w:after="0" w:line="117" w:lineRule="exact"/>
        <w:rPr>
          <w:sz w:val="20"/>
          <w:szCs w:val="20"/>
          <w:color w:val="auto"/>
        </w:rPr>
      </w:pPr>
    </w:p>
    <w:p>
      <w:pPr>
        <w:ind w:left="380" w:right="40" w:hanging="372"/>
        <w:spacing w:after="0" w:line="259"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Deferred revenue of $48.0 million, primarily related to the above-mentioned billing of the $50.0 million regulatory milestone. Such milestone was not billable to AstraZeneca as of December 31, 2019 under the U.S./RoW Agreement. As a result, the associated deferred revenues were net by $50.0 million at December 31, 2019. The change in deferred revenue was also driven by the recognition of revenues under our collaboration agreements with Astellas and AstraZeneca; and</w:t>
      </w:r>
    </w:p>
    <w:p>
      <w:pPr>
        <w:spacing w:after="0" w:line="78" w:lineRule="exact"/>
        <w:rPr>
          <w:rFonts w:ascii="Arial" w:cs="Arial" w:eastAsia="Arial" w:hAnsi="Arial"/>
          <w:sz w:val="18"/>
          <w:szCs w:val="18"/>
          <w:color w:val="auto"/>
        </w:rPr>
      </w:pPr>
    </w:p>
    <w:p>
      <w:pPr>
        <w:ind w:left="380" w:right="600" w:hanging="372"/>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long-term liabilities of $24.9 million, primarily due to the additional accrual of co-promotional expenses with AstraZeneca for sales and marketing efforts related to the commercial launch of roxadustat in China that are not expected to be paid in the next year.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investing activities was $196.7 million for the three months ended March 31, 2021 and consisted primarily of $196.2 million of cash used in purchases of available-for-sale securities.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cash provided by investing activities was $56.0 million for the three months ended March 31, 2020 and consisted primarily of $45.9 million of proceeds from maturities of investments, and $10.6 million of proceeds from sales of available-for-sale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cash used in financing activities was $2.1 million for the three months ended March 31, 2021 and consisted primarily of $4.8 million of cash paid for payroll taxes on restricted stock unit releases, $3.3 million of repayments of finance lease liabilities, partially offset by $6.1 million of proceeds from the issuance of common stock upon exercise of stock options.</w:t>
      </w:r>
    </w:p>
    <w:p>
      <w:pPr>
        <w:spacing w:after="0" w:line="18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cash used in financing activities was $1.2 million for the three months ended March 31, 2020 and consisted primarily of $5.3 million of cash paid for payroll taxes on restricted stock unit releases and $2.8 million of repayments of finance lease liabilities, partially offset by $7.0 million of proceeds from the issuance of common stock upon exercise of stock options.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During the three months ended March 31, 2021,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$34.7 million of finance lease liabilities and $5.1 million of operating lease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we had outstanding total non-cancelable purchase obligations of $93.9 million, including $30.4 million for manufacture and supply of roxadustat, $57.5 million for manufacture and supply of pamrevlumab, and $6.0 million for other purchases. We expect to fulfill our commitments under these agreements in the normal course of business, and as such, no liability has been recorded.</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Some of our license agreements provide for periodic maintenance fees over specified time periods, as well as payments by us upon the achievement of development, regulatory and commercial milestones. Future milestone payments for research and pre-clinical stage development programs consisted of up to approximately $10.9 million in total potential future milestone payments under our license agreements with Dana-Farber Cancer Institute, University of Miami and Medarex, Inc. These milestone payments generally become due and payable only upon the achievement of certain developmental, clinical, regulatory and/or commercial milestones. The event triggering such payment or obligation has not yet occurred.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No.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Simplifying the Accounting for Income Taxes</w:t>
      </w:r>
      <w:r>
        <w:rPr>
          <w:rFonts w:ascii="Arial" w:cs="Arial" w:eastAsia="Arial" w:hAnsi="Arial"/>
          <w:sz w:val="18"/>
          <w:szCs w:val="18"/>
          <w:color w:val="auto"/>
        </w:rPr>
        <w:t>. This guidance simplifies the accounting for income taxes by clarifying and amending existing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recognition of franchise tax, the evaluation of a step up in the tax basis of goodwill, and the effects of enacted changes in tax laws or rates in the effective tax rate computation, among other clarifications. This guidance was effective for annual reporting periods beginning after December 15, 2020 including interim periods. We adopted this guidance on January 1, 2021, and the adoption of this guidance did not have material impact to our condensed consolidated financial statements and related disclosures.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(“ASU 2020-04”), which provides companies with optional financial reporting alternatives to reduce the cost and complexity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 2020-04. The relief offered by this guidance, if adopted, is available to companies for the period March 12, 2020 through December 31, 2022. We have certain lease arrangements that are linked to LIBOR. We are in the process of evaluating options for transitioning away from LIBOR and expects to complete by the time LIBOR is phased out. We did not elect to apply any of the expedients or exceptions as of and for the period ended March 31, 2021 and are currently evaluating the impact on our consolidated financial statements and related disclosures upon adoption of this guidance.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There have been no material changes in our critical accounting policies, estimates and judgments during the three months ended March 31, 2021 compared with the disclosures in Part II, Item 7 of our Annual Report on Form 10-K for the year ended December 31, 2020, except for the following: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Product revenue, net consists of revenues from sales of roxadustat commercial product to Falikang, and directly to pharmaceutical distributors located in a few provinces in China that are not covered by Falikang. Falikang is jointly owned by AstraZeneca and FibroGen Beijing. We are not the primary beneficiary of Falikang for accounting purposes, as AstraZeneca is the final decision maker for all the roxadustat commercialization activities, and we lack the power criterion to direct the activities of Falikang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xml:space="preserve"> to the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promises identified under the AstraZeneca China Agreement, including the license, co-development services and manufacturing of commercial supplies have been bundled into the China performance obligation. Amounts of the transaction price allocable to this performance obligation under our agreements with AstraZeneca are deferred until control of the manufactured commercial product has begun to transfer to AstraZeneca.</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initiation of roxadustat sales to Falikang marked the beginning of the China performance obligation</w:t>
      </w:r>
      <w:r>
        <w:rPr>
          <w:rFonts w:ascii="Arial" w:cs="Arial" w:eastAsia="Arial" w:hAnsi="Arial"/>
          <w:sz w:val="18"/>
          <w:szCs w:val="18"/>
          <w:i w:val="1"/>
          <w:iCs w:val="1"/>
          <w:color w:val="auto"/>
        </w:rPr>
        <w:t>.</w:t>
      </w:r>
      <w:r>
        <w:rPr>
          <w:rFonts w:ascii="Arial" w:cs="Arial" w:eastAsia="Arial" w:hAnsi="Arial"/>
          <w:sz w:val="18"/>
          <w:szCs w:val="18"/>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we believe those sales would occur. The price per unit is subject to reassessment on a quarterly basis, which may result in cumulative catch up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380" w:hanging="372"/>
        <w:spacing w:after="0" w:line="277"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China Agreement allocated to the China performance obligation;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Co-development billings resulting from our research and development efforts, which are reimbursable under the China Agreement;</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transfer price from product sales to Falikang from January 1, 2021 onwards. The net transfer price includes the following elements:</w:t>
      </w:r>
    </w:p>
    <w:p>
      <w:pPr>
        <w:spacing w:after="0" w:line="117" w:lineRule="exact"/>
        <w:rPr>
          <w:rFonts w:ascii="Arial" w:cs="Arial" w:eastAsia="Arial" w:hAnsi="Arial"/>
          <w:sz w:val="18"/>
          <w:szCs w:val="18"/>
          <w:color w:val="auto"/>
        </w:rPr>
      </w:pPr>
    </w:p>
    <w:p>
      <w:pPr>
        <w:ind w:left="740" w:right="200" w:hanging="365"/>
        <w:spacing w:after="0" w:line="245"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Gross transfer price: The gross transfer price is based on a percentage of Falikang’s net sales to its distributors, which takes into account</w:t>
      </w:r>
      <w:r>
        <w:rPr>
          <w:rFonts w:ascii="Courier New" w:cs="Courier New" w:eastAsia="Courier New" w:hAnsi="Courier New"/>
          <w:sz w:val="18"/>
          <w:szCs w:val="18"/>
          <w:color w:val="auto"/>
        </w:rPr>
        <w:t xml:space="preserve"> </w:t>
      </w:r>
      <w:r>
        <w:rPr>
          <w:rFonts w:ascii="Arial" w:cs="Arial" w:eastAsia="Arial" w:hAnsi="Arial"/>
          <w:sz w:val="18"/>
          <w:szCs w:val="18"/>
          <w:color w:val="auto"/>
        </w:rPr>
        <w:t>Falikang’s operating expenses and its payments to AstraZeneca for roxadustat sales and marketing efforts, capped at a percentage of Falikang’s net roxadustat sales.</w:t>
      </w:r>
    </w:p>
    <w:p>
      <w:pPr>
        <w:spacing w:after="0" w:line="89" w:lineRule="exact"/>
        <w:rPr>
          <w:rFonts w:ascii="Arial" w:cs="Arial" w:eastAsia="Arial" w:hAnsi="Arial"/>
          <w:sz w:val="18"/>
          <w:szCs w:val="18"/>
          <w:color w:val="auto"/>
        </w:rPr>
      </w:pPr>
    </w:p>
    <w:p>
      <w:pPr>
        <w:ind w:left="740" w:right="40" w:hanging="365"/>
        <w:spacing w:after="0" w:line="300"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Profit share: The gross transfer price is then adjusted for an estimated amount to achieve the 50/50 profit share from current period roxadustat net</w:t>
      </w:r>
      <w:r>
        <w:rPr>
          <w:rFonts w:ascii="Courier New" w:cs="Courier New" w:eastAsia="Courier New" w:hAnsi="Courier New"/>
          <w:sz w:val="16"/>
          <w:szCs w:val="16"/>
          <w:color w:val="auto"/>
        </w:rPr>
        <w:t xml:space="preserve"> </w:t>
      </w:r>
      <w:r>
        <w:rPr>
          <w:rFonts w:ascii="Arial" w:cs="Arial" w:eastAsia="Arial" w:hAnsi="Arial"/>
          <w:sz w:val="16"/>
          <w:szCs w:val="16"/>
          <w:color w:val="auto"/>
        </w:rPr>
        <w:t>sales in China. The adjustments to date have been a reduction to the transfer price and the related accounts receivable from Falikang.</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key estimation areas such as total sales quantity, performance period, gross transfer price and profit share, which require a substantial degree of judgment.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net transfer price in excess of the revenue recognized is added to the deferred balance to date, and will be recognized over future periods as the performance obligations are satisfied.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sell roxadustat in China directly to a number of pharmaceutical distributors located in a few provinces in China that are not covered by Falikang.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we expect to be entitled to in exchange for the product.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we receive payment is based on 60-day payment terms.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which includes the following estimates of variable consideration:</w:t>
      </w:r>
    </w:p>
    <w:p>
      <w:pPr>
        <w:spacing w:after="0" w:line="117" w:lineRule="exact"/>
        <w:rPr>
          <w:sz w:val="20"/>
          <w:szCs w:val="20"/>
          <w:color w:val="auto"/>
        </w:rPr>
      </w:pPr>
    </w:p>
    <w:p>
      <w:pPr>
        <w:jc w:val="both"/>
        <w:ind w:left="740" w:hanging="368"/>
        <w:spacing w:after="0" w:line="311" w:lineRule="auto"/>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Price adjustment: When China’s National Healthcare Security Administration releases price guidance for roxadustat under the National Reimbursement Drug List, any channel inventories that have not been sold through by distributors, or to patients by hospitals and retailors, would be eligible for a price adjustment under the price protection. The price adjustment is calculated based on estimated channel inventory levels;</w:t>
      </w:r>
    </w:p>
    <w:p>
      <w:pPr>
        <w:spacing w:after="0" w:line="40" w:lineRule="exact"/>
        <w:rPr>
          <w:rFonts w:ascii="Arial" w:cs="Arial" w:eastAsia="Arial" w:hAnsi="Arial"/>
          <w:sz w:val="16"/>
          <w:szCs w:val="16"/>
          <w:color w:val="auto"/>
        </w:rPr>
      </w:pPr>
    </w:p>
    <w:p>
      <w:pPr>
        <w:jc w:val="both"/>
        <w:ind w:left="740" w:hanging="368"/>
        <w:spacing w:after="0" w:line="263"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jc w:val="both"/>
        <w:ind w:left="740" w:hanging="368"/>
        <w:spacing w:after="0" w:line="279"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Non-key account hospital listing award: A one-time fixed-amount award is offered to a distributor who successfully lists the product with an eligible hospital, and who meets certain requirements. We consider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63" w:lineRule="exact"/>
        <w:rPr>
          <w:rFonts w:ascii="Arial" w:cs="Arial" w:eastAsia="Arial" w:hAnsi="Arial"/>
          <w:sz w:val="17"/>
          <w:szCs w:val="17"/>
          <w:color w:val="auto"/>
        </w:rPr>
      </w:pPr>
    </w:p>
    <w:p>
      <w:pPr>
        <w:ind w:left="740" w:hanging="368"/>
        <w:spacing w:after="0" w:line="308"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us only due to quality issues or for product purchased within one year prior to the product’s expiration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2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we expect to settle the discount in cash. The distributor’s legal right of offset is calculated at the individual distributor level.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During the three months ended March 31, 2021, we believe there were no material changes to our exposure to market risks as set forth in Part II, Item 7A “Quantitative and Qualitative Disclosures About Market Risk” in our Annual Report on Form 10-K for the year ended December 31,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March 31, 2021,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Based on our evaluation, the Chief Executive Officer and Chief Financial Officer have concluded that our disclosure controls and procedures were not effective as of March 31, 2021 because of the material weaknesses in our internal control over financial reporting described below.</w:t>
      </w:r>
    </w:p>
    <w:p>
      <w:pPr>
        <w:spacing w:after="0" w:line="14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of these material weaknesses could result in material misstatements in the drug product revenue, contract asset or contract liability account balances or disclosures in our annual or interim consolidated financial statements that would not be prevented or detected.</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and Status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of Directors and management are committed to maintaining a strong internal control environment. We have developed a detailed remediation plan and are making progress of what will be a multi-step remediation process to fully remediate the material weaknesses described above. Specifically, as of March 31, 2021, we have continued with the remediation steps that were initiated in the fourth quarter of 2020, including, but not limited to, the following:</w:t>
      </w:r>
    </w:p>
    <w:p>
      <w:pPr>
        <w:spacing w:after="0" w:line="79" w:lineRule="exact"/>
        <w:rPr>
          <w:sz w:val="20"/>
          <w:szCs w:val="20"/>
          <w:color w:val="auto"/>
        </w:rPr>
      </w:pPr>
    </w:p>
    <w:p>
      <w:pPr>
        <w:ind w:left="380" w:right="260" w:hanging="372"/>
        <w:spacing w:after="0" w:line="258"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started a comprehensive annual risk assessment process, and will continue to refine the risk assessment, to identify and design our control activities related to the above mentioned material weaknesses;</w:t>
      </w:r>
    </w:p>
    <w:p>
      <w:pPr>
        <w:spacing w:after="0" w:line="1" w:lineRule="exact"/>
        <w:rPr>
          <w:rFonts w:ascii="Arial" w:cs="Arial" w:eastAsia="Arial" w:hAnsi="Arial"/>
          <w:sz w:val="18"/>
          <w:szCs w:val="18"/>
          <w:color w:val="auto"/>
        </w:rPr>
      </w:pPr>
    </w:p>
    <w:p>
      <w:pPr>
        <w:ind w:left="380" w:right="20" w:hanging="372"/>
        <w:spacing w:after="0" w:line="250"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identified and designed new controls and procedures associated with drug product revenue, and where applicable implemented new procedures and controls during the fourth quarter of 2020 and the first quarter of 2021, and will continue to implement new procedures and controls in the future; and</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hired additional resources to strengthen our accounting and internal audit functions.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we will continue to assess risks on a continuous basis to timely identify new exposures or risk categories as business practices change, and we plan to conduct a comprehensive review and, as applicable, update our existing internal control framework to ensure that it has identified, developed and deployed the appropriate business process controls to meet the objectives and address the risks identified.</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material weaknesses will not be considered remediated until the applicable controls operate for a sufficient period of time and management has concluded, through testing, that these controls are operating effectively. We believe the measures described above will remediate these material weaknesses and strengthen our internal control over financial reporting. As we continue to evaluate and work to remediate these material weaknesses, we may determine to take additional measures to address these deficiencies or determine to modify certain of the remediation measures described above.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Besides the new procedures and controls implemented to date as described above, there were no changes in our internal control over financial reporting that occurred during the three months ended March 31, 2021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party to various legal actions that arose in the ordinary course of our business. We recognize accruals for any legal action when we conclude that a loss is probable and reasonably estimable. We did not have any material accruals for any currently active legal action in our consolidated balance sheets as of March 31, 2021, as we could not predict the ultimate outcome of these matters, or reasonably estimate the potential exposure.</w:t>
      </w:r>
    </w:p>
    <w:p>
      <w:pPr>
        <w:spacing w:after="0" w:line="4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2021, three putative securities class action complaints were filed against FibroGen and certain of its current and former executive officers (collectively, the “Defendants”) in the United States (“U.S.”)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Motions for lead plaintiff are due on June 11, 2021. Once a lead plaintiff is appointed by the Court, we expect to receive an amended consolidated complaint. We believe that the claims are without merit and we intend to vigorously defend against them. However, any litigation is inherently uncertain, and any judgment or injunctive relief entered against us or any adverse settlement could materially and adversely impact our business, results of operations, financial condition,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substantially dependent on the success of our lead product, roxadustat, and our second compound in development, pamrevlumab.</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date, we have invested a substantial portion of our efforts and financial resources in the research and development of roxadustat and pamrevlumab. While we have received approval of our New Drug Applications (“NDA”) for roxadustat in the People’s Republic of China (“China”), Japan, and Chile for chronic kidney disease (“CKD”) anemia for patients on dialysis and not on dialysis, our partners and we will need to make substantial additional investments in the development and commercialization of roxadustat worldwide and in various indications. Our near-term prospects, including maintaining our existing collaborations with Astellas Pharma Inc. (“Astellas”) and AstraZeneca AB (“AstraZeneca”), will depend heavily on successful development and commercialization of roxadustat, including obtaining additional regulatory approvals for the commercialization of roxadustat for anemia associated with CKD.</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other lead product candidate, pamrevlumab, is currently in clinical development for idiopathic pulmonary fibrosis (“IPF”), pancreatic cancer, and Duchenne muscular dystrophy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spacing w:after="0" w:line="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do not have a sales or marketing infrastructure and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8"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17" w:lineRule="exact"/>
        <w:rPr>
          <w:rFonts w:ascii="Arial" w:cs="Arial" w:eastAsia="Arial" w:hAnsi="Arial"/>
          <w:sz w:val="18"/>
          <w:szCs w:val="18"/>
          <w:color w:val="auto"/>
        </w:rPr>
      </w:pPr>
    </w:p>
    <w:p>
      <w:pPr>
        <w:ind w:left="500" w:right="30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Commercializing roxadustat requires us to establish commercialization systems, including but not limited to, medical affairs, pharmacovigilance, supply-chain, and distribution capabilities to perform our portion of the collaborative efforts. These efforts require resources and time.</w:t>
      </w:r>
    </w:p>
    <w:p>
      <w:pPr>
        <w:spacing w:after="0" w:line="1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we, along with Astellas and AstraZeneca, are not successful in our marketing, pricing and reimbursement strategies, facilitating adoption by dialysis organizations, health care professionals, recruiting sales and marketing personnel or in building a sales and marketing infrastructure, or if the market perception of roxadustat’s safety and efficacy profile is negative, we will have difficulty commercializing roxadustat, which would adversely affect our business and financial condition.</w:t>
      </w:r>
    </w:p>
    <w:p>
      <w:pPr>
        <w:spacing w:after="0" w:line="29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Although regulatory approval has been obtained for roxadustat in China, Japan, and Chile, we may be unable to obtain regulatory approval in other countries, or such approval may be delayed or limited, due to a number of factors, many of which are beyond our control.*</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pamrevlumab, or any of our other product candidates in one or more indications and jurisdictions.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for any Phase 3 clinical trial to support an NDA/Biologics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ind w:left="500" w:right="18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failure to adequately demonstrate to the satisfaction of regulatory authorities or the independent advisory committee that roxadustat is safe and effective in treating anemia in CKD or that pamrevlumab is safe and effective in treating IPF, pancreatic cancer, or DMD;</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00" w:right="62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product candidates may exhibit an unacceptable safety signal as they advance through clinical trials, in particular controlled Phase 3 trials;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CROs that conduct clinical trials on our behalf may take actions outside of our control that materially adversely impact our clinical trials;</w:t>
      </w:r>
    </w:p>
    <w:p>
      <w:pPr>
        <w:spacing w:after="0" w:line="128" w:lineRule="exact"/>
        <w:rPr>
          <w:rFonts w:ascii="Arial" w:cs="Arial" w:eastAsia="Arial" w:hAnsi="Arial"/>
          <w:sz w:val="17"/>
          <w:szCs w:val="17"/>
          <w:color w:val="auto"/>
        </w:rPr>
      </w:pPr>
    </w:p>
    <w:p>
      <w:pPr>
        <w:ind w:left="500" w:right="8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Risk Evaluation and Mitigation Strategy (“REMS”) (or other regulatory authorities may require the establishment of a similar strategy), that may restrict distribution of our approved products, if any, and impose burdensome implementation requirements on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results of the FDA Cardiovascular and Renal Drugs Advisory Committee meeting may affect roxadustat’s approvability and label in CKD anemia.*</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1, 2021, the FDA informed us that the Cardiovascular and Renal Drugs Advisory Committee will hold an advisory committee meeting to review the NDA for roxadustat. The date of the advisory committee meeting has been tentatively scheduled for July 15, 2021. The advisory committee is a committee of external experts that will provide input on issues relating to benefit, risk, and interpretation of our roxadustat clinical trial data. However, we do not know how long it will take after the committee convenes for the FDA to make a decision on our NDA. The advisory committee may have a different interpretation of our results and their advisory vote or input to the FDA may affect roxadustat’s approvability and labeling. The FDA may further delay approval of our NDA if applicable regulatory criteria are not satisfied and/or the FDA requires additional testing or information. The full extent of the delay on an approval decision and impact of the advisory committee is unknown.</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recruit, enroll and retain patients through the completion of the trial, including for the duration of the </w:t>
      </w:r>
      <w:r>
        <w:rPr>
          <w:rFonts w:ascii="Arial" w:cs="Arial" w:eastAsia="Arial" w:hAnsi="Arial"/>
          <w:sz w:val="17"/>
          <w:szCs w:val="17"/>
          <w:color w:val="auto"/>
        </w:rPr>
        <w:t>Severe Acute Respiratory Syndrome Coronavirus</w:t>
      </w:r>
      <w:r>
        <w:rPr>
          <w:rFonts w:ascii="Arial" w:cs="Arial" w:eastAsia="Arial" w:hAnsi="Arial"/>
          <w:sz w:val="18"/>
          <w:szCs w:val="18"/>
          <w:color w:val="auto"/>
        </w:rPr>
        <w:t xml:space="preserve"> </w:t>
      </w:r>
      <w:r>
        <w:rPr>
          <w:rFonts w:ascii="Arial" w:cs="Arial" w:eastAsia="Arial" w:hAnsi="Arial"/>
          <w:sz w:val="17"/>
          <w:szCs w:val="17"/>
          <w:color w:val="auto"/>
        </w:rPr>
        <w:t>2 and the resulting Coronavirus Disease (“COVID-19”) pandemic;</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6"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8"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extensive;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regulatory authorities increasing the data and information required to approve our product candidates and imposing other requirements; and</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Overview</w:t>
      </w:r>
      <w:r>
        <w:rPr>
          <w:rFonts w:ascii="Arial" w:cs="Arial" w:eastAsia="Arial" w:hAnsi="Arial"/>
          <w:sz w:val="16"/>
          <w:szCs w:val="16"/>
          <w:color w:val="auto"/>
        </w:rPr>
        <w:t>” in our Annual Report on Form 10-K for the year ended December 31, 2020 for a discussion of the adverse events and serious adverse events that have emerged in clinical trials of roxadustat and pamrevlumab.</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manufacturers or we cannot properly manufacture sufficient product, we may experience delays in development, regulatory approval, launch or successful commercialization.*</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limited amount of roxadustat and pamrevlumab in storage, limited capacity reserved at our third-party manufacturers, and, even if we have or are able to put supply agreements in place for our products,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or delay the regulatory approval process.</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may add or change manufacturers for our products. We, our partners, or regulatory authorities may also request or make changes to our manufacturing processes or to our product or packaging specifications, including in order to accommodate changes in regulations, manufacturing equipment or to account for different processes at new or second source suppliers. If any such changes are made with respect to roxadustat or pamrevlumab we may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such changes could also lead to product having an earlier expiration date, shorter shelf life, or failing to meet specifications. Any of these occurrences may materially impact our operations and potential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0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supply chain issues, including coordination of multiple contractors in our supply chain and securing necessary licenses (such as export licenses);</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timely availability and shelf life requirements of raw materials and supplies, including delays in availability due to the COVID-19 pandemic;</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The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If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14"/>
          <w:szCs w:val="14"/>
          <w:color w:val="auto"/>
        </w:rPr>
        <w:t>®</w:t>
      </w:r>
      <w:r>
        <w:rPr>
          <w:rFonts w:ascii="Arial" w:cs="Arial" w:eastAsia="Arial" w:hAnsi="Arial"/>
          <w:sz w:val="17"/>
          <w:szCs w:val="17"/>
          <w:color w:val="auto"/>
        </w:rPr>
        <w:t>, marketed by Amgen Inc. in the U.S., Procrit</w:t>
      </w:r>
      <w:r>
        <w:rPr>
          <w:rFonts w:ascii="Arial" w:cs="Arial" w:eastAsia="Arial" w:hAnsi="Arial"/>
          <w:sz w:val="14"/>
          <w:szCs w:val="14"/>
          <w:color w:val="auto"/>
        </w:rPr>
        <w:t>®</w:t>
      </w:r>
      <w:r>
        <w:rPr>
          <w:rFonts w:ascii="Arial" w:cs="Arial" w:eastAsia="Arial" w:hAnsi="Arial"/>
          <w:sz w:val="17"/>
          <w:szCs w:val="17"/>
          <w:color w:val="auto"/>
        </w:rPr>
        <w:t xml:space="preserve"> and Erypo</w:t>
      </w:r>
      <w:r>
        <w:rPr>
          <w:rFonts w:ascii="Arial" w:cs="Arial" w:eastAsia="Arial" w:hAnsi="Arial"/>
          <w:sz w:val="14"/>
          <w:szCs w:val="14"/>
          <w:color w:val="auto"/>
        </w:rPr>
        <w:t>®</w:t>
      </w:r>
      <w:r>
        <w:rPr>
          <w:rFonts w:ascii="Arial" w:cs="Arial" w:eastAsia="Arial" w:hAnsi="Arial"/>
          <w:sz w:val="17"/>
          <w:szCs w:val="17"/>
          <w:color w:val="auto"/>
        </w:rPr>
        <w:t>/Eprex</w:t>
      </w:r>
      <w:r>
        <w:rPr>
          <w:rFonts w:ascii="Arial" w:cs="Arial" w:eastAsia="Arial" w:hAnsi="Arial"/>
          <w:sz w:val="14"/>
          <w:szCs w:val="14"/>
          <w:color w:val="auto"/>
        </w:rPr>
        <w:t>®</w:t>
      </w:r>
      <w:r>
        <w:rPr>
          <w:rFonts w:ascii="Arial" w:cs="Arial" w:eastAsia="Arial" w:hAnsi="Arial"/>
          <w:sz w:val="17"/>
          <w:szCs w:val="17"/>
          <w:color w:val="auto"/>
        </w:rPr>
        <w:t>, marketed by Johnson &amp; Johnson Inc., and Espo</w:t>
      </w:r>
      <w:r>
        <w:rPr>
          <w:rFonts w:ascii="Arial" w:cs="Arial" w:eastAsia="Arial" w:hAnsi="Arial"/>
          <w:sz w:val="14"/>
          <w:szCs w:val="14"/>
          <w:color w:val="auto"/>
        </w:rPr>
        <w:t>®</w:t>
      </w:r>
      <w:r>
        <w:rPr>
          <w:rFonts w:ascii="Arial" w:cs="Arial" w:eastAsia="Arial" w:hAnsi="Arial"/>
          <w:sz w:val="17"/>
          <w:szCs w:val="17"/>
          <w:color w:val="auto"/>
        </w:rPr>
        <w:t xml:space="preserve"> marketed by Kyowa Hakko Kirin in Japan and China), darbepoetin (Amgen/Kyowa Hakko Kirin’s Aranesp</w:t>
      </w:r>
      <w:r>
        <w:rPr>
          <w:rFonts w:ascii="Arial" w:cs="Arial" w:eastAsia="Arial" w:hAnsi="Arial"/>
          <w:sz w:val="14"/>
          <w:szCs w:val="14"/>
          <w:color w:val="auto"/>
        </w:rPr>
        <w:t>®</w:t>
      </w:r>
      <w:r>
        <w:rPr>
          <w:rFonts w:ascii="Arial" w:cs="Arial" w:eastAsia="Arial" w:hAnsi="Arial"/>
          <w:sz w:val="17"/>
          <w:szCs w:val="17"/>
          <w:color w:val="auto"/>
        </w:rPr>
        <w:t xml:space="preserve"> and NESP</w:t>
      </w:r>
      <w:r>
        <w:rPr>
          <w:rFonts w:ascii="Arial" w:cs="Arial" w:eastAsia="Arial" w:hAnsi="Arial"/>
          <w:sz w:val="14"/>
          <w:szCs w:val="14"/>
          <w:color w:val="auto"/>
        </w:rPr>
        <w:t>®</w:t>
      </w:r>
      <w:r>
        <w:rPr>
          <w:rFonts w:ascii="Arial" w:cs="Arial" w:eastAsia="Arial" w:hAnsi="Arial"/>
          <w:sz w:val="17"/>
          <w:szCs w:val="17"/>
          <w:color w:val="auto"/>
        </w:rPr>
        <w:t>) and Mircera</w:t>
      </w:r>
      <w:r>
        <w:rPr>
          <w:rFonts w:ascii="Arial" w:cs="Arial" w:eastAsia="Arial" w:hAnsi="Arial"/>
          <w:sz w:val="14"/>
          <w:szCs w:val="14"/>
          <w:color w:val="auto"/>
        </w:rPr>
        <w:t>®</w:t>
      </w:r>
      <w:r>
        <w:rPr>
          <w:rFonts w:ascii="Arial" w:cs="Arial" w:eastAsia="Arial" w:hAnsi="Arial"/>
          <w:sz w:val="17"/>
          <w:szCs w:val="17"/>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including in those patient segments not adequately addressed by ESAs. Companies that are currently developing hypoxia-inducible factor (“HIF”) prolyl hydroxylase (together with HIF, “HIF-PH”) inhibitors for anemia in CKD indications include GlaxoSmithKline plc (“GSK”), Bayer Corporation (“Bayer”), Akebia Therapeutics, Inc. (“Akebia”), Otsuka Pharmaceutical (“Otsuka”), Akebia’s partner in the U.S. and Europe, Japan Tobacco, and Zydus Cadila (India) (“Zydus”). Akebia has completed Phase 3 studies in CKD patients on dialysis and not on dialysis in the U.S., as well as a Phase 3b, randomized, open-label, active-controlled trial evaluating the efficacy and safety of oral vadadustat once daily and three times weekly for the maintenance treatment of anemia in hemodialysis subjects converting from ESAs. The study completion date is estimated to be May 2022. Akebia announced an additional Phase 3 study evaluating the efficacy and safety of dose conversion from a long-acting erythropoiesis stimulating agent (Mircera®) to three times weekly oral vadadustat for the maintenance treatment of anemia in hemodialysis subjects. The estimated study start date is February 2021. On March 30, 2021, Akebia submitted an NDA to the FDA for vadadustat for the treatment of anemia due to CKD in patients on dialysis and not on dialysis.</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Japan, Mitsubishi Tanabe Pharmaceutical Corporation, Akebia’s collaboration partner, received approval for vadadustat in June 2020 for the treatment of anemia of CKD patients on and not on dialysis. GSK received approval for daprodustat in Japan in June 2020 for the treatment of anemia of CKD patients on and not on dialysis. Price listing for the launch in Japan of both vadadustat and daprodustat occurred in the third quarter of 2020, with pricing in line with roxadustat pricing.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Bayer received approval for molidustat in Japan in January 2021 for the treatment of anemia in CKD patients on and not on dialysis, with pricing in line with roxadustat pricing. Japan Tobacco received approval in Japan for enarodustat for the treatment of anemia in CKD patients on dialysis and not on dialysis, to be sold by Torii Pharmaceuticals Ltd as ENAROY</w:t>
      </w:r>
      <w:r>
        <w:rPr>
          <w:rFonts w:ascii="Arial" w:cs="Arial" w:eastAsia="Arial" w:hAnsi="Arial"/>
          <w:sz w:val="13"/>
          <w:szCs w:val="13"/>
          <w:color w:val="auto"/>
        </w:rPr>
        <w:t>®</w:t>
      </w:r>
      <w:r>
        <w:rPr>
          <w:rFonts w:ascii="Arial" w:cs="Arial" w:eastAsia="Arial" w:hAnsi="Arial"/>
          <w:sz w:val="16"/>
          <w:szCs w:val="16"/>
          <w:color w:val="auto"/>
        </w:rPr>
        <w:t>. Japan Tobacco and its partner JW Pharmaceuticals started a Phase 3 study in dialysis patients in Korea in 2019. Zydus started Phase 3 studies in dialysis and non-dialysis CKD patients in India in 2019.</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July 2020, Zydus received approval from the FDA to begin a Phase 1 study of desidustat for the treatment of chemotherapy-induced anemia, which could potentially be competitive with roxadustat within this indication.</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Reblozyl® (luspatercept) was approved by the FDA in April 2020 for the treatment of anemia in adults with myelodysplastic syndromes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addition, we will likely face competition from other companies developing biologic therapies for the treatment of other anemia indications that we may also seek to pursue in the future.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China, ESA is considered the standard of care for treatment of anemia of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its ex-China regulatory filings. A number of domestic companies, including Jiangsu Hengrui Medicine Co., Ltd., Guandong Sunshine Health Investment Co., Ltd., 3SBio Inc., and Hangzhou Andao Pharmaceutical Co. have been permitted by the NMPA to conduct clinical trials in their locally developed HIF-PH inhibitor investigational compounds for the treatment of anemia in CKD. Domestic companies are also in-licensing global compounds to be developed as domestic drugs, including China Medical System which in-licensed desidustat, a compound that is currently in Phase 3 trials in India, from Zydus for greater China in January 2020. In January 2021, China Medical System Holdings Ltd. was granted approval by the Chinese NMPA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We will also face competition from generics who could enter the market after expiry of our patents in China, and two potential market players have already started bioequivalence studies, including Chia Tai-Tiangqing Pharmaceutical Holdings and CSPA Pharmaceutical Group.</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15"/>
          <w:szCs w:val="15"/>
          <w:color w:val="auto"/>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15"/>
          <w:szCs w:val="15"/>
          <w:color w:val="auto"/>
        </w:rPr>
        <w:t>®</w:t>
      </w:r>
      <w:r>
        <w:rPr>
          <w:rFonts w:ascii="Arial" w:cs="Arial" w:eastAsia="Arial" w:hAnsi="Arial"/>
          <w:sz w:val="18"/>
          <w:szCs w:val="18"/>
          <w:color w:val="auto"/>
        </w:rPr>
        <w:t xml:space="preserve"> (epoetin alfa) in Europe and may file a biosimilar Biologics License Application in the U.S.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w:t>
      </w:r>
      <w:r>
        <w:rPr>
          <w:rFonts w:ascii="Arial" w:cs="Arial" w:eastAsia="Arial" w:hAnsi="Arial"/>
          <w:sz w:val="14"/>
          <w:szCs w:val="14"/>
          <w:color w:val="auto"/>
        </w:rPr>
        <w:t>®</w:t>
      </w:r>
      <w:r>
        <w:rPr>
          <w:rFonts w:ascii="Arial" w:cs="Arial" w:eastAsia="Arial" w:hAnsi="Arial"/>
          <w:sz w:val="17"/>
          <w:szCs w:val="17"/>
          <w:color w:val="auto"/>
        </w:rPr>
        <w:t xml:space="preserve"> (pirfenidone), and Boehringer Ingelheim’s Ofev</w:t>
      </w:r>
      <w:r>
        <w:rPr>
          <w:rFonts w:ascii="Arial" w:cs="Arial" w:eastAsia="Arial" w:hAnsi="Arial"/>
          <w:sz w:val="14"/>
          <w:szCs w:val="14"/>
          <w:color w:val="auto"/>
        </w:rPr>
        <w:t>®</w:t>
      </w:r>
      <w:r>
        <w:rPr>
          <w:rFonts w:ascii="Arial" w:cs="Arial" w:eastAsia="Arial" w:hAnsi="Arial"/>
          <w:sz w:val="17"/>
          <w:szCs w:val="17"/>
          <w:color w:val="auto"/>
        </w:rPr>
        <w:t xml:space="preserve">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7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Pamrevlumab is a monoclonal antibody that may be more expensive and less convenient than oral small molecules such as nintedanib and pirfenidone. Other potential competitive product candidates in various stages of development for IPF include Kadmon Holdings, Inc.’s KD025, Liminal BioSciences’ PBI-4050, and Roche/Promedior, Inc.’s PRM-151.</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products currently used for pancreatic cancer. These include FOLFRINOX, a combination chemotherapy regimen of folic acid, 5-fluouracil, oxaliplatin and irinotecan, and agents seeking approval in combination with gemcitibine and nab-paclitaxel from companies such as Rafael Pharma’s defactinib/CPI-613 and Merrimack’s istiratumab. Gemcitabine and/or nab-paclitaxel are the current standard of care in the first-line treatment of metastatic pancreatic cancer.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 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spacing w:after="0" w:line="19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PTC Therapeutics’ product Translarna </w:t>
      </w:r>
      <w:r>
        <w:rPr>
          <w:rFonts w:ascii="Arial" w:cs="Arial" w:eastAsia="Arial" w:hAnsi="Arial"/>
          <w:sz w:val="15"/>
          <w:szCs w:val="15"/>
          <w:color w:val="auto"/>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15"/>
          <w:szCs w:val="15"/>
          <w:color w:val="auto"/>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15"/>
          <w:szCs w:val="15"/>
          <w:color w:val="auto"/>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Pfizer initiated a Phase 3 study with PF-06939926, its AAV9 mini-dystrophin gene therapy for DMD in February 2020. Pliant’s PLN-74809 and Galecto’s lead candidate GB0139, are in Phase 2 development for IPF.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our collaboration partners and we are not able to compete effectively against existing and potential competitors, our business and financial condition may be materially and adversely affected.</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41"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efficacy of the product candidate as demonstrated in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safety profile and perceptions of safety of our product candidates relative to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500" w:right="66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the product candidate relative to alternative treatments;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2020 to December 31, 2021), after which time we will have to renegotiate a new price for roxadustat, which we expect to be lower based upon historical precedents.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82" w:lineRule="exact"/>
        <w:rPr>
          <w:sz w:val="20"/>
          <w:szCs w:val="20"/>
          <w:color w:val="auto"/>
        </w:rPr>
      </w:pPr>
    </w:p>
    <w:p>
      <w:pPr>
        <w:ind w:right="1780"/>
        <w:spacing w:after="0" w:line="400" w:lineRule="auto"/>
        <w:rPr>
          <w:sz w:val="20"/>
          <w:szCs w:val="20"/>
          <w:color w:val="auto"/>
        </w:rPr>
      </w:pPr>
      <w:r>
        <w:rPr>
          <w:rFonts w:ascii="Arial" w:cs="Arial" w:eastAsia="Arial" w:hAnsi="Arial"/>
          <w:sz w:val="17"/>
          <w:szCs w:val="17"/>
          <w:b w:val="1"/>
          <w:bCs w:val="1"/>
          <w:color w:val="auto"/>
        </w:rPr>
        <w:t xml:space="preserve">Risks Related to Severe Acute Respiratory Syndrome Coronavirus 2 and the Resulting Coronavirus Disease (“COVID-19”) </w:t>
      </w:r>
      <w:r>
        <w:rPr>
          <w:rFonts w:ascii="Arial" w:cs="Arial" w:eastAsia="Arial" w:hAnsi="Arial"/>
          <w:sz w:val="17"/>
          <w:szCs w:val="17"/>
          <w:b w:val="1"/>
          <w:bCs w:val="1"/>
          <w:i w:val="1"/>
          <w:iCs w:val="1"/>
          <w:color w:val="auto"/>
        </w:rPr>
        <w:t>Our business could continue to be adversely affected by the ongoing COVID-19 global pandemic.*</w:t>
      </w:r>
    </w:p>
    <w:p>
      <w:pPr>
        <w:ind w:right="40"/>
        <w:spacing w:after="0" w:line="291" w:lineRule="auto"/>
        <w:rPr>
          <w:sz w:val="20"/>
          <w:szCs w:val="20"/>
          <w:color w:val="auto"/>
        </w:rPr>
      </w:pPr>
      <w:r>
        <w:rPr>
          <w:rFonts w:ascii="Arial" w:cs="Arial" w:eastAsia="Arial" w:hAnsi="Arial"/>
          <w:sz w:val="16"/>
          <w:szCs w:val="16"/>
          <w:color w:val="auto"/>
        </w:rPr>
        <w:t>The effects of the COVID-19 pandemic, the associated government-mandated restrictions and the other effects on healthcare systems, the economy, and society as a whole, may negatively impact productivity, disrupt our business, and delay our clinical programs and timelines, the magnitude of which will depend, in part, on the progression of the disease, the length and severity of the restrictions, and other impacts and limitations on our ability to conduct our business in the ordinary course. These disruptions in our operations could negatively impact our business, operating results, and financial condition. While certain COVID-19 vaccines have received regulatory approval and have begun to be distributed and administered to the general population, it is uncertain how quickly and to what extent such actions will contain the virus and normal economic operating conditions will resume. The efficacy of such vaccines in preventing the spread and effects of current and future COVID-19 variants is also a possible unknown.</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extent of the impact on the COVID-19 pandemic on our business and financial results will continue to depend on numerous evolving factors that we are not able to accurately predict and which will vary by market, including the duration and scope of the pandemic, global economic conditions during and after the pandemic, the availability, speed and efficacy of vaccinations around the world, and governmental actions that have been taken, or may be taken in the future, in response to the pandemic, including any COVID-19 variants.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Despite these efforts, there is a risk that one or more of our employees, including members of senior management, could contract COVID-19. Our U.S. employees are working remotely when possible, and we may experience reduced productivity due to the remote work environment. In addition, there are other risks from remote work including but not limited to the potential for reduced oversight of third parties we work with, such as manufacturing, CROs, and clinical sites.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China was able to minimize the impact of COVID-19 on the economy in 2020 relative to other major economies. However, if there are any further COVID-19 outbreaks, our partners or we may need to re-institute or tighten restrictions on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seen impacts from COVID-19 on all of our clinical trials to varying degrees. There is a risk that any or all of our clinical trials will be further delayed, in particular our studies in IPF, due to a continued or further outbreak which can slow or pause enrollment or site initiation and other direct COVID-19 impacts to clinical sites and clinical service providers. In addition, while we are trying to mitigate the effect of COVID-19 on existing patients, it is possible that some patients may not be able to continue to comply with protocols, which could further delay our clinical trial progress.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we have sufficient roxadustat and pamrevlumab supplies for our expected commercial and clinical requirements over the next year and our manufacturing partners and we are currently continuing manufacturing operations. However, we only have a limited stockpile of these drug supply products, and therefore, if there is a greater impact from the COVID-19 pandemic than we have expected, or if manufacturing operations are halted again, or if drug product expires due to slowed clinical trials, we could face shortages in our global supply chains. COVID-19 has created increased demand for the limited global biologics manufacturing capacity, and as a result, we have faced competition for manufacturing supplies due to prioritization of COVID-19 related manufacturing. We could face additional competition for such manufacturing supplies, including for vials, reagents, supplements and media, and may face competition to use available capacity at our manufacturing partners. Any such supply disruptions could adversely impact our clinical development and ability to generate revenues from our approved products and our business, financial condition, results of operations and growth prospects could be materially adversely affected. There may be unexpected regulatory delays due to the COVID-19 pandemic including due to travel restrictions impacting pre-approval inspections.</w:t>
      </w:r>
    </w:p>
    <w:p>
      <w:pPr>
        <w:spacing w:after="0" w:line="18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Due to these and potentially additional business disruptions, there may be delays to any of our business areas including our drug supply chains, problems with our distribution or warehousing vendors, or delays to our (and our partners’) clinical trials or other development efforts, or commercialization and launch activities. The full extent of these effects are unknown, but all of them could have a material impact on our operations and revenue.</w:t>
      </w:r>
    </w:p>
    <w:p>
      <w:pPr>
        <w:spacing w:after="0" w:line="1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our collaborations are exclusive and preclude us from entering into additional collaboration agreements with other parties in the area or field of exclusivity.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With respect to our collaboration agreements for roxadustat, there are additional complexities in that our collaboration partners, Astellas and AstraZeneca, and we must reach consensus on our development programs and regulatory activities, including for the NDA in the U.S. and the Marketing Authorization Application in Europe.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0" w:lineRule="exact"/>
        <w:rPr>
          <w:sz w:val="20"/>
          <w:szCs w:val="20"/>
          <w:color w:val="auto"/>
        </w:rPr>
      </w:pPr>
    </w:p>
    <w:p>
      <w:pPr>
        <w:ind w:left="500" w:right="22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500" w:right="4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entered into an initial commercial supply agreement for the manufacture of pamrevlumab with Samsung Biologics Co., Ltd. (“Samsung”). However, we may experience delays or technical problems associated with technology transfer of the manufacturing process to Samsung and the qualification and scale-up thereof. We have made certain manufacturing commitments to Samsung, and there is a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IRIX and we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for roxadustat to date, the lead-time and regulatory approvals required to source from and into countries outside of the U.S. increase the risk of delay and potential shortages of supply.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proceedings involving our intellectual property initiated by third parties, which proceedings can be associated with significant costs and commitment of management time and attention. As our product candidates continue in development, third parties have attempted and may again attempt to challenge the validity and enforceability of our patents and proprietary information and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Third parties have challenged and may again challenge our patents and patent applications. For example, various challenges against our HIF anemia-related technologies patent portfolio are ongoing in several territories including the U.S.,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May 2020, oppositions were filed against our European Patent No. 2872488 (the “`488 Patent”), which claims a crystalline form of roxadustat, and against our European Patent No. 3003284 (the “`284 Patent”), which claims photostable formulations of roxadustat. Final resolution of the opposition proceedings will take time, and we cannot be assured of the breadth of the claims that will remain in the `488 Patent or `284 Patent, or that either or both of the patents will not be revoked in their entirety.</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500" w:right="30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500" w:right="58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500" w:right="84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500" w:right="50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500" w:right="40" w:hanging="492"/>
        <w:spacing w:after="0" w:line="286"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Japan, and Chile for patients on dialysis and not on dialysis, we have not obtained regulatory approval for any product candidate, and it is possible that neither roxadustat nor pamrevlumab, nor any future product candidates we may discover, in-license or acquire and seek to develop in the future, will obtain regulatory approval in additional countries.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could fail to receive regulatory approval from the FDA or other regulatory authorities for many reasons, including:</w:t>
      </w:r>
    </w:p>
    <w:p>
      <w:pPr>
        <w:spacing w:after="0" w:line="129"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84" w:lineRule="exact"/>
        <w:rPr>
          <w:sz w:val="20"/>
          <w:szCs w:val="20"/>
          <w:color w:val="auto"/>
        </w:rPr>
      </w:pPr>
    </w:p>
    <w:p>
      <w:pPr>
        <w:ind w:left="500" w:right="240" w:hanging="492"/>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500" w:right="640" w:hanging="492"/>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500" w:right="80" w:hanging="492"/>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78" w:lineRule="exact"/>
        <w:rPr>
          <w:rFonts w:ascii="Arial" w:cs="Arial" w:eastAsia="Arial" w:hAnsi="Arial"/>
          <w:sz w:val="18"/>
          <w:szCs w:val="18"/>
          <w:color w:val="auto"/>
        </w:rPr>
      </w:pPr>
    </w:p>
    <w:p>
      <w:pPr>
        <w:ind w:left="500" w:right="200" w:hanging="492"/>
        <w:spacing w:after="0" w:line="25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of 2010 (collectively, the “PPACA”), which requires manufacturers of drugs, devices, biologics, and medical supplies to report annually to the Centers for Medicare &amp;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line="272"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69" w:lineRule="exact"/>
        <w:rPr>
          <w:rFonts w:ascii="Arial" w:cs="Arial" w:eastAsia="Arial" w:hAnsi="Arial"/>
          <w:sz w:val="17"/>
          <w:szCs w:val="17"/>
          <w:color w:val="auto"/>
        </w:rPr>
      </w:pPr>
    </w:p>
    <w:p>
      <w:pPr>
        <w:ind w:left="500" w:right="140" w:hanging="492"/>
        <w:spacing w:after="0" w:line="273"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will require us to maintain costly compliance programs.*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spacing w:after="0" w:line="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 Each of these material weaknesses could result in material misstatements in the drug product revenue, contract asset, or contract liability account balances or disclosures in our annual or interim consolidated financial statements that would not be prevented or detected. 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developed a detailed remediation plan and are making progress to improve our related internal control over financial reporting. For further discussion of the material weaknesses identified and our remedial efforts, see Part II, Item 9A, “</w:t>
      </w:r>
      <w:r>
        <w:rPr>
          <w:rFonts w:ascii="Arial" w:cs="Arial" w:eastAsia="Arial" w:hAnsi="Arial"/>
          <w:sz w:val="18"/>
          <w:szCs w:val="18"/>
          <w:i w:val="1"/>
          <w:iCs w:val="1"/>
          <w:color w:val="auto"/>
        </w:rPr>
        <w:t>Controls and Procedures”</w:t>
      </w:r>
      <w:r>
        <w:rPr>
          <w:rFonts w:ascii="Arial" w:cs="Arial" w:eastAsia="Arial" w:hAnsi="Arial"/>
          <w:sz w:val="18"/>
          <w:szCs w:val="18"/>
          <w:color w:val="auto"/>
        </w:rPr>
        <w:t xml:space="preserve"> in our Annual Report on Form 10-K for the year ended December 31, 2020.</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Remediation efforts place a significant burden on management and add increased pressure on our financial resources and processes. If we are unable to successfully remediate our existing or any future material weaknesses or other deficiencies in our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that could similarly impact the commercial potential for our products.</w:t>
      </w:r>
    </w:p>
    <w:p>
      <w:pPr>
        <w:spacing w:after="0" w:line="18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End-Stage Renal Disease Prospective Payment System (the “ESRD PPS”)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or the timing of inclusion.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initially be included in the bundle and would instead be eligible for a Transitional Drug Add-on Payment Adjustment (“TDAPA”) for a 24-month period. At the 24-month mark, CMS would determine if the TDAPA period should be extended for roxadustat or ended. When the TDAPA period ends, CMS will determine if roxadustat should be included in the bundle and, if so, what changes to the ESRD PPS reimbursement should be made. If roxadustat is included in the ESRD PPS bundle, it may have an impact on roxadustat pricing within dialysis organizations. If roxadustat is not included in the bundle after the TDAPA period, and would therefore be reimbursed outside of the bundle, it may potentially limit further market penetration of roxadustat. We currently expect roxadustat to be granted TDAPA designation one to two calendar quarters after an FDA approval. However, there is a risk that we do not receive TDAPA designation, or when we expect it, in which case, there would be a significant impact on roxadustat revenue from dialysis organizations until TDAPA designation is granted.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March 2010, the PPACA was passed, which substantially changed the way healthcare is financed by both governmental and private payors in the U.S. There remain judicial and Congressional challenges to certain aspects of the PPACA. For example, the Tax Cuts and Jobs Act of 2017, (the “Tax Act”), was enacted, which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eliminated the health insurer tax. Additionally,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The U.S. Supreme Court is currently reviewing this case, but it is unknown when a decision will be reached. Although the U.S. Supreme Court has yet ruled on the constitutionality of the PPACA, on January 28, 2021, President Biden issued an executive order to initiate a special enrollment period from February 15, 2021 through May 15, 2021 for purposes of obtaining health insurance coverage through the PPACA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unclear how the U.S. Supreme Court ruling, other such litigation, and the healthcare reform measures of the Biden administration will impact the PPACA and our business.</w:t>
      </w:r>
    </w:p>
    <w:p>
      <w:pPr>
        <w:spacing w:after="0" w:line="17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U.S. healthcare reform measures will be adopted in the future, any of which could limit the amounts that the U.S. federal government will pay for healthcare products and services, which could result in reduced demand for any future products or additional pricing pressures.</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500" w:right="660" w:hanging="492"/>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500" w:right="5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distributing drugs in China.</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established a jointly owned entity with AstraZeneca in China, one that has a distribution license. It is subject to a new body of regulations pertaining to distribution with which we have limited experience. This new distribution structure may impose higher costs or limit or delay our ability to sell products to our principal customers, and may limit the near term sales of our products. There are operational risks associated with the jointly owned entity, such as working capital funding requirements and regulatory challenges, which could impact our ability to operate in China, including increasing sales of roxadustat. We have limited experience managing distribution of pharmaceutical products, and this new distribution structure may impose higher costs or limit or delay our ability to sell products to our principal customers, and may limit the near term sales of our products.</w:t>
      </w:r>
    </w:p>
    <w:p>
      <w:pPr>
        <w:spacing w:after="0" w:line="286"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We use our own manufacturing facilities in China to produce roxadustat API and drug product. There are risks inherent to operating commercial manufacturing facilities, and with these being our single source suppliers, we may not be able to continually meet market demand.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spacing w:after="0" w:line="6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responsible for commercial manufacturing, pharmacovigilance, medical affairs, and management of the third-party distribution logistics (with AstraZeneca through a jointly owned entity that will perform roxadustat distribution)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2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collaboration partner in China, AstraZeneca, and we may experience difficulties in successfully growing and sustaining sales of roxadustat in China.</w:t>
      </w:r>
    </w:p>
    <w:p>
      <w:pPr>
        <w:spacing w:after="0" w:line="6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AstraZeneca and we have a profit sharing arrangement with respect to roxadustat in China and any difficulties we may experience in growing and sustaining sales will affect our bottom line. Difficulties may be related to our ability to maintain reasonable pricing and reimbursement, obtain hospital listing, or other difficulties related to distribution, marketing, and sales efforts in China. For example, our current National Reimbursement Drug List reimbursement pricing is effective for a standard two-year period (between January 1, 2020 to December 31, 2021), after which time we will have to renegotiate a new price for roxadustat, which we expect to be lower based upon historical precedents. Sales of roxadustat in China may ultimately be limited due to the complex nature of the healthcare system, low average personal income, pricing controls, still developing infrastructure and potentially rapid competition from other products.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2021, approximately $55.1 million of our cash and cash equivalents is held in China.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a biopharmaceutical company with two lead product candidates in clinical development, roxadustat for anemia in CKD, myelodysplastic syndromes,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 ended December 31, 2020, 2019 and 2018 were $189.3 million, $77.0 million and $86.4 million, respectively. As of March 31, 2021, we had an accumulated deficit of $1.0 billion. As of March 31, 2021, we had capital resources consisting of cash, cash equivalents and short-term investments of $544.2 million plus $93.7 million of long-term investments classified as available for sale securities. Despite contractual development and cost coverage commitments from our collaboration partners, AstraZeneca and Astellas, and the potential to receive milestone and other payments from these partners, and despite commercialization efforts in the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8"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2019, and have continued to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March 2019,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April 30, 2021, our executive officers, directors and principal stockholders, together with their respective affiliates, owned approximately 41.33%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6"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6"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reprioritization of our development programs and even cessation of development and commercialization of our current product candidates;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500" w:right="360" w:hanging="492"/>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00" w:right="20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500" w:right="32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Federal and state tax laws impose substantial restrictions on the utilization of net operating loss and credit carryforwards in the event of an “ownership change” for tax purposes, as defined in IRC Section 382. If additional ownership change occurs, the utilization of net operating loss and credit carryforwards could be significantly reduced.</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November 13, 2014, our Registration Statement on Form S-1, as amended (Reg. Nos. 333-199069 and 333-200189) was declared effective in connection with the initial public offering of our common stock. All proceeds from our initial public offering have been used as planned and described in our final prospectus filed with the SEC pursuant to Rule 424(b) under the Securities Act on November 14, 2014.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40" w:type="dxa"/>
            <w:vAlign w:val="bottom"/>
            <w:gridSpan w:val="19"/>
          </w:tcPr>
          <w:p>
            <w:pPr>
              <w:ind w:left="180"/>
              <w:spacing w:after="0"/>
              <w:rPr>
                <w:sz w:val="20"/>
                <w:szCs w:val="20"/>
                <w:color w:val="auto"/>
              </w:rPr>
            </w:pPr>
            <w:r>
              <w:rPr>
                <w:rFonts w:ascii="Arial" w:cs="Arial" w:eastAsia="Arial" w:hAnsi="Arial"/>
                <w:sz w:val="14"/>
                <w:szCs w:val="14"/>
                <w:b w:val="1"/>
                <w:bCs w:val="1"/>
                <w:color w:val="auto"/>
              </w:rPr>
              <w:t>Exhibit Description</w:t>
            </w:r>
          </w:p>
        </w:tc>
      </w:tr>
      <w:tr>
        <w:trPr>
          <w:trHeight w:val="263"/>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2"/>
                <w:szCs w:val="22"/>
                <w:color w:val="auto"/>
              </w:rPr>
            </w:pPr>
          </w:p>
        </w:tc>
        <w:tc>
          <w:tcPr>
            <w:tcW w:w="5000" w:type="dxa"/>
            <w:vAlign w:val="bottom"/>
            <w:tcBorders>
              <w:top w:val="single" w:sz="8" w:color="auto"/>
              <w:bottom w:val="single" w:sz="8" w:color="0000EE"/>
            </w:tcBorders>
            <w:gridSpan w:val="21"/>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Amended and Restated Certificate of Incorporation of FibroGen, Inc.</w:t>
              </w:r>
            </w:hyperlink>
          </w:p>
        </w:tc>
        <w:tc>
          <w:tcPr>
            <w:tcW w:w="100" w:type="dxa"/>
            <w:vAlign w:val="bottom"/>
            <w:tcBorders>
              <w:top w:val="single" w:sz="8" w:color="auto"/>
            </w:tcBorders>
            <w:gridSpan w:val="2"/>
          </w:tcPr>
          <w:p>
            <w:pPr>
              <w:spacing w:after="0"/>
              <w:rPr>
                <w:sz w:val="22"/>
                <w:szCs w:val="22"/>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3560" w:type="dxa"/>
            <w:vAlign w:val="bottom"/>
            <w:tcBorders>
              <w:bottom w:val="single" w:sz="8" w:color="0000EE"/>
            </w:tcBorders>
            <w:gridSpan w:val="7"/>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Amended and Restated Bylaws of FibroGen, Inc.</w:t>
              </w:r>
            </w:hyperlink>
          </w:p>
        </w:tc>
        <w:tc>
          <w:tcPr>
            <w:tcW w:w="1540" w:type="dxa"/>
            <w:vAlign w:val="bottom"/>
            <w:gridSpan w:val="16"/>
          </w:tcPr>
          <w:p>
            <w:pPr>
              <w:spacing w:after="0"/>
              <w:rPr>
                <w:sz w:val="24"/>
                <w:szCs w:val="24"/>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2620" w:type="dxa"/>
            <w:vAlign w:val="bottom"/>
            <w:tcBorders>
              <w:bottom w:val="single" w:sz="8" w:color="0000EE"/>
            </w:tcBorders>
            <w:gridSpan w:val="6"/>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Form of Common Stock Certificate.</w:t>
              </w:r>
            </w:hyperlink>
          </w:p>
        </w:tc>
        <w:tc>
          <w:tcPr>
            <w:tcW w:w="2480" w:type="dxa"/>
            <w:vAlign w:val="bottom"/>
            <w:gridSpan w:val="17"/>
          </w:tcPr>
          <w:p>
            <w:pPr>
              <w:spacing w:after="0"/>
              <w:rPr>
                <w:sz w:val="24"/>
                <w:szCs w:val="24"/>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4620" w:type="dxa"/>
            <w:vAlign w:val="bottom"/>
            <w:tcBorders>
              <w:bottom w:val="single" w:sz="8" w:color="0000EE"/>
            </w:tcBorders>
            <w:gridSpan w:val="12"/>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Shareholders’ Agreement by and among FibroGen International</w:t>
              </w:r>
            </w:hyperlink>
          </w:p>
        </w:tc>
        <w:tc>
          <w:tcPr>
            <w:tcW w:w="480" w:type="dxa"/>
            <w:vAlign w:val="bottom"/>
            <w:gridSpan w:val="11"/>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(Cayman) Limited and certain of its shareholders, dated as of</w:t>
              </w:r>
            </w:hyperlink>
          </w:p>
        </w:tc>
        <w:tc>
          <w:tcPr>
            <w:tcW w:w="680" w:type="dxa"/>
            <w:vAlign w:val="bottom"/>
            <w:gridSpan w:val="13"/>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September 8, 2017.</w:t>
              </w:r>
            </w:hyperlink>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Common Stock Purchase Agreement by and between FibroGen, Inc.</w:t>
              </w:r>
            </w:hyperlink>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and AstraZeneca AB, dated as of October 20, 2014.</w:t>
              </w:r>
            </w:hyperlink>
          </w:p>
        </w:tc>
        <w:tc>
          <w:tcPr>
            <w:tcW w:w="160" w:type="dxa"/>
            <w:vAlign w:val="bottom"/>
            <w:gridSpan w:val="3"/>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Transition, Separation, and Consulting Agreement by and between</w:t>
              </w:r>
            </w:hyperlink>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FibroGen, Inc. and K. Peony Yu, dated as of November 27, 2020.</w:t>
              </w:r>
            </w:hyperlink>
          </w:p>
        </w:tc>
        <w:tc>
          <w:tcPr>
            <w:tcW w:w="80" w:type="dxa"/>
            <w:vAlign w:val="bottom"/>
            <w:tcBorders>
              <w:top w:val="single" w:sz="8" w:color="0000EE"/>
            </w:tcBorders>
            <w:gridSpan w:val="3"/>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291"/>
        </w:trPr>
        <w:tc>
          <w:tcPr>
            <w:tcW w:w="1000" w:type="dxa"/>
            <w:vAlign w:val="bottom"/>
            <w:gridSpan w:val="2"/>
          </w:tcPr>
          <w:p>
            <w:pPr>
              <w:spacing w:after="0"/>
              <w:rPr>
                <w:sz w:val="20"/>
                <w:szCs w:val="20"/>
                <w:color w:val="auto"/>
              </w:rPr>
            </w:pPr>
            <w:r>
              <w:rPr>
                <w:rFonts w:ascii="Arial" w:cs="Arial" w:eastAsia="Arial" w:hAnsi="Arial"/>
                <w:sz w:val="18"/>
                <w:szCs w:val="18"/>
                <w:color w:val="auto"/>
              </w:rPr>
              <w:t>10.2*†</w:t>
            </w:r>
          </w:p>
        </w:tc>
        <w:tc>
          <w:tcPr>
            <w:tcW w:w="48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Astellas EU Supply Agreement by and between FibroGen, Inc. and</w:t>
              </w:r>
            </w:hyperlink>
          </w:p>
        </w:tc>
        <w:tc>
          <w:tcPr>
            <w:tcW w:w="240" w:type="dxa"/>
            <w:vAlign w:val="bottom"/>
            <w:gridSpan w:val="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Astellas Pharma Europe Ltd, effective as of January 1, 2021.</w:t>
              </w:r>
            </w:hyperlink>
          </w:p>
        </w:tc>
      </w:tr>
      <w:tr>
        <w:trPr>
          <w:trHeight w:val="20"/>
        </w:trPr>
        <w:tc>
          <w:tcPr>
            <w:tcW w:w="100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000" w:type="dxa"/>
            <w:vAlign w:val="bottom"/>
            <w:gridSpan w:val="2"/>
          </w:tcPr>
          <w:p>
            <w:pPr>
              <w:spacing w:after="0"/>
              <w:rPr>
                <w:sz w:val="20"/>
                <w:szCs w:val="20"/>
                <w:color w:val="auto"/>
              </w:rPr>
            </w:pPr>
            <w:r>
              <w:rPr>
                <w:rFonts w:ascii="Arial" w:cs="Arial" w:eastAsia="Arial" w:hAnsi="Arial"/>
                <w:sz w:val="18"/>
                <w:szCs w:val="18"/>
                <w:color w:val="auto"/>
              </w:rPr>
              <w:t>10.3*†</w:t>
            </w:r>
          </w:p>
        </w:tc>
        <w:tc>
          <w:tcPr>
            <w:tcW w:w="45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Amendment No. 3 to Master Supply Agreement by and among</w:t>
              </w:r>
            </w:hyperlink>
          </w:p>
        </w:tc>
        <w:tc>
          <w:tcPr>
            <w:tcW w:w="560" w:type="dxa"/>
            <w:vAlign w:val="bottom"/>
            <w:gridSpan w:val="1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w w:val="95"/>
              </w:rPr>
            </w:pPr>
            <w:hyperlink w:anchor="page133">
              <w:r>
                <w:rPr>
                  <w:rFonts w:ascii="Arial" w:cs="Arial" w:eastAsia="Arial" w:hAnsi="Arial"/>
                  <w:sz w:val="18"/>
                  <w:szCs w:val="18"/>
                  <w:color w:val="0000EE"/>
                  <w:w w:val="95"/>
                </w:rPr>
                <w:t>FibroGen, Inc., Shanghai SynTheAll Pharmaceutical Co., Ltd., and</w:t>
              </w:r>
            </w:hyperlink>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4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STA Pharmaceutical Hong Kong Limited, dated as of January 12,</w:t>
              </w:r>
            </w:hyperlink>
          </w:p>
        </w:tc>
        <w:tc>
          <w:tcPr>
            <w:tcW w:w="260" w:type="dxa"/>
            <w:vAlign w:val="bottom"/>
            <w:gridSpan w:val="6"/>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2021.</w:t>
              </w:r>
            </w:hyperlink>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rPr>
            </w:pPr>
            <w:hyperlink r:id="rId108">
              <w:r>
                <w:rPr>
                  <w:rFonts w:ascii="Arial" w:cs="Arial" w:eastAsia="Arial" w:hAnsi="Arial"/>
                  <w:sz w:val="18"/>
                  <w:szCs w:val="18"/>
                  <w:color w:val="0000EE"/>
                </w:rPr>
                <w:t>Subsidiaries of FibroGen, Inc.</w:t>
              </w:r>
            </w:hyperlink>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474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Certification of Chief Executive Officer, as required by Rule 13a-</w:t>
              </w:r>
            </w:hyperlink>
          </w:p>
        </w:tc>
        <w:tc>
          <w:tcPr>
            <w:tcW w:w="360" w:type="dxa"/>
            <w:vAlign w:val="bottom"/>
            <w:gridSpan w:val="9"/>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14(a) or Rule 15d-14(a).</w:t>
              </w:r>
            </w:hyperlink>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Certification of Chief Financial Officer, as required by Rule 13a-14(a)</w:t>
              </w:r>
            </w:hyperlink>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or Rule 15d-14(a).</w:t>
              </w:r>
            </w:hyperlink>
          </w:p>
        </w:tc>
        <w:tc>
          <w:tcPr>
            <w:tcW w:w="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0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w w:val="98"/>
              </w:rPr>
            </w:pPr>
            <w:hyperlink w:anchor="page138">
              <w:r>
                <w:rPr>
                  <w:rFonts w:ascii="Arial" w:cs="Arial" w:eastAsia="Arial" w:hAnsi="Arial"/>
                  <w:sz w:val="18"/>
                  <w:szCs w:val="18"/>
                  <w:color w:val="0000EE"/>
                  <w:w w:val="98"/>
                </w:rPr>
                <w:t>Certification of Principal Executive Officer and Principal Financial</w:t>
              </w:r>
            </w:hyperlink>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0" w:type="dxa"/>
            <w:vAlign w:val="bottom"/>
            <w:gridSpan w:val="1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Officer, as required by Rule 13a-14(b) or Rule 15d-14(b) and Section</w:t>
              </w:r>
            </w:hyperlink>
          </w:p>
        </w:tc>
        <w:tc>
          <w:tcPr>
            <w:tcW w:w="100" w:type="dxa"/>
            <w:vAlign w:val="bottom"/>
            <w:gridSpan w:val="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w w:val="94"/>
              </w:rPr>
            </w:pPr>
            <w:hyperlink w:anchor="page138">
              <w:r>
                <w:rPr>
                  <w:rFonts w:ascii="Arial" w:cs="Arial" w:eastAsia="Arial" w:hAnsi="Arial"/>
                  <w:sz w:val="18"/>
                  <w:szCs w:val="18"/>
                  <w:color w:val="0000EE"/>
                  <w:w w:val="94"/>
                </w:rPr>
                <w:t>1350 of Chapter 63 of Title 18 of the United States Code (18 U.S.C.</w:t>
              </w:r>
            </w:hyperlink>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§1350)(1)).</w:t>
              </w:r>
            </w:hyperlink>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7"/>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00" w:type="dxa"/>
            <w:vAlign w:val="bottom"/>
            <w:gridSpan w:val="23"/>
          </w:tcPr>
          <w:p>
            <w:pPr>
              <w:spacing w:after="0"/>
              <w:rPr>
                <w:sz w:val="20"/>
                <w:szCs w:val="20"/>
                <w:color w:val="auto"/>
              </w:rPr>
            </w:pPr>
            <w:r>
              <w:rPr>
                <w:rFonts w:ascii="Arial" w:cs="Arial" w:eastAsia="Arial" w:hAnsi="Arial"/>
                <w:sz w:val="18"/>
                <w:szCs w:val="18"/>
                <w:color w:val="auto"/>
                <w:w w:val="97"/>
              </w:rPr>
              <w:t>Inline XBRL Instance Document: the instance document does not</w:t>
            </w:r>
          </w:p>
        </w:tc>
      </w:tr>
      <w:tr>
        <w:trPr>
          <w:trHeight w:val="216"/>
        </w:trPr>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gridSpan w:val="23"/>
          </w:tcPr>
          <w:p>
            <w:pPr>
              <w:spacing w:after="0"/>
              <w:rPr>
                <w:sz w:val="20"/>
                <w:szCs w:val="20"/>
                <w:color w:val="auto"/>
              </w:rPr>
            </w:pPr>
            <w:r>
              <w:rPr>
                <w:rFonts w:ascii="Arial" w:cs="Arial" w:eastAsia="Arial" w:hAnsi="Arial"/>
                <w:sz w:val="18"/>
                <w:szCs w:val="18"/>
                <w:color w:val="auto"/>
              </w:rPr>
              <w:t>appear in the Interactive Data File because its XBRL tags are</w:t>
            </w:r>
          </w:p>
        </w:tc>
      </w:tr>
      <w:tr>
        <w:trPr>
          <w:trHeight w:val="230"/>
        </w:trPr>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2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0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00" w:type="dxa"/>
            <w:vAlign w:val="bottom"/>
            <w:gridSpan w:val="23"/>
          </w:tcPr>
          <w:p>
            <w:pPr>
              <w:spacing w:after="0"/>
              <w:rPr>
                <w:sz w:val="20"/>
                <w:szCs w:val="20"/>
                <w:color w:val="auto"/>
              </w:rPr>
            </w:pPr>
            <w:r>
              <w:rPr>
                <w:rFonts w:ascii="Arial" w:cs="Arial" w:eastAsia="Arial" w:hAnsi="Arial"/>
                <w:sz w:val="18"/>
                <w:szCs w:val="18"/>
                <w:color w:val="auto"/>
                <w:w w:val="96"/>
              </w:rPr>
              <w:t>Inline XBRL Taxonomy Extension Calculation Linkbase Document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00" w:type="dxa"/>
            <w:vAlign w:val="bottom"/>
            <w:gridSpan w:val="23"/>
          </w:tcPr>
          <w:p>
            <w:pPr>
              <w:spacing w:after="0"/>
              <w:rPr>
                <w:sz w:val="20"/>
                <w:szCs w:val="20"/>
                <w:color w:val="auto"/>
              </w:rPr>
            </w:pPr>
            <w:r>
              <w:rPr>
                <w:rFonts w:ascii="Arial" w:cs="Arial" w:eastAsia="Arial" w:hAnsi="Arial"/>
                <w:sz w:val="18"/>
                <w:szCs w:val="18"/>
                <w:color w:val="auto"/>
                <w:w w:val="99"/>
              </w:rPr>
              <w:t>Inline XBRL Taxonomy Extension Definition Linkbase Document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0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00" w:type="dxa"/>
            <w:vAlign w:val="bottom"/>
            <w:gridSpan w:val="23"/>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r>
      <w:tr>
        <w:trPr>
          <w:trHeight w:val="513"/>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20" w:type="dxa"/>
            <w:vAlign w:val="bottom"/>
            <w:gridSpan w:val="13"/>
          </w:tcPr>
          <w:p>
            <w:pPr>
              <w:ind w:left="4540"/>
              <w:spacing w:after="0"/>
              <w:rPr>
                <w:sz w:val="20"/>
                <w:szCs w:val="20"/>
                <w:color w:val="auto"/>
              </w:rPr>
            </w:pPr>
            <w:r>
              <w:rPr>
                <w:rFonts w:ascii="Arial" w:cs="Arial" w:eastAsia="Arial" w:hAnsi="Arial"/>
                <w:sz w:val="18"/>
                <w:szCs w:val="18"/>
                <w:color w:val="auto"/>
                <w:w w:val="79"/>
              </w:rPr>
              <w:t>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SEC File No.</w:t>
            </w:r>
          </w:p>
        </w:tc>
        <w:tc>
          <w:tcPr>
            <w:tcW w:w="6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Exhibit</w:t>
            </w: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04"/>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11"/>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11"/>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10"/>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11/8/2017</w:t>
            </w:r>
          </w:p>
        </w:tc>
      </w:tr>
      <w:tr>
        <w:trPr>
          <w:trHeight w:val="74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27"/>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6"/>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58"/>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03/01/2021</w:t>
            </w:r>
          </w:p>
        </w:tc>
      </w:tr>
      <w:tr>
        <w:trPr>
          <w:trHeight w:val="36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6"/>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58"/>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43"/>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100" w:space="60"/>
            <w:col w:w="5080"/>
          </w:cols>
          <w:pgMar w:left="320" w:top="125"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9"/>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5520" w:type="dxa"/>
            <w:vAlign w:val="bottom"/>
            <w:gridSpan w:val="2"/>
          </w:tcPr>
          <w:p>
            <w:pPr>
              <w:ind w:left="360"/>
              <w:spacing w:after="0"/>
              <w:rPr>
                <w:sz w:val="20"/>
                <w:szCs w:val="20"/>
                <w:color w:val="auto"/>
              </w:rPr>
            </w:pPr>
            <w:r>
              <w:rPr>
                <w:rFonts w:ascii="Arial" w:cs="Arial" w:eastAsia="Arial" w:hAnsi="Arial"/>
                <w:sz w:val="18"/>
                <w:szCs w:val="18"/>
                <w:color w:val="auto"/>
              </w:rPr>
              <w:t>Cover Page Interactive Data File (formatted as inline XBRL with</w:t>
            </w:r>
          </w:p>
        </w:tc>
        <w:tc>
          <w:tcPr>
            <w:tcW w:w="1140" w:type="dxa"/>
            <w:vAlign w:val="bottom"/>
          </w:tcPr>
          <w:p>
            <w:pPr>
              <w:ind w:left="460"/>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r>
      <w:tr>
        <w:trPr>
          <w:trHeight w:val="216"/>
        </w:trPr>
        <w:tc>
          <w:tcPr>
            <w:tcW w:w="640" w:type="dxa"/>
            <w:vAlign w:val="bottom"/>
          </w:tcPr>
          <w:p>
            <w:pPr>
              <w:spacing w:after="0"/>
              <w:rPr>
                <w:sz w:val="18"/>
                <w:szCs w:val="18"/>
                <w:color w:val="auto"/>
              </w:rPr>
            </w:pPr>
          </w:p>
        </w:tc>
        <w:tc>
          <w:tcPr>
            <w:tcW w:w="5520" w:type="dxa"/>
            <w:vAlign w:val="bottom"/>
            <w:gridSpan w:val="2"/>
          </w:tcPr>
          <w:p>
            <w:pPr>
              <w:ind w:left="360"/>
              <w:spacing w:after="0"/>
              <w:rPr>
                <w:sz w:val="20"/>
                <w:szCs w:val="20"/>
                <w:color w:val="auto"/>
              </w:rPr>
            </w:pPr>
            <w:r>
              <w:rPr>
                <w:rFonts w:ascii="Arial" w:cs="Arial" w:eastAsia="Arial" w:hAnsi="Arial"/>
                <w:sz w:val="18"/>
                <w:szCs w:val="18"/>
                <w:color w:val="auto"/>
              </w:rPr>
              <w:t>applicable taxonomy extension information contained in Exhibits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5520" w:type="dxa"/>
            <w:vAlign w:val="bottom"/>
            <w:gridSpan w:val="2"/>
          </w:tcPr>
          <w:p>
            <w:pPr>
              <w:ind w:left="360"/>
              <w:spacing w:after="0"/>
              <w:rPr>
                <w:sz w:val="20"/>
                <w:szCs w:val="20"/>
                <w:color w:val="auto"/>
              </w:rPr>
            </w:pPr>
            <w:r>
              <w:rPr>
                <w:rFonts w:ascii="Arial" w:cs="Arial" w:eastAsia="Arial" w:hAnsi="Arial"/>
                <w:sz w:val="18"/>
                <w:szCs w:val="18"/>
                <w:color w:val="auto"/>
              </w:rPr>
              <w:t>101.*)</w:t>
            </w: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769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line="250"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Company has determined that (i) the omitted information is not material and (ii) the omitted information would likely cause competitive harm if publicly disclosed</w:t>
      </w:r>
    </w:p>
    <w:p>
      <w:pPr>
        <w:spacing w:after="0" w:line="1"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FibroGen, Inc.</w:t>
            </w:r>
          </w:p>
        </w:tc>
        <w:tc>
          <w:tcPr>
            <w:tcW w:w="4240" w:type="dxa"/>
            <w:vAlign w:val="bottom"/>
          </w:tcPr>
          <w:p>
            <w:pPr>
              <w:spacing w:after="0"/>
              <w:rPr>
                <w:sz w:val="17"/>
                <w:szCs w:val="17"/>
                <w:color w:val="auto"/>
              </w:rPr>
            </w:pPr>
          </w:p>
        </w:tc>
      </w:tr>
      <w:tr>
        <w:trPr>
          <w:trHeight w:val="479"/>
        </w:trPr>
        <w:tc>
          <w:tcPr>
            <w:tcW w:w="3560" w:type="dxa"/>
            <w:vAlign w:val="bottom"/>
          </w:tcPr>
          <w:p>
            <w:pPr>
              <w:spacing w:after="0"/>
              <w:rPr>
                <w:sz w:val="20"/>
                <w:szCs w:val="20"/>
                <w:color w:val="auto"/>
              </w:rPr>
            </w:pPr>
            <w:r>
              <w:rPr>
                <w:rFonts w:ascii="Arial" w:cs="Arial" w:eastAsia="Arial" w:hAnsi="Arial"/>
                <w:sz w:val="18"/>
                <w:szCs w:val="18"/>
                <w:color w:val="auto"/>
              </w:rPr>
              <w:t>Dated: May 10, 2021</w:t>
            </w:r>
          </w:p>
        </w:tc>
        <w:tc>
          <w:tcPr>
            <w:tcW w:w="230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Enrique Conterno</w:t>
            </w:r>
          </w:p>
        </w:tc>
      </w:tr>
      <w:tr>
        <w:trPr>
          <w:trHeight w:val="195"/>
        </w:trPr>
        <w:tc>
          <w:tcPr>
            <w:tcW w:w="3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May 10, 2021</w:t>
            </w:r>
          </w:p>
        </w:tc>
        <w:tc>
          <w:tcPr>
            <w:tcW w:w="230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560" w:type="dxa"/>
            <w:vAlign w:val="bottom"/>
          </w:tcPr>
          <w:p>
            <w:pPr>
              <w:spacing w:after="0"/>
              <w:rPr>
                <w:sz w:val="24"/>
                <w:szCs w:val="24"/>
                <w:color w:val="auto"/>
              </w:rPr>
            </w:pP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5" w:name="page86"/>
    <w:bookmarkEnd w:id="85"/>
    <w:p>
      <w:pPr>
        <w:ind w:left="10120"/>
        <w:spacing w:after="0"/>
        <w:rPr>
          <w:sz w:val="20"/>
          <w:szCs w:val="20"/>
          <w:color w:val="auto"/>
        </w:rPr>
      </w:pPr>
      <w:r>
        <w:rPr>
          <w:rFonts w:ascii="Arial" w:cs="Arial" w:eastAsia="Arial" w:hAnsi="Arial"/>
          <w:sz w:val="19"/>
          <w:szCs w:val="19"/>
          <w:b w:val="1"/>
          <w:bCs w:val="1"/>
          <w:color w:val="auto"/>
        </w:rPr>
        <w:t>Exhibit 10.1</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November 27,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K. Peony Yu</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Transition, Separation, and Consulting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Peony:</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letter sets forth the terms of the transition, separation, and consulting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you and FibroGen,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have agreed in the context of your employment transition.</w:t>
      </w:r>
    </w:p>
    <w:p>
      <w:pPr>
        <w:spacing w:after="0" w:line="196" w:lineRule="exact"/>
        <w:rPr>
          <w:sz w:val="20"/>
          <w:szCs w:val="20"/>
          <w:color w:val="auto"/>
        </w:rPr>
      </w:pPr>
    </w:p>
    <w:p>
      <w:pPr>
        <w:jc w:val="both"/>
        <w:ind w:firstLine="872"/>
        <w:spacing w:after="0" w:line="236" w:lineRule="auto"/>
        <w:tabs>
          <w:tab w:leader="none" w:pos="167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EPARATION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22"/>
          <w:szCs w:val="22"/>
          <w:color w:val="auto"/>
        </w:rPr>
        <w:t>. Subject to the terms and conditions of this Agreement, your employment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will continue through March 15, 2021, which will become your employment termination date (the “</w:t>
      </w:r>
      <w:r>
        <w:rPr>
          <w:rFonts w:ascii="Arial" w:cs="Arial" w:eastAsia="Arial" w:hAnsi="Arial"/>
          <w:sz w:val="22"/>
          <w:szCs w:val="22"/>
          <w:b w:val="1"/>
          <w:bCs w:val="1"/>
          <w:i w:val="1"/>
          <w:iCs w:val="1"/>
          <w:color w:val="auto"/>
        </w:rPr>
        <w:t>Separation Date</w:t>
      </w:r>
      <w:r>
        <w:rPr>
          <w:rFonts w:ascii="Arial" w:cs="Arial" w:eastAsia="Arial" w:hAnsi="Arial"/>
          <w:sz w:val="22"/>
          <w:szCs w:val="22"/>
          <w:color w:val="auto"/>
        </w:rPr>
        <w:t>”), unless your employment terminates sooner pursuant to Paragraph 2(c) below. If termination occurs earlier or later than March 15, 2021, the actual date of termination shall become the “</w:t>
      </w:r>
      <w:r>
        <w:rPr>
          <w:rFonts w:ascii="Arial" w:cs="Arial" w:eastAsia="Arial" w:hAnsi="Arial"/>
          <w:sz w:val="22"/>
          <w:szCs w:val="22"/>
          <w:b w:val="1"/>
          <w:bCs w:val="1"/>
          <w:i w:val="1"/>
          <w:iCs w:val="1"/>
          <w:color w:val="auto"/>
        </w:rPr>
        <w:t>Separation Date</w:t>
      </w:r>
      <w:r>
        <w:rPr>
          <w:rFonts w:ascii="Arial" w:cs="Arial" w:eastAsia="Arial" w:hAnsi="Arial"/>
          <w:sz w:val="22"/>
          <w:szCs w:val="22"/>
          <w:color w:val="auto"/>
        </w:rPr>
        <w:t>” for purposes of this Agreement. If you do not accept this offer by signing this Agreement, then your employment will terminate on the date that is twenty-one (21) days after the date of this letter Agreement.</w:t>
      </w:r>
    </w:p>
    <w:p>
      <w:pPr>
        <w:spacing w:after="0" w:line="181" w:lineRule="exact"/>
        <w:rPr>
          <w:rFonts w:ascii="Arial" w:cs="Arial" w:eastAsia="Arial" w:hAnsi="Arial"/>
          <w:sz w:val="22"/>
          <w:szCs w:val="22"/>
          <w:b w:val="1"/>
          <w:bCs w:val="1"/>
          <w:color w:val="auto"/>
        </w:rPr>
      </w:pPr>
    </w:p>
    <w:p>
      <w:pPr>
        <w:ind w:left="1680" w:hanging="808"/>
        <w:spacing w:after="0"/>
        <w:tabs>
          <w:tab w:leader="none" w:pos="168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RANSITION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73" w:lineRule="auto"/>
        <w:tabs>
          <w:tab w:leader="none" w:pos="2537" w:val="left"/>
        </w:tabs>
        <w:numPr>
          <w:ilvl w:val="1"/>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and Duties. </w:t>
      </w:r>
      <w:r>
        <w:rPr>
          <w:rFonts w:ascii="Arial" w:cs="Arial" w:eastAsia="Arial" w:hAnsi="Arial"/>
          <w:sz w:val="19"/>
          <w:szCs w:val="19"/>
          <w:color w:val="auto"/>
        </w:rPr>
        <w:t>You will retain the title of Chief Medical Officer until December 20, 2020, and;</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from December 21, 2020 until the Separation Date(such period, the “</w:t>
      </w:r>
      <w:r>
        <w:rPr>
          <w:rFonts w:ascii="Arial" w:cs="Arial" w:eastAsia="Arial" w:hAnsi="Arial"/>
          <w:sz w:val="19"/>
          <w:szCs w:val="19"/>
          <w:b w:val="1"/>
          <w:bCs w:val="1"/>
          <w:i w:val="1"/>
          <w:iCs w:val="1"/>
          <w:color w:val="auto"/>
        </w:rPr>
        <w:t>Transition Period</w:t>
      </w:r>
      <w:r>
        <w:rPr>
          <w:rFonts w:ascii="Arial" w:cs="Arial" w:eastAsia="Arial" w:hAnsi="Arial"/>
          <w:sz w:val="19"/>
          <w:szCs w:val="19"/>
          <w:color w:val="auto"/>
        </w:rPr>
        <w:t>”), your title will be Executive Advisor to the CEO, and you will no longer perform your regular duties except for duties agreed with the CEO, and will instead be required to provide transition briefing on matters for which you are knowledgeable, assistance with transitioning your regular duties and responsibilities, and other tasks as requested by the Company from time to time. You acknowledge and agree that the change in your duties during the Transition Period will not constitute Good Reason for your resignation pursuant to Section 9(c) of the Change in Control and Severance Agreement entered into between you and the Company dated December 9, 2019 (the “</w:t>
      </w:r>
      <w:r>
        <w:rPr>
          <w:rFonts w:ascii="Arial" w:cs="Arial" w:eastAsia="Arial" w:hAnsi="Arial"/>
          <w:sz w:val="19"/>
          <w:szCs w:val="19"/>
          <w:b w:val="1"/>
          <w:bCs w:val="1"/>
          <w:i w:val="1"/>
          <w:iCs w:val="1"/>
          <w:color w:val="auto"/>
        </w:rPr>
        <w:t>Severance Agreement</w:t>
      </w:r>
      <w:r>
        <w:rPr>
          <w:rFonts w:ascii="Arial" w:cs="Arial" w:eastAsia="Arial" w:hAnsi="Arial"/>
          <w:sz w:val="19"/>
          <w:szCs w:val="19"/>
          <w:color w:val="auto"/>
        </w:rPr>
        <w:t xml:space="preserve">”). You agree to perform your Transition Period services in good faith and to the best of your abilities. You must continue to comply with all of the Company’s policies and procedures and with all of your statutory and contractual obligations to the Company, including, without limitation, your obligations under your Confidential Information, Secrecy and Inventions Agreement (a copy of which is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which you acknowledge and agree are contractual commitments that remain binding upon you both during and after the Transition Period.</w:t>
      </w:r>
    </w:p>
    <w:p>
      <w:pPr>
        <w:spacing w:after="0" w:line="149" w:lineRule="exact"/>
        <w:rPr>
          <w:rFonts w:ascii="Arial" w:cs="Arial" w:eastAsia="Arial" w:hAnsi="Arial"/>
          <w:sz w:val="19"/>
          <w:szCs w:val="19"/>
          <w:b w:val="1"/>
          <w:bCs w:val="1"/>
          <w:color w:val="auto"/>
        </w:rPr>
      </w:pPr>
    </w:p>
    <w:p>
      <w:pPr>
        <w:jc w:val="both"/>
        <w:ind w:firstLine="1735"/>
        <w:spacing w:after="0" w:line="239" w:lineRule="auto"/>
        <w:tabs>
          <w:tab w:leader="none" w:pos="2549"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Compensation/Benefits. </w:t>
      </w:r>
      <w:r>
        <w:rPr>
          <w:rFonts w:ascii="Arial" w:cs="Arial" w:eastAsia="Arial" w:hAnsi="Arial"/>
          <w:sz w:val="22"/>
          <w:szCs w:val="22"/>
          <w:color w:val="auto"/>
        </w:rPr>
        <w:t>During the Transition Period, your base salary will remain the same, and</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continue to be eligible for the Company’s standard benefits, subject to the terms and conditions applicable to such plans and programs as an employee. Your Company equity awards will continue to vest under the existing terms and conditions set forth in the governing plan documents and option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6" w:name="page87"/>
    <w:bookmarkEnd w:id="86"/>
    <w:p>
      <w:pPr>
        <w:jc w:val="both"/>
        <w:ind w:firstLine="1735"/>
        <w:spacing w:after="0" w:line="275" w:lineRule="auto"/>
        <w:tabs>
          <w:tab w:leader="none" w:pos="2620" w:val="left"/>
        </w:tabs>
        <w:numPr>
          <w:ilvl w:val="1"/>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Nothing in this Agreement alters your employment at will status. Accordingly,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during the Transition Period you are entitled to resign your employment with or without Good Reason and with or without or advance notice, and the Company may terminate your employment with or without Cause (as defined below) or advance notice. If prior to March 15, 2021, the Company terminates your employment without Cause, then you will remain eligible for the Severance Benefits (as defined and described below),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you have satisfied the conditions for receipt of the Severance Benefits (as set forth below). If prior to March 15, 2021, you resign your employment without Good Reason (as defined in Section 9(c) of the Severance Agreement) or the Company terminates your employment with Cause, then you will no longer be eligible for participation in any Company benefit plans, and you will not be entitled to the Severance Benefits and the Company will not engage you as a consultant pursuant to Section 5, below.</w:t>
      </w:r>
    </w:p>
    <w:p>
      <w:pPr>
        <w:spacing w:after="0" w:line="176" w:lineRule="exact"/>
        <w:rPr>
          <w:rFonts w:ascii="Arial" w:cs="Arial" w:eastAsia="Arial" w:hAnsi="Arial"/>
          <w:sz w:val="19"/>
          <w:szCs w:val="19"/>
          <w:b w:val="1"/>
          <w:bCs w:val="1"/>
          <w:color w:val="auto"/>
        </w:rPr>
      </w:pPr>
    </w:p>
    <w:p>
      <w:pPr>
        <w:ind w:left="2560" w:hanging="825"/>
        <w:spacing w:after="0"/>
        <w:tabs>
          <w:tab w:leader="none" w:pos="2560" w:val="left"/>
        </w:tabs>
        <w:numPr>
          <w:ilvl w:val="1"/>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Cause.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will mean any one</w:t>
      </w:r>
    </w:p>
    <w:p>
      <w:pPr>
        <w:spacing w:after="0" w:line="48" w:lineRule="exact"/>
        <w:rPr>
          <w:rFonts w:ascii="Arial" w:cs="Arial" w:eastAsia="Arial" w:hAnsi="Arial"/>
          <w:sz w:val="19"/>
          <w:szCs w:val="19"/>
          <w:b w:val="1"/>
          <w:bCs w:val="1"/>
          <w:color w:val="auto"/>
        </w:rPr>
      </w:pPr>
    </w:p>
    <w:p>
      <w:pPr>
        <w:jc w:val="both"/>
        <w:spacing w:after="0" w:line="244" w:lineRule="auto"/>
        <w:rPr>
          <w:rFonts w:ascii="Arial" w:cs="Arial" w:eastAsia="Arial" w:hAnsi="Arial"/>
          <w:sz w:val="19"/>
          <w:szCs w:val="19"/>
          <w:b w:val="1"/>
          <w:bCs w:val="1"/>
          <w:color w:val="auto"/>
        </w:rPr>
      </w:pPr>
      <w:r>
        <w:rPr>
          <w:rFonts w:ascii="Arial" w:cs="Arial" w:eastAsia="Arial" w:hAnsi="Arial"/>
          <w:sz w:val="21"/>
          <w:szCs w:val="21"/>
          <w:color w:val="auto"/>
        </w:rPr>
        <w:t>or more of the following: (i) your willful failure to substantially perform your duties and responsibilities to the Company or deliberate violation of a Company policy; (ii) your commission of any act of fraud, embezzlement, dishonesty or any other willful misconduct that has caused or is reasonably expected to result in material injury to the Company; (iii) unauthorized use or disclosure by you of any proprietary information or trade secrets of the Company or any other party to whom you owe an obligation of nondisclosure as a result of your relationship with the Company; or (iv) your willful breach of any of your obligations under any written agreement or covenant with the Company.</w:t>
      </w:r>
    </w:p>
    <w:p>
      <w:pPr>
        <w:spacing w:after="0" w:line="203" w:lineRule="exact"/>
        <w:rPr>
          <w:rFonts w:ascii="Arial" w:cs="Arial" w:eastAsia="Arial" w:hAnsi="Arial"/>
          <w:sz w:val="19"/>
          <w:szCs w:val="19"/>
          <w:b w:val="1"/>
          <w:bCs w:val="1"/>
          <w:color w:val="auto"/>
        </w:rPr>
      </w:pPr>
    </w:p>
    <w:p>
      <w:pPr>
        <w:jc w:val="both"/>
        <w:ind w:firstLine="872"/>
        <w:spacing w:after="0" w:line="243" w:lineRule="auto"/>
        <w:tabs>
          <w:tab w:leader="none" w:pos="1674"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CCRUED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ALARY</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ACATION</w:t>
      </w:r>
      <w:r>
        <w:rPr>
          <w:rFonts w:ascii="Arial" w:cs="Arial" w:eastAsia="Arial" w:hAnsi="Arial"/>
          <w:sz w:val="22"/>
          <w:szCs w:val="22"/>
          <w:b w:val="1"/>
          <w:bCs w:val="1"/>
          <w:color w:val="auto"/>
        </w:rPr>
        <w:t xml:space="preserve">. </w:t>
      </w:r>
      <w:r>
        <w:rPr>
          <w:rFonts w:ascii="Arial" w:cs="Arial" w:eastAsia="Arial" w:hAnsi="Arial"/>
          <w:sz w:val="22"/>
          <w:szCs w:val="22"/>
          <w:color w:val="auto"/>
        </w:rPr>
        <w:t>On the Separation Date, the Company will pay you all accrued salary and</w:t>
      </w:r>
      <w:r>
        <w:rPr>
          <w:rFonts w:ascii="Arial" w:cs="Arial" w:eastAsia="Arial" w:hAnsi="Arial"/>
          <w:sz w:val="22"/>
          <w:szCs w:val="22"/>
          <w:b w:val="1"/>
          <w:bCs w:val="1"/>
          <w:color w:val="auto"/>
        </w:rPr>
        <w:t xml:space="preserve"> </w:t>
      </w:r>
      <w:r>
        <w:rPr>
          <w:rFonts w:ascii="Arial" w:cs="Arial" w:eastAsia="Arial" w:hAnsi="Arial"/>
          <w:sz w:val="22"/>
          <w:szCs w:val="22"/>
          <w:color w:val="auto"/>
        </w:rPr>
        <w:t>accrued but unused vacation, if any, earned through the last day of your employment, subject to standard payroll deductions and withholdings.</w:t>
      </w:r>
    </w:p>
    <w:p>
      <w:pPr>
        <w:spacing w:after="0" w:line="176" w:lineRule="exact"/>
        <w:rPr>
          <w:rFonts w:ascii="Arial" w:cs="Arial" w:eastAsia="Arial" w:hAnsi="Arial"/>
          <w:sz w:val="22"/>
          <w:szCs w:val="22"/>
          <w:b w:val="1"/>
          <w:bCs w:val="1"/>
          <w:color w:val="auto"/>
        </w:rPr>
      </w:pPr>
    </w:p>
    <w:p>
      <w:pPr>
        <w:jc w:val="both"/>
        <w:ind w:firstLine="872"/>
        <w:spacing w:after="0" w:line="280" w:lineRule="auto"/>
        <w:tabs>
          <w:tab w:leader="none" w:pos="1674"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S</w:t>
      </w:r>
      <w:r>
        <w:rPr>
          <w:rFonts w:ascii="Arial" w:cs="Arial" w:eastAsia="Arial" w:hAnsi="Arial"/>
          <w:sz w:val="13"/>
          <w:szCs w:val="13"/>
          <w:b w:val="1"/>
          <w:bCs w:val="1"/>
          <w:color w:val="auto"/>
        </w:rPr>
        <w:t>EVERANCE</w:t>
      </w:r>
      <w:r>
        <w:rPr>
          <w:rFonts w:ascii="Arial" w:cs="Arial" w:eastAsia="Arial" w:hAnsi="Arial"/>
          <w:sz w:val="19"/>
          <w:szCs w:val="19"/>
          <w:b w:val="1"/>
          <w:bCs w:val="1"/>
          <w:color w:val="auto"/>
        </w:rPr>
        <w:t xml:space="preserve"> B</w:t>
      </w:r>
      <w:r>
        <w:rPr>
          <w:rFonts w:ascii="Arial" w:cs="Arial" w:eastAsia="Arial" w:hAnsi="Arial"/>
          <w:sz w:val="13"/>
          <w:szCs w:val="13"/>
          <w:b w:val="1"/>
          <w:bCs w:val="1"/>
          <w:color w:val="auto"/>
        </w:rPr>
        <w:t>ENEFITS</w:t>
      </w:r>
      <w:r>
        <w:rPr>
          <w:rFonts w:ascii="Arial" w:cs="Arial" w:eastAsia="Arial" w:hAnsi="Arial"/>
          <w:sz w:val="19"/>
          <w:szCs w:val="19"/>
          <w:b w:val="1"/>
          <w:bCs w:val="1"/>
          <w:color w:val="auto"/>
        </w:rPr>
        <w:t xml:space="preserve">. </w:t>
      </w:r>
      <w:r>
        <w:rPr>
          <w:rFonts w:ascii="Arial" w:cs="Arial" w:eastAsia="Arial" w:hAnsi="Arial"/>
          <w:sz w:val="19"/>
          <w:szCs w:val="19"/>
          <w:color w:val="auto"/>
        </w:rPr>
        <w:t>In full satisfaction of any obligation for the Company to provide you with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benefits pursuant to the Severance Agreement, if you: (i) allow the releases contained herein to become effective; (ii) comply fully with your obligations hereunder (including without limitation satisfactorily transitioning your duties during the Transition Period); and (iii) within twenty-one (21) days after the Separation Date, execute and return to the Company the release of claims in the form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Separation Date Release</w:t>
      </w:r>
      <w:r>
        <w:rPr>
          <w:rFonts w:ascii="Arial" w:cs="Arial" w:eastAsia="Arial" w:hAnsi="Arial"/>
          <w:sz w:val="19"/>
          <w:szCs w:val="19"/>
          <w:color w:val="auto"/>
        </w:rPr>
        <w:t>”) and allow the Separation Date Release to become effective, then the Company will provide you with the following as your sole severance benefits (the “</w:t>
      </w:r>
      <w:r>
        <w:rPr>
          <w:rFonts w:ascii="Arial" w:cs="Arial" w:eastAsia="Arial" w:hAnsi="Arial"/>
          <w:sz w:val="19"/>
          <w:szCs w:val="19"/>
          <w:b w:val="1"/>
          <w:bCs w:val="1"/>
          <w:i w:val="1"/>
          <w:iCs w:val="1"/>
          <w:color w:val="auto"/>
        </w:rPr>
        <w:t>Severance Benefits</w:t>
      </w:r>
      <w:r>
        <w:rPr>
          <w:rFonts w:ascii="Arial" w:cs="Arial" w:eastAsia="Arial" w:hAnsi="Arial"/>
          <w:sz w:val="19"/>
          <w:szCs w:val="19"/>
          <w:color w:val="auto"/>
        </w:rPr>
        <w:t>”):</w:t>
      </w:r>
    </w:p>
    <w:p>
      <w:pPr>
        <w:spacing w:after="0" w:line="144" w:lineRule="exact"/>
        <w:rPr>
          <w:rFonts w:ascii="Arial" w:cs="Arial" w:eastAsia="Arial" w:hAnsi="Arial"/>
          <w:sz w:val="19"/>
          <w:szCs w:val="19"/>
          <w:b w:val="1"/>
          <w:bCs w:val="1"/>
          <w:color w:val="auto"/>
        </w:rPr>
      </w:pPr>
    </w:p>
    <w:p>
      <w:pPr>
        <w:jc w:val="both"/>
        <w:ind w:firstLine="1735"/>
        <w:spacing w:after="0" w:line="283" w:lineRule="auto"/>
        <w:tabs>
          <w:tab w:leader="none" w:pos="2537"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Severance Pay. </w:t>
      </w:r>
      <w:r>
        <w:rPr>
          <w:rFonts w:ascii="Arial" w:cs="Arial" w:eastAsia="Arial" w:hAnsi="Arial"/>
          <w:sz w:val="19"/>
          <w:szCs w:val="19"/>
          <w:color w:val="auto"/>
        </w:rPr>
        <w:t>The Company will pay you, as severance, the equivalent of twelve (12) months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base salary in effect as of the Separation Date (the “</w:t>
      </w:r>
      <w:r>
        <w:rPr>
          <w:rFonts w:ascii="Arial" w:cs="Arial" w:eastAsia="Arial" w:hAnsi="Arial"/>
          <w:sz w:val="19"/>
          <w:szCs w:val="19"/>
          <w:b w:val="1"/>
          <w:bCs w:val="1"/>
          <w:i w:val="1"/>
          <w:iCs w:val="1"/>
          <w:color w:val="auto"/>
        </w:rPr>
        <w:t>Severance Payment</w:t>
      </w:r>
      <w:r>
        <w:rPr>
          <w:rFonts w:ascii="Arial" w:cs="Arial" w:eastAsia="Arial" w:hAnsi="Arial"/>
          <w:sz w:val="19"/>
          <w:szCs w:val="19"/>
          <w:color w:val="auto"/>
        </w:rPr>
        <w:t>”). The Severance Payment will be paid in the form of salary continuation payments on the Company’s regular payroll schedule, subject to standard payroll deductions and withholdings, with the first salary continuation payment being made on or before the Company’s second regularly scheduled payroll pay date that is after the Separation Date Release Effective Date (as defined in the Separation Date Release).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7" w:name="page88"/>
    <w:bookmarkEnd w:id="87"/>
    <w:p>
      <w:pPr>
        <w:ind w:left="2560" w:hanging="825"/>
        <w:spacing w:after="0"/>
        <w:tabs>
          <w:tab w:leader="none" w:pos="2560"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Health Insurance.</w:t>
      </w:r>
    </w:p>
    <w:p>
      <w:pPr>
        <w:spacing w:after="0" w:line="219" w:lineRule="exact"/>
        <w:rPr>
          <w:rFonts w:ascii="Arial" w:cs="Arial" w:eastAsia="Arial" w:hAnsi="Arial"/>
          <w:sz w:val="22"/>
          <w:szCs w:val="22"/>
          <w:b w:val="1"/>
          <w:bCs w:val="1"/>
          <w:color w:val="auto"/>
        </w:rPr>
      </w:pPr>
    </w:p>
    <w:p>
      <w:pPr>
        <w:jc w:val="both"/>
        <w:ind w:firstLine="2600"/>
        <w:spacing w:after="0" w:line="239" w:lineRule="auto"/>
        <w:tabs>
          <w:tab w:leader="none" w:pos="3461" w:val="left"/>
        </w:tabs>
        <w:numPr>
          <w:ilvl w:val="2"/>
          <w:numId w:val="69"/>
        </w:numPr>
        <w:rPr>
          <w:rFonts w:ascii="Arial" w:cs="Arial" w:eastAsia="Arial" w:hAnsi="Arial"/>
          <w:sz w:val="23"/>
          <w:szCs w:val="23"/>
          <w:b w:val="1"/>
          <w:bCs w:val="1"/>
          <w:color w:val="auto"/>
        </w:rPr>
      </w:pPr>
      <w:r>
        <w:rPr>
          <w:rFonts w:ascii="Arial" w:cs="Arial" w:eastAsia="Arial" w:hAnsi="Arial"/>
          <w:sz w:val="22"/>
          <w:szCs w:val="22"/>
          <w:b w:val="1"/>
          <w:bCs w:val="1"/>
          <w:color w:val="auto"/>
        </w:rPr>
        <w:t xml:space="preserve">COBRA. </w:t>
      </w:r>
      <w:r>
        <w:rPr>
          <w:rFonts w:ascii="Arial" w:cs="Arial" w:eastAsia="Arial" w:hAnsi="Arial"/>
          <w:sz w:val="22"/>
          <w:szCs w:val="22"/>
          <w:color w:val="auto"/>
        </w:rPr>
        <w:t>To the extent provided by the federal COBRA law or, if applicable, state</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laws (collectively, “</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and by the Company’s current group health insurance policies, you will be eligible to continue your group health insurance benefits at your own expense. You will be provided with a separate notice describing your rights and obligations under COBRA laws on or after the Separation Date.</w:t>
      </w:r>
    </w:p>
    <w:p>
      <w:pPr>
        <w:spacing w:after="0" w:line="195" w:lineRule="exact"/>
        <w:rPr>
          <w:rFonts w:ascii="Arial" w:cs="Arial" w:eastAsia="Arial" w:hAnsi="Arial"/>
          <w:sz w:val="23"/>
          <w:szCs w:val="23"/>
          <w:b w:val="1"/>
          <w:bCs w:val="1"/>
          <w:color w:val="auto"/>
        </w:rPr>
      </w:pPr>
    </w:p>
    <w:p>
      <w:pPr>
        <w:jc w:val="both"/>
        <w:ind w:firstLine="2600"/>
        <w:spacing w:after="0" w:line="235" w:lineRule="auto"/>
        <w:tabs>
          <w:tab w:leader="none" w:pos="3526" w:val="left"/>
        </w:tabs>
        <w:numPr>
          <w:ilvl w:val="2"/>
          <w:numId w:val="69"/>
        </w:numPr>
        <w:rPr>
          <w:rFonts w:ascii="Arial" w:cs="Arial" w:eastAsia="Arial" w:hAnsi="Arial"/>
          <w:sz w:val="23"/>
          <w:szCs w:val="23"/>
          <w:b w:val="1"/>
          <w:bCs w:val="1"/>
          <w:color w:val="auto"/>
        </w:rPr>
      </w:pPr>
      <w:r>
        <w:rPr>
          <w:rFonts w:ascii="Arial" w:cs="Arial" w:eastAsia="Arial" w:hAnsi="Arial"/>
          <w:sz w:val="22"/>
          <w:szCs w:val="22"/>
          <w:b w:val="1"/>
          <w:bCs w:val="1"/>
          <w:color w:val="auto"/>
        </w:rPr>
        <w:t>COBRA Premiums</w:t>
      </w:r>
      <w:r>
        <w:rPr>
          <w:rFonts w:ascii="Arial" w:cs="Arial" w:eastAsia="Arial" w:hAnsi="Arial"/>
          <w:sz w:val="22"/>
          <w:szCs w:val="22"/>
          <w:color w:val="auto"/>
        </w:rPr>
        <w:t>. If you timely elect continued coverage under COBRA,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will pay your COBRA premiums to continue your coverage (including coverage for eligible dependents, if applicable) (“</w:t>
      </w:r>
      <w:r>
        <w:rPr>
          <w:rFonts w:ascii="Arial" w:cs="Arial" w:eastAsia="Arial" w:hAnsi="Arial"/>
          <w:sz w:val="22"/>
          <w:szCs w:val="22"/>
          <w:b w:val="1"/>
          <w:bCs w:val="1"/>
          <w:i w:val="1"/>
          <w:iCs w:val="1"/>
          <w:color w:val="auto"/>
        </w:rPr>
        <w:t>COBRA Premiums</w:t>
      </w:r>
      <w:r>
        <w:rPr>
          <w:rFonts w:ascii="Arial" w:cs="Arial" w:eastAsia="Arial" w:hAnsi="Arial"/>
          <w:sz w:val="22"/>
          <w:szCs w:val="22"/>
          <w:color w:val="auto"/>
        </w:rPr>
        <w:t>”) through the period (the “</w:t>
      </w:r>
      <w:r>
        <w:rPr>
          <w:rFonts w:ascii="Arial" w:cs="Arial" w:eastAsia="Arial" w:hAnsi="Arial"/>
          <w:sz w:val="22"/>
          <w:szCs w:val="22"/>
          <w:b w:val="1"/>
          <w:bCs w:val="1"/>
          <w:i w:val="1"/>
          <w:iCs w:val="1"/>
          <w:color w:val="auto"/>
        </w:rPr>
        <w:t>COBRA Premium Period</w:t>
      </w:r>
      <w:r>
        <w:rPr>
          <w:rFonts w:ascii="Arial" w:cs="Arial" w:eastAsia="Arial" w:hAnsi="Arial"/>
          <w:sz w:val="22"/>
          <w:szCs w:val="22"/>
          <w:color w:val="auto"/>
        </w:rPr>
        <w:t>”) starting on the Separation Date and ending on the earliest to occur of: (i) the date that is twelve (12) months following the Separation Date; (ii) the date 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in writing of such event.</w:t>
      </w:r>
    </w:p>
    <w:p>
      <w:pPr>
        <w:spacing w:after="0" w:line="194" w:lineRule="exact"/>
        <w:rPr>
          <w:rFonts w:ascii="Arial" w:cs="Arial" w:eastAsia="Arial" w:hAnsi="Arial"/>
          <w:sz w:val="23"/>
          <w:szCs w:val="23"/>
          <w:b w:val="1"/>
          <w:bCs w:val="1"/>
          <w:color w:val="auto"/>
        </w:rPr>
      </w:pPr>
    </w:p>
    <w:p>
      <w:pPr>
        <w:jc w:val="both"/>
        <w:ind w:firstLine="2600"/>
        <w:spacing w:after="0" w:line="273" w:lineRule="auto"/>
        <w:tabs>
          <w:tab w:leader="none" w:pos="3591" w:val="left"/>
        </w:tabs>
        <w:numPr>
          <w:ilvl w:val="2"/>
          <w:numId w:val="69"/>
        </w:numPr>
        <w:rPr>
          <w:rFonts w:ascii="Arial" w:cs="Arial" w:eastAsia="Arial" w:hAnsi="Arial"/>
          <w:sz w:val="20"/>
          <w:szCs w:val="20"/>
          <w:b w:val="1"/>
          <w:bCs w:val="1"/>
          <w:color w:val="auto"/>
        </w:rPr>
      </w:pPr>
      <w:r>
        <w:rPr>
          <w:rFonts w:ascii="Arial" w:cs="Arial" w:eastAsia="Arial" w:hAnsi="Arial"/>
          <w:sz w:val="19"/>
          <w:szCs w:val="19"/>
          <w:b w:val="1"/>
          <w:bCs w:val="1"/>
          <w:color w:val="auto"/>
        </w:rPr>
        <w:t>Special Cash Payments in Lieu of COBRA Premiums</w:t>
      </w:r>
      <w:r>
        <w:rPr>
          <w:rFonts w:ascii="Arial" w:cs="Arial" w:eastAsia="Arial" w:hAnsi="Arial"/>
          <w:sz w:val="19"/>
          <w:szCs w:val="19"/>
          <w:color w:val="auto"/>
        </w:rPr>
        <w:t>.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(such amount, the “</w:t>
      </w:r>
      <w:r>
        <w:rPr>
          <w:rFonts w:ascii="Arial" w:cs="Arial" w:eastAsia="Arial" w:hAnsi="Arial"/>
          <w:sz w:val="19"/>
          <w:szCs w:val="19"/>
          <w:b w:val="1"/>
          <w:bCs w:val="1"/>
          <w:i w:val="1"/>
          <w:iCs w:val="1"/>
          <w:color w:val="auto"/>
        </w:rPr>
        <w:t>Special Cash Payment</w:t>
      </w:r>
      <w:r>
        <w:rPr>
          <w:rFonts w:ascii="Arial" w:cs="Arial" w:eastAsia="Arial" w:hAnsi="Arial"/>
          <w:sz w:val="19"/>
          <w:szCs w:val="19"/>
          <w:color w:val="auto"/>
        </w:rPr>
        <w:t>”), for the remainder of the COBRA Premium Period. You may, but are not obligated to, use such Special Cash Payments toward the cost of COBRA premiums. On the thirtieth (30</w:t>
      </w:r>
      <w:r>
        <w:rPr>
          <w:rFonts w:ascii="Arial" w:cs="Arial" w:eastAsia="Arial" w:hAnsi="Arial"/>
          <w:sz w:val="16"/>
          <w:szCs w:val="16"/>
          <w:color w:val="auto"/>
        </w:rPr>
        <w:t>th</w:t>
      </w:r>
      <w:r>
        <w:rPr>
          <w:rFonts w:ascii="Arial" w:cs="Arial" w:eastAsia="Arial" w:hAnsi="Arial"/>
          <w:sz w:val="19"/>
          <w:szCs w:val="19"/>
          <w:color w:val="auto"/>
        </w:rPr>
        <w:t>) day following your Separation from Service, the Company will make the first payment to you under this paragraph, in a lump sum, equal to the aggregate Special Cash Payments that the Company would have paid to you through such date had the Special Cash Payments commenced on the first day of the first month following the Separation from Service through such thirtieth (30</w:t>
      </w:r>
      <w:r>
        <w:rPr>
          <w:rFonts w:ascii="Arial" w:cs="Arial" w:eastAsia="Arial" w:hAnsi="Arial"/>
          <w:sz w:val="16"/>
          <w:szCs w:val="16"/>
          <w:color w:val="auto"/>
        </w:rPr>
        <w:t>th</w:t>
      </w:r>
      <w:r>
        <w:rPr>
          <w:rFonts w:ascii="Arial" w:cs="Arial" w:eastAsia="Arial" w:hAnsi="Arial"/>
          <w:sz w:val="19"/>
          <w:szCs w:val="19"/>
          <w:color w:val="auto"/>
        </w:rPr>
        <w:t>) day, with the balance of the Special Cash Payments paid thereafter on the schedule described above.</w:t>
      </w:r>
    </w:p>
    <w:p>
      <w:pPr>
        <w:spacing w:after="0" w:line="155" w:lineRule="exact"/>
        <w:rPr>
          <w:rFonts w:ascii="Arial" w:cs="Arial" w:eastAsia="Arial" w:hAnsi="Arial"/>
          <w:sz w:val="20"/>
          <w:szCs w:val="20"/>
          <w:b w:val="1"/>
          <w:bCs w:val="1"/>
          <w:color w:val="auto"/>
        </w:rPr>
      </w:pPr>
    </w:p>
    <w:p>
      <w:pPr>
        <w:jc w:val="both"/>
        <w:ind w:firstLine="1735"/>
        <w:spacing w:after="0" w:line="283" w:lineRule="auto"/>
        <w:tabs>
          <w:tab w:leader="none" w:pos="2525" w:val="left"/>
        </w:tabs>
        <w:numPr>
          <w:ilvl w:val="1"/>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2020 Bonus. </w:t>
      </w:r>
      <w:r>
        <w:rPr>
          <w:rFonts w:ascii="Arial" w:cs="Arial" w:eastAsia="Arial" w:hAnsi="Arial"/>
          <w:sz w:val="19"/>
          <w:szCs w:val="19"/>
          <w:color w:val="auto"/>
        </w:rPr>
        <w:t>The Company will pay you a lump sum cash payment of $459,000.00, less payroll</w:t>
      </w:r>
      <w:r>
        <w:rPr>
          <w:rFonts w:ascii="Arial" w:cs="Arial" w:eastAsia="Arial" w:hAnsi="Arial"/>
          <w:sz w:val="19"/>
          <w:szCs w:val="19"/>
          <w:b w:val="1"/>
          <w:bCs w:val="1"/>
          <w:color w:val="auto"/>
        </w:rPr>
        <w:t xml:space="preserve"> </w:t>
      </w:r>
      <w:r>
        <w:rPr>
          <w:rFonts w:ascii="Arial" w:cs="Arial" w:eastAsia="Arial" w:hAnsi="Arial"/>
          <w:sz w:val="19"/>
          <w:szCs w:val="19"/>
          <w:color w:val="auto"/>
        </w:rPr>
        <w:t>deductions and withholdings, which is equal to 150% of your target bonus amount for 2020 pursuant to the Company’s Bonus Plan (the “</w:t>
      </w:r>
      <w:r>
        <w:rPr>
          <w:rFonts w:ascii="Arial" w:cs="Arial" w:eastAsia="Arial" w:hAnsi="Arial"/>
          <w:sz w:val="19"/>
          <w:szCs w:val="19"/>
          <w:b w:val="1"/>
          <w:bCs w:val="1"/>
          <w:i w:val="1"/>
          <w:iCs w:val="1"/>
          <w:color w:val="auto"/>
        </w:rPr>
        <w:t>Bonus Payment</w:t>
      </w:r>
      <w:r>
        <w:rPr>
          <w:rFonts w:ascii="Arial" w:cs="Arial" w:eastAsia="Arial" w:hAnsi="Arial"/>
          <w:sz w:val="19"/>
          <w:szCs w:val="19"/>
          <w:color w:val="auto"/>
        </w:rPr>
        <w:t>”) in recognition of your contributions. You will not be eligible for any other bonus under the Company’s Bonus Plan other than the Bonus Payment. The Bonus Payment will be paid to you at the same time as first salary continuation payment under Section 4(a) of this Agreement is paid to you, or such earlier time as determined by the Company.</w:t>
      </w:r>
    </w:p>
    <w:p>
      <w:pPr>
        <w:spacing w:after="0" w:line="142" w:lineRule="exact"/>
        <w:rPr>
          <w:rFonts w:ascii="Arial" w:cs="Arial" w:eastAsia="Arial" w:hAnsi="Arial"/>
          <w:sz w:val="19"/>
          <w:szCs w:val="19"/>
          <w:b w:val="1"/>
          <w:bCs w:val="1"/>
          <w:color w:val="auto"/>
        </w:rPr>
      </w:pPr>
    </w:p>
    <w:p>
      <w:pPr>
        <w:jc w:val="both"/>
        <w:ind w:firstLine="872"/>
        <w:spacing w:after="0" w:line="279" w:lineRule="auto"/>
        <w:tabs>
          <w:tab w:leader="none" w:pos="1674"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ONSULTING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If you: (i) allow the releases contained in this Agreement to become effective; (ii)</w:t>
      </w:r>
      <w:r>
        <w:rPr>
          <w:rFonts w:ascii="Arial" w:cs="Arial" w:eastAsia="Arial" w:hAnsi="Arial"/>
          <w:sz w:val="20"/>
          <w:szCs w:val="20"/>
          <w:b w:val="1"/>
          <w:bCs w:val="1"/>
          <w:color w:val="auto"/>
        </w:rPr>
        <w:t xml:space="preserve"> </w:t>
      </w:r>
      <w:r>
        <w:rPr>
          <w:rFonts w:ascii="Arial" w:cs="Arial" w:eastAsia="Arial" w:hAnsi="Arial"/>
          <w:sz w:val="20"/>
          <w:szCs w:val="20"/>
          <w:color w:val="auto"/>
        </w:rPr>
        <w:t>comply fully with your obligations hereunder (including without limitation satisfactorily transitioning your duties during the Transition Period); and (iii) within twenty-one (21) days after the Separation Date, execute and return to the Company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8" w:name="page89"/>
    <w:bookmarkEnd w:id="88"/>
    <w:p>
      <w:pPr>
        <w:spacing w:after="0" w:line="250" w:lineRule="auto"/>
        <w:rPr>
          <w:sz w:val="20"/>
          <w:szCs w:val="20"/>
          <w:color w:val="auto"/>
        </w:rPr>
      </w:pPr>
      <w:r>
        <w:rPr>
          <w:rFonts w:ascii="Arial" w:cs="Arial" w:eastAsia="Arial" w:hAnsi="Arial"/>
          <w:sz w:val="22"/>
          <w:szCs w:val="22"/>
          <w:color w:val="auto"/>
        </w:rPr>
        <w:t>Separation Date Release and allow the Separation Date Release to become effective, then the Company will engage you as a consultant under the terms set forth below.</w:t>
      </w:r>
    </w:p>
    <w:p>
      <w:pPr>
        <w:spacing w:after="0" w:line="169" w:lineRule="exact"/>
        <w:rPr>
          <w:sz w:val="20"/>
          <w:szCs w:val="20"/>
          <w:color w:val="auto"/>
        </w:rPr>
      </w:pPr>
    </w:p>
    <w:p>
      <w:pPr>
        <w:jc w:val="both"/>
        <w:ind w:firstLine="1735"/>
        <w:spacing w:after="0" w:line="243" w:lineRule="auto"/>
        <w:tabs>
          <w:tab w:leader="none" w:pos="2537"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Consulting Period. </w:t>
      </w:r>
      <w:r>
        <w:rPr>
          <w:rFonts w:ascii="Arial" w:cs="Arial" w:eastAsia="Arial" w:hAnsi="Arial"/>
          <w:sz w:val="22"/>
          <w:szCs w:val="22"/>
          <w:color w:val="auto"/>
        </w:rPr>
        <w:t>You will serve as a consultant to the Company beginning on March 16, 2021,</w:t>
      </w:r>
      <w:r>
        <w:rPr>
          <w:rFonts w:ascii="Arial" w:cs="Arial" w:eastAsia="Arial" w:hAnsi="Arial"/>
          <w:sz w:val="22"/>
          <w:szCs w:val="22"/>
          <w:b w:val="1"/>
          <w:bCs w:val="1"/>
          <w:color w:val="auto"/>
        </w:rPr>
        <w:t xml:space="preserve"> </w:t>
      </w:r>
      <w:r>
        <w:rPr>
          <w:rFonts w:ascii="Arial" w:cs="Arial" w:eastAsia="Arial" w:hAnsi="Arial"/>
          <w:sz w:val="22"/>
          <w:szCs w:val="22"/>
          <w:color w:val="auto"/>
        </w:rPr>
        <w:t>and ending on September 16, 2021, unless terminated earlier pursuant to Section 5(h), or extended by written agreement by you and the Company (such period of time, the “Consulting Period”).</w:t>
      </w:r>
    </w:p>
    <w:p>
      <w:pPr>
        <w:spacing w:after="0" w:line="176" w:lineRule="exact"/>
        <w:rPr>
          <w:rFonts w:ascii="Arial" w:cs="Arial" w:eastAsia="Arial" w:hAnsi="Arial"/>
          <w:sz w:val="22"/>
          <w:szCs w:val="22"/>
          <w:b w:val="1"/>
          <w:bCs w:val="1"/>
          <w:color w:val="auto"/>
        </w:rPr>
      </w:pPr>
    </w:p>
    <w:p>
      <w:pPr>
        <w:jc w:val="both"/>
        <w:ind w:firstLine="1735"/>
        <w:spacing w:after="0" w:line="278" w:lineRule="auto"/>
        <w:tabs>
          <w:tab w:leader="none" w:pos="2549"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Consulting Services. </w:t>
      </w:r>
      <w:r>
        <w:rPr>
          <w:rFonts w:ascii="Arial" w:cs="Arial" w:eastAsia="Arial" w:hAnsi="Arial"/>
          <w:sz w:val="19"/>
          <w:szCs w:val="19"/>
          <w:color w:val="auto"/>
        </w:rPr>
        <w:t>As a consultant, you will be responsible for assisting the Company in any</w:t>
      </w:r>
      <w:r>
        <w:rPr>
          <w:rFonts w:ascii="Arial" w:cs="Arial" w:eastAsia="Arial" w:hAnsi="Arial"/>
          <w:sz w:val="19"/>
          <w:szCs w:val="19"/>
          <w:b w:val="1"/>
          <w:bCs w:val="1"/>
          <w:color w:val="auto"/>
        </w:rPr>
        <w:t xml:space="preserve"> </w:t>
      </w:r>
      <w:r>
        <w:rPr>
          <w:rFonts w:ascii="Arial" w:cs="Arial" w:eastAsia="Arial" w:hAnsi="Arial"/>
          <w:sz w:val="19"/>
          <w:szCs w:val="19"/>
          <w:color w:val="auto"/>
        </w:rPr>
        <w:t>area of your expertise, as reasonably requested by the Company (the “Consulting Services”). Among other things, you will assist the Company with the following: services on the Company’s programs, including clinical, regulatory and commercial matters relating to roxadustat and pamrevlumab, and on other matters for which you are knowledgeable as requested by the Company’s CEO or his delegate from time to time. It is anticipated that you will provide up to eight (8) hours of Consulting Services per week. You will conduct the Consulting Services at a location of your choosing. You will exercise the highest degree of professionalism and utilize your expertise and creative talents in performing the Consulting Services.</w:t>
      </w:r>
    </w:p>
    <w:p>
      <w:pPr>
        <w:spacing w:after="0" w:line="145" w:lineRule="exact"/>
        <w:rPr>
          <w:rFonts w:ascii="Arial" w:cs="Arial" w:eastAsia="Arial" w:hAnsi="Arial"/>
          <w:sz w:val="19"/>
          <w:szCs w:val="19"/>
          <w:b w:val="1"/>
          <w:bCs w:val="1"/>
          <w:color w:val="auto"/>
        </w:rPr>
      </w:pPr>
    </w:p>
    <w:p>
      <w:pPr>
        <w:jc w:val="both"/>
        <w:ind w:firstLine="1735"/>
        <w:spacing w:after="0" w:line="243" w:lineRule="auto"/>
        <w:tabs>
          <w:tab w:leader="none" w:pos="2525"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Consulting Consideration. </w:t>
      </w:r>
      <w:r>
        <w:rPr>
          <w:rFonts w:ascii="Arial" w:cs="Arial" w:eastAsia="Arial" w:hAnsi="Arial"/>
          <w:sz w:val="22"/>
          <w:szCs w:val="22"/>
          <w:color w:val="auto"/>
        </w:rPr>
        <w:t>Your sole consideration for your services during the Consulting Period</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the continued vesting during the Consulting Period of your outstanding stock options and other equity awards, if any (the “</w:t>
      </w:r>
      <w:r>
        <w:rPr>
          <w:rFonts w:ascii="Arial" w:cs="Arial" w:eastAsia="Arial" w:hAnsi="Arial"/>
          <w:sz w:val="22"/>
          <w:szCs w:val="22"/>
          <w:b w:val="1"/>
          <w:bCs w:val="1"/>
          <w:i w:val="1"/>
          <w:iCs w:val="1"/>
          <w:color w:val="auto"/>
        </w:rPr>
        <w:t>Stock Awards</w:t>
      </w:r>
      <w:r>
        <w:rPr>
          <w:rFonts w:ascii="Arial" w:cs="Arial" w:eastAsia="Arial" w:hAnsi="Arial"/>
          <w:sz w:val="22"/>
          <w:szCs w:val="22"/>
          <w:color w:val="auto"/>
        </w:rPr>
        <w:t xml:space="preserve">”) a current list of which is attached hereto as </w:t>
      </w:r>
      <w:r>
        <w:rPr>
          <w:rFonts w:ascii="Arial" w:cs="Arial" w:eastAsia="Arial" w:hAnsi="Arial"/>
          <w:sz w:val="22"/>
          <w:szCs w:val="22"/>
          <w:b w:val="1"/>
          <w:bCs w:val="1"/>
          <w:color w:val="auto"/>
        </w:rPr>
        <w:t>Exhibit D</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jc w:val="both"/>
        <w:ind w:firstLine="1735"/>
        <w:spacing w:after="0" w:line="239" w:lineRule="auto"/>
        <w:tabs>
          <w:tab w:leader="none" w:pos="2549"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Independent Contractor Status. </w:t>
      </w:r>
      <w:r>
        <w:rPr>
          <w:rFonts w:ascii="Arial" w:cs="Arial" w:eastAsia="Arial" w:hAnsi="Arial"/>
          <w:sz w:val="22"/>
          <w:szCs w:val="22"/>
          <w:color w:val="auto"/>
        </w:rPr>
        <w:t>You agree that during the Consulting Period, (i) you will be an</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contractor to the Company and not an employee of the Company, and (ii) the Company will not make payments for state or federal income tax, FICA (social security and Medicare), make unemployment insurance or disability insurance contributions, or obtain workers’ compensation insurance on your behalf.</w:t>
      </w:r>
    </w:p>
    <w:p>
      <w:pPr>
        <w:spacing w:after="0" w:line="180" w:lineRule="exact"/>
        <w:rPr>
          <w:rFonts w:ascii="Arial" w:cs="Arial" w:eastAsia="Arial" w:hAnsi="Arial"/>
          <w:sz w:val="22"/>
          <w:szCs w:val="22"/>
          <w:b w:val="1"/>
          <w:bCs w:val="1"/>
          <w:color w:val="auto"/>
        </w:rPr>
      </w:pPr>
    </w:p>
    <w:p>
      <w:pPr>
        <w:jc w:val="both"/>
        <w:ind w:firstLine="1735"/>
        <w:spacing w:after="0" w:line="249" w:lineRule="auto"/>
        <w:tabs>
          <w:tab w:leader="none" w:pos="2525"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Protection of Information. </w:t>
      </w:r>
      <w:r>
        <w:rPr>
          <w:rFonts w:ascii="Arial" w:cs="Arial" w:eastAsia="Arial" w:hAnsi="Arial"/>
          <w:sz w:val="21"/>
          <w:szCs w:val="21"/>
          <w:color w:val="auto"/>
        </w:rPr>
        <w:t>You agree that during the Consulting Period and thereafter, you will</w:t>
      </w:r>
      <w:r>
        <w:rPr>
          <w:rFonts w:ascii="Arial" w:cs="Arial" w:eastAsia="Arial" w:hAnsi="Arial"/>
          <w:sz w:val="21"/>
          <w:szCs w:val="21"/>
          <w:b w:val="1"/>
          <w:bCs w:val="1"/>
          <w:color w:val="auto"/>
        </w:rPr>
        <w:t xml:space="preserve"> </w:t>
      </w:r>
      <w:r>
        <w:rPr>
          <w:rFonts w:ascii="Arial" w:cs="Arial" w:eastAsia="Arial" w:hAnsi="Arial"/>
          <w:sz w:val="21"/>
          <w:szCs w:val="21"/>
          <w:color w:val="auto"/>
        </w:rPr>
        <w:t>not use or disclose any confidential or proprietary information or materials of the Company that you obtain or develop in the course of performing consulting services for the Company. Any and all work product you create in the course of performing consulting services for the Company will be the sole and exclusive property of the Company. You hereby assign to the Company all right, title, and interest in all inventions, techniques, processes, materials, and other intellectual property developed in the course of performing consulting services for the Company.</w:t>
      </w:r>
    </w:p>
    <w:p>
      <w:pPr>
        <w:spacing w:after="0" w:line="170" w:lineRule="exact"/>
        <w:rPr>
          <w:rFonts w:ascii="Arial" w:cs="Arial" w:eastAsia="Arial" w:hAnsi="Arial"/>
          <w:sz w:val="21"/>
          <w:szCs w:val="21"/>
          <w:b w:val="1"/>
          <w:bCs w:val="1"/>
          <w:color w:val="auto"/>
        </w:rPr>
      </w:pPr>
    </w:p>
    <w:p>
      <w:pPr>
        <w:jc w:val="both"/>
        <w:ind w:firstLine="1735"/>
        <w:spacing w:after="0" w:line="243" w:lineRule="auto"/>
        <w:tabs>
          <w:tab w:leader="none" w:pos="2501"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Authority. </w:t>
      </w:r>
      <w:r>
        <w:rPr>
          <w:rFonts w:ascii="Arial" w:cs="Arial" w:eastAsia="Arial" w:hAnsi="Arial"/>
          <w:sz w:val="22"/>
          <w:szCs w:val="22"/>
          <w:color w:val="auto"/>
        </w:rPr>
        <w:t>You will have no responsibilities or authority as a consultant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other than as provided above. You agree not to represent or purport to represent the Company in any manner whatsoever to any third party except with my prior written consent.</w:t>
      </w:r>
    </w:p>
    <w:p>
      <w:pPr>
        <w:spacing w:after="0" w:line="176" w:lineRule="exact"/>
        <w:rPr>
          <w:rFonts w:ascii="Arial" w:cs="Arial" w:eastAsia="Arial" w:hAnsi="Arial"/>
          <w:sz w:val="22"/>
          <w:szCs w:val="22"/>
          <w:b w:val="1"/>
          <w:bCs w:val="1"/>
          <w:color w:val="auto"/>
        </w:rPr>
      </w:pPr>
    </w:p>
    <w:p>
      <w:pPr>
        <w:jc w:val="both"/>
        <w:ind w:firstLine="1735"/>
        <w:spacing w:after="0" w:line="289" w:lineRule="auto"/>
        <w:tabs>
          <w:tab w:leader="none" w:pos="2537"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Standards of Conduct; Noncompetition. </w:t>
      </w:r>
      <w:r>
        <w:rPr>
          <w:rFonts w:ascii="Arial" w:cs="Arial" w:eastAsia="Arial" w:hAnsi="Arial"/>
          <w:sz w:val="19"/>
          <w:szCs w:val="19"/>
          <w:color w:val="auto"/>
        </w:rPr>
        <w:t>You agree not to engage in any conduct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Consulting Period that is detrimental to the interests of the Company. You further agree during the Consulting Period that you will not, directly or indirectly, as an officer, director, employee, consultant, owner, manager, member, partner, or in any other capacity solicit, perform, or provide, or attempt to perform or provide Conflicting Services in the United States,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9" w:name="page90"/>
    <w:bookmarkEnd w:id="89"/>
    <w:p>
      <w:pPr>
        <w:jc w:val="both"/>
        <w:spacing w:after="0" w:line="246" w:lineRule="auto"/>
        <w:rPr>
          <w:sz w:val="20"/>
          <w:szCs w:val="20"/>
          <w:color w:val="auto"/>
        </w:rPr>
      </w:pPr>
      <w:r>
        <w:rPr>
          <w:rFonts w:ascii="Arial" w:cs="Arial" w:eastAsia="Arial" w:hAnsi="Arial"/>
          <w:sz w:val="21"/>
          <w:szCs w:val="21"/>
          <w:color w:val="auto"/>
        </w:rPr>
        <w:t>nor will you assist another person to solicit, perform or provide or attempt to perform or provide Conflicting Services in the United States. You and the Company agree that for purposes of this Agreement, “Conflicting Services” means any product, service, or process or the research and development thereof, of any person or organization other than the Company that is substantially similar to or competitive with a product, service, or process, including the research and development thereof, of the Company. Notwithstanding the above, you will not be deemed to be engaged directly or indirectly in any Conflicting Services if you participate in any such business solely as a passive investor in up to one percent (1%) of the equity securities of a company or partnership, the securities of which are publicly traded.</w:t>
      </w:r>
    </w:p>
    <w:p>
      <w:pPr>
        <w:spacing w:after="0" w:line="178" w:lineRule="exact"/>
        <w:rPr>
          <w:sz w:val="20"/>
          <w:szCs w:val="20"/>
          <w:color w:val="auto"/>
        </w:rPr>
      </w:pPr>
    </w:p>
    <w:p>
      <w:pPr>
        <w:jc w:val="both"/>
        <w:ind w:firstLine="1735"/>
        <w:spacing w:after="0" w:line="235" w:lineRule="auto"/>
        <w:tabs>
          <w:tab w:leader="none" w:pos="2549"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Consulting Period. </w:t>
      </w:r>
      <w:r>
        <w:rPr>
          <w:rFonts w:ascii="Arial" w:cs="Arial" w:eastAsia="Arial" w:hAnsi="Arial"/>
          <w:sz w:val="22"/>
          <w:szCs w:val="22"/>
          <w:color w:val="auto"/>
        </w:rPr>
        <w:t>Either you or the Company may terminate the Consulting</w:t>
      </w:r>
      <w:r>
        <w:rPr>
          <w:rFonts w:ascii="Arial" w:cs="Arial" w:eastAsia="Arial" w:hAnsi="Arial"/>
          <w:sz w:val="22"/>
          <w:szCs w:val="22"/>
          <w:b w:val="1"/>
          <w:bCs w:val="1"/>
          <w:color w:val="auto"/>
        </w:rPr>
        <w:t xml:space="preserve"> </w:t>
      </w:r>
      <w:r>
        <w:rPr>
          <w:rFonts w:ascii="Arial" w:cs="Arial" w:eastAsia="Arial" w:hAnsi="Arial"/>
          <w:sz w:val="22"/>
          <w:szCs w:val="22"/>
          <w:color w:val="auto"/>
        </w:rPr>
        <w:t>Period, at any time and for any reason, upon fifteen (15) days written notice to the other party. Upon termination of the Consulting Period by either party, except with respect to any outstanding and unfulfilled Severance Benefit obligations under 4(a)-(c), the Company will have no further obligations to you, and all Stock Awards will immediately cease vesting. Notwithstanding the foregoing, should the Consulting Period end prior to September 16, 2021 for any reason, you will remain eligible for receipt of the Equity Benefits subject to your satisfaction of the conditions for receipt of the Equity Benefits, as described in Section 6, below.</w:t>
      </w:r>
    </w:p>
    <w:p>
      <w:pPr>
        <w:spacing w:after="0" w:line="183" w:lineRule="exact"/>
        <w:rPr>
          <w:rFonts w:ascii="Arial" w:cs="Arial" w:eastAsia="Arial" w:hAnsi="Arial"/>
          <w:sz w:val="22"/>
          <w:szCs w:val="22"/>
          <w:b w:val="1"/>
          <w:bCs w:val="1"/>
          <w:color w:val="auto"/>
        </w:rPr>
      </w:pPr>
    </w:p>
    <w:p>
      <w:pPr>
        <w:ind w:left="1680" w:hanging="808"/>
        <w:spacing w:after="0"/>
        <w:tabs>
          <w:tab w:leader="none" w:pos="168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QUITY</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in this Agreement or the applicable equity documents, if</w:t>
      </w:r>
    </w:p>
    <w:p>
      <w:pPr>
        <w:spacing w:after="0" w:line="37" w:lineRule="exact"/>
        <w:rPr>
          <w:rFonts w:ascii="Arial" w:cs="Arial" w:eastAsia="Arial" w:hAnsi="Arial"/>
          <w:sz w:val="20"/>
          <w:szCs w:val="20"/>
          <w:b w:val="1"/>
          <w:bCs w:val="1"/>
          <w:color w:val="auto"/>
        </w:rPr>
      </w:pPr>
    </w:p>
    <w:p>
      <w:pPr>
        <w:jc w:val="both"/>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 xml:space="preserve">you: (i) comply with all obligations contained in this Agreement, excluding your obligations under the Consulting Agreement set forth in Section 5, and (ii) timely sign and return the Termination of Services Release attached hereto as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Termination of Services Release</w:t>
      </w:r>
      <w:r>
        <w:rPr>
          <w:rFonts w:ascii="Arial" w:cs="Arial" w:eastAsia="Arial" w:hAnsi="Arial"/>
          <w:sz w:val="19"/>
          <w:szCs w:val="19"/>
          <w:color w:val="auto"/>
        </w:rPr>
        <w:t>”) the Company will accelerate the vesting of all unvested Stock Awards held by you as of the termination of the Consulting Period with respect to the portion of the shares subject thereto that would have vested during the twelve (12) month period following the termination of the Consulting Period, had you continued to provide services to the Company during such period. Furthermore, should you satisfy the conditions for receipt of the equity acceleration as set forth in the preceding sentence, effective as of the termination of the Consulting Period, your right to exercise any vested Stock Awards shall be extended until the date that is one (1) year following the termination of the Consulting Period (e.g. if the Consulting Period terminates September 16, 2021, the exercise period would be extended until September 16, 2022) (together with the equity acceleration, the “</w:t>
      </w:r>
      <w:r>
        <w:rPr>
          <w:rFonts w:ascii="Arial" w:cs="Arial" w:eastAsia="Arial" w:hAnsi="Arial"/>
          <w:sz w:val="19"/>
          <w:szCs w:val="19"/>
          <w:b w:val="1"/>
          <w:bCs w:val="1"/>
          <w:i w:val="1"/>
          <w:iCs w:val="1"/>
          <w:color w:val="auto"/>
        </w:rPr>
        <w:t>Equity Benefits</w:t>
      </w:r>
      <w:r>
        <w:rPr>
          <w:rFonts w:ascii="Arial" w:cs="Arial" w:eastAsia="Arial" w:hAnsi="Arial"/>
          <w:sz w:val="19"/>
          <w:szCs w:val="19"/>
          <w:color w:val="auto"/>
        </w:rPr>
        <w:t>”). You understand that as a result of the extended exercise period described above, applicable tax rules require that any options held by you that qualify for tax purposes as incentive stock options shall automatically be converted to non-statutory stock options for tax purposes as of the Effective Date of this Agreement according to the terms of the applicable equity incentive plan and of the Stock Awards thereunder, and that you shall consult your own tax advisor regarding the extended exercise period and the tax consequences of option transactions. Except as expressly modified herein, your Stock Awards will continue to be governed by the terms of the applicable equity incentive plan and other Stock Award documents, and your rights to exercise any vested Stock Awards shall be as set forth in the applicable equity incentive plan and/or the applicable Stock Award notices and agreements.</w:t>
      </w:r>
    </w:p>
    <w:p>
      <w:pPr>
        <w:spacing w:after="0" w:line="200" w:lineRule="exact"/>
        <w:rPr>
          <w:rFonts w:ascii="Arial" w:cs="Arial" w:eastAsia="Arial" w:hAnsi="Arial"/>
          <w:sz w:val="20"/>
          <w:szCs w:val="20"/>
          <w:b w:val="1"/>
          <w:bCs w:val="1"/>
          <w:color w:val="auto"/>
        </w:rPr>
      </w:pPr>
    </w:p>
    <w:p>
      <w:pPr>
        <w:spacing w:after="0" w:line="204" w:lineRule="exact"/>
        <w:rPr>
          <w:rFonts w:ascii="Arial" w:cs="Arial" w:eastAsia="Arial" w:hAnsi="Arial"/>
          <w:sz w:val="20"/>
          <w:szCs w:val="20"/>
          <w:b w:val="1"/>
          <w:bCs w:val="1"/>
          <w:color w:val="auto"/>
        </w:rPr>
      </w:pPr>
    </w:p>
    <w:p>
      <w:pPr>
        <w:jc w:val="both"/>
        <w:ind w:firstLine="872"/>
        <w:spacing w:after="0" w:line="243" w:lineRule="auto"/>
        <w:tabs>
          <w:tab w:leader="none" w:pos="1674"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ROPRIETARY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Both during and after your employment you acknowledge your</w:t>
      </w:r>
      <w:r>
        <w:rPr>
          <w:rFonts w:ascii="Arial" w:cs="Arial" w:eastAsia="Arial" w:hAnsi="Arial"/>
          <w:sz w:val="22"/>
          <w:szCs w:val="22"/>
          <w:b w:val="1"/>
          <w:bCs w:val="1"/>
          <w:color w:val="auto"/>
        </w:rPr>
        <w:t xml:space="preserve"> </w:t>
      </w:r>
      <w:r>
        <w:rPr>
          <w:rFonts w:ascii="Arial" w:cs="Arial" w:eastAsia="Arial" w:hAnsi="Arial"/>
          <w:sz w:val="22"/>
          <w:szCs w:val="22"/>
          <w:color w:val="auto"/>
        </w:rPr>
        <w:t>continuing obligations under your Confidential Information, Secrecy and Inventions Agreement, including your obligations not to use or disclose 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0" w:name="page91"/>
    <w:bookmarkEnd w:id="90"/>
    <w:p>
      <w:pPr>
        <w:spacing w:after="0" w:line="250" w:lineRule="auto"/>
        <w:rPr>
          <w:sz w:val="20"/>
          <w:szCs w:val="20"/>
          <w:color w:val="auto"/>
        </w:rPr>
      </w:pPr>
      <w:r>
        <w:rPr>
          <w:rFonts w:ascii="Arial" w:cs="Arial" w:eastAsia="Arial" w:hAnsi="Arial"/>
          <w:sz w:val="22"/>
          <w:szCs w:val="22"/>
          <w:color w:val="auto"/>
        </w:rPr>
        <w:t xml:space="preserve">confidential or proprietary information of the Company. A copy of your Confidential Information, Secrecy and Inventions Agreement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69" w:lineRule="exact"/>
        <w:rPr>
          <w:sz w:val="20"/>
          <w:szCs w:val="20"/>
          <w:color w:val="auto"/>
        </w:rPr>
      </w:pPr>
    </w:p>
    <w:p>
      <w:pPr>
        <w:jc w:val="both"/>
        <w:ind w:firstLine="872"/>
        <w:spacing w:after="0" w:line="236" w:lineRule="auto"/>
        <w:tabs>
          <w:tab w:leader="none" w:pos="1674"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 OR</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that, except as expressly provided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you have not earned, and will not receive from the Company, any additional compensation, severance, or benefits on or after the Separation Date, with the exception of any vested right you may have under the express terms of a written ERISA-qualified benefit plan (e.g., 401(k) account). By way of example, you acknowledge that you have not earned and are not owed any equity, bonus, incentive compensation, severance benefits, or commissions that are not otherwise provided for in this Agreement.</w:t>
      </w:r>
    </w:p>
    <w:p>
      <w:pPr>
        <w:spacing w:after="0" w:line="181"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XPENSE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EIMBURSEMENTS</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that, within fifteen (15) days after the Separation Date, you will submit</w:t>
      </w:r>
      <w:r>
        <w:rPr>
          <w:rFonts w:ascii="Arial" w:cs="Arial" w:eastAsia="Arial" w:hAnsi="Arial"/>
          <w:sz w:val="22"/>
          <w:szCs w:val="22"/>
          <w:b w:val="1"/>
          <w:bCs w:val="1"/>
          <w:color w:val="auto"/>
        </w:rPr>
        <w:t xml:space="preserve"> </w:t>
      </w:r>
      <w:r>
        <w:rPr>
          <w:rFonts w:ascii="Arial" w:cs="Arial" w:eastAsia="Arial" w:hAnsi="Arial"/>
          <w:sz w:val="22"/>
          <w:szCs w:val="22"/>
          <w:color w:val="auto"/>
        </w:rPr>
        <w:t>your final documented expense reimbursement statement reflecting all business expenses you incurred through the last day of your employment, if any, for which you seek reimbursement. The Company will reimburse you for reasonable business expenses pursuant to its regular business practice.</w:t>
      </w:r>
    </w:p>
    <w:p>
      <w:pPr>
        <w:spacing w:after="0" w:line="180" w:lineRule="exact"/>
        <w:rPr>
          <w:rFonts w:ascii="Arial" w:cs="Arial" w:eastAsia="Arial" w:hAnsi="Arial"/>
          <w:sz w:val="22"/>
          <w:szCs w:val="22"/>
          <w:b w:val="1"/>
          <w:bCs w:val="1"/>
          <w:color w:val="auto"/>
        </w:rPr>
      </w:pPr>
    </w:p>
    <w:p>
      <w:pPr>
        <w:jc w:val="both"/>
        <w:ind w:firstLine="872"/>
        <w:spacing w:after="0" w:line="270" w:lineRule="auto"/>
        <w:tabs>
          <w:tab w:leader="none" w:pos="1782"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R</w:t>
      </w:r>
      <w:r>
        <w:rPr>
          <w:rFonts w:ascii="Arial" w:cs="Arial" w:eastAsia="Arial" w:hAnsi="Arial"/>
          <w:sz w:val="13"/>
          <w:szCs w:val="13"/>
          <w:b w:val="1"/>
          <w:bCs w:val="1"/>
          <w:color w:val="auto"/>
        </w:rPr>
        <w:t>ETURN OF</w:t>
      </w:r>
      <w:r>
        <w:rPr>
          <w:rFonts w:ascii="Arial" w:cs="Arial" w:eastAsia="Arial" w:hAnsi="Arial"/>
          <w:sz w:val="19"/>
          <w:szCs w:val="19"/>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19"/>
          <w:szCs w:val="19"/>
          <w:b w:val="1"/>
          <w:bCs w:val="1"/>
          <w:color w:val="auto"/>
        </w:rPr>
        <w:t xml:space="preserve">. </w:t>
      </w:r>
      <w:r>
        <w:rPr>
          <w:rFonts w:ascii="Arial" w:cs="Arial" w:eastAsia="Arial" w:hAnsi="Arial"/>
          <w:sz w:val="19"/>
          <w:szCs w:val="19"/>
          <w:color w:val="auto"/>
        </w:rPr>
        <w:t>By the Separation Date, you agree to return to the Company all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documents (and all copies thereof) and other Company property which you have in your possession or control, including, but not limited to, Company files, notes, drawings, records, plans, forecasts, reports, studies, analyses, proposals, agreements, financial information, research and development information, sales and marketing information, customer lists, prospect information, pipeline reports, sales reports, operational and personnel information, specifications, code, software, databases, computer-recorded information, tangible property and equipment (including, but not limited to, computers, printers, mobile telephones, servers), credit cards, entry cards, identification badges and keys; and any materials of any kind which contain or embody any proprietary or confidential information of the Company (and all reproductions thereof in whole or in part);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you are permitted to retain any Company property that you and the Company agree is necessary for the performance of your services under the Consulting Agreement, by way of example, your mobile telephone and computer with connection to the company server. You agree that you will make a diligent search to locate any such documents, property and information by the Separation Date. If you have used any personally owned computer, server, or e-mail system to receive, store, review, prepare or transmit any Company confidential or proprietary data, materials or information, within five (5) business days after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done. Upon termination of the Consulting Period, you agree to return all Company property you retained as necessary for the performance of your services under the Consulting Agreement, as well as any additional Company property you acquired during the Consulting Period, you will have the option of keeping the mobile phone number of the company phone you have been using during current employment, but you will be responsible to set up and pay for mobile phone services after the end of the Consulting Period. </w:t>
      </w:r>
      <w:r>
        <w:rPr>
          <w:rFonts w:ascii="Arial" w:cs="Arial" w:eastAsia="Arial" w:hAnsi="Arial"/>
          <w:sz w:val="19"/>
          <w:szCs w:val="19"/>
          <w:b w:val="1"/>
          <w:bCs w:val="1"/>
          <w:color w:val="auto"/>
        </w:rPr>
        <w:t>Your timely</w:t>
      </w:r>
      <w:r>
        <w:rPr>
          <w:rFonts w:ascii="Arial" w:cs="Arial" w:eastAsia="Arial" w:hAnsi="Arial"/>
          <w:sz w:val="19"/>
          <w:szCs w:val="19"/>
          <w:color w:val="auto"/>
        </w:rPr>
        <w:t xml:space="preserve"> </w:t>
      </w:r>
      <w:r>
        <w:rPr>
          <w:rFonts w:ascii="Arial" w:cs="Arial" w:eastAsia="Arial" w:hAnsi="Arial"/>
          <w:sz w:val="19"/>
          <w:szCs w:val="19"/>
          <w:b w:val="1"/>
          <w:bCs w:val="1"/>
          <w:color w:val="auto"/>
        </w:rPr>
        <w:t>compliance with this paragraph is a condition precedent to your receipt of the Severance Benefits.</w:t>
      </w:r>
    </w:p>
    <w:p>
      <w:pPr>
        <w:spacing w:after="0" w:line="157" w:lineRule="exact"/>
        <w:rPr>
          <w:rFonts w:ascii="Arial" w:cs="Arial" w:eastAsia="Arial" w:hAnsi="Arial"/>
          <w:sz w:val="19"/>
          <w:szCs w:val="19"/>
          <w:b w:val="1"/>
          <w:bCs w:val="1"/>
          <w:color w:val="auto"/>
        </w:rPr>
      </w:pPr>
    </w:p>
    <w:p>
      <w:pPr>
        <w:ind w:firstLine="872"/>
        <w:spacing w:after="0" w:line="256" w:lineRule="auto"/>
        <w:tabs>
          <w:tab w:leader="none" w:pos="177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this Agreement will be held in strictest confidence by you and will not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publicized or disclosed in any manner whatsoever; </w:t>
      </w:r>
      <w:r>
        <w:rPr>
          <w:rFonts w:ascii="Arial" w:cs="Arial" w:eastAsia="Arial" w:hAnsi="Arial"/>
          <w:sz w:val="22"/>
          <w:szCs w:val="22"/>
          <w:i w:val="1"/>
          <w:iCs w:val="1"/>
          <w:color w:val="auto"/>
        </w:rPr>
        <w:t>provided,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1" w:name="page92"/>
    <w:bookmarkEnd w:id="91"/>
    <w:p>
      <w:pPr>
        <w:jc w:val="both"/>
        <w:spacing w:after="0" w:line="273" w:lineRule="auto"/>
        <w:rPr>
          <w:sz w:val="20"/>
          <w:szCs w:val="20"/>
          <w:color w:val="auto"/>
        </w:rPr>
      </w:pP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(a) you may disclose this Agreement to your immediate family; (b) you may disclose this Agreement in</w:t>
      </w:r>
      <w:r>
        <w:rPr>
          <w:rFonts w:ascii="Arial" w:cs="Arial" w:eastAsia="Arial" w:hAnsi="Arial"/>
          <w:sz w:val="19"/>
          <w:szCs w:val="19"/>
          <w:i w:val="1"/>
          <w:iCs w:val="1"/>
          <w:color w:val="auto"/>
        </w:rPr>
        <w:t xml:space="preserve"> </w:t>
      </w:r>
      <w:r>
        <w:rPr>
          <w:rFonts w:ascii="Arial" w:cs="Arial" w:eastAsia="Arial" w:hAnsi="Arial"/>
          <w:sz w:val="19"/>
          <w:szCs w:val="19"/>
          <w:color w:val="auto"/>
        </w:rPr>
        <w:t>confidence to your attorneys, accountants, auditors, tax preparers, and financial advisors; (c) you may disclose this Agreement, and any other documents or information (without notice to the Company) when communicating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or during the course of an investigation or proceeding that may be conducted by any Government Agency; and (d) you may disclose this Agreement insofar as such disclosure may be necessary to enforce its terms or as otherwise required by law. In particular, and without limitation, you agree not to disclose the terms of this Agreement to any current or former Company employee. Nothing in this provision or this Agreement is intended to prohibit or restrain you in any manner from making disclosures that are protected under the whistleblower provisions of federal or state law or regulation.</w:t>
      </w:r>
    </w:p>
    <w:p>
      <w:pPr>
        <w:spacing w:after="0" w:line="155" w:lineRule="exact"/>
        <w:rPr>
          <w:sz w:val="20"/>
          <w:szCs w:val="20"/>
          <w:color w:val="auto"/>
        </w:rPr>
      </w:pPr>
    </w:p>
    <w:p>
      <w:pPr>
        <w:jc w:val="both"/>
        <w:ind w:firstLine="872"/>
        <w:spacing w:after="0" w:line="262" w:lineRule="auto"/>
        <w:tabs>
          <w:tab w:leader="none" w:pos="1782"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UTUAL</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ONDISPARAGEMENT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not to disparage the Company, and the Company’s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employees, shareholders and agents, in any manner likely to be harmful to them or their business, business reputations or personal reputations. Provided that you remain in compliance with the obligations contained herein, the Company agrees to direct its officers and directors not to disparage you in any manner likely to be harmful to your personal or business reputations. Notwithstanding the foregoing, all parties may respond accurately and fully to any request for information if required by legal process. In addition, nothing in this provision or this Agreement is intended to prohibit or restrain the parties in any manner from making disclosures that are protected under the whistleblower provisions of federal or state law or regulation.</w:t>
      </w:r>
    </w:p>
    <w:p>
      <w:pPr>
        <w:spacing w:after="0" w:line="159" w:lineRule="exact"/>
        <w:rPr>
          <w:rFonts w:ascii="Arial" w:cs="Arial" w:eastAsia="Arial" w:hAnsi="Arial"/>
          <w:sz w:val="20"/>
          <w:szCs w:val="20"/>
          <w:b w:val="1"/>
          <w:bCs w:val="1"/>
          <w:color w:val="auto"/>
        </w:rPr>
      </w:pPr>
    </w:p>
    <w:p>
      <w:pPr>
        <w:jc w:val="both"/>
        <w:ind w:firstLine="872"/>
        <w:spacing w:after="0" w:line="259" w:lineRule="auto"/>
        <w:tabs>
          <w:tab w:leader="none" w:pos="1782"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OLUNTARY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DVERSE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CTION</w:t>
      </w:r>
      <w:r>
        <w:rPr>
          <w:rFonts w:ascii="Arial" w:cs="Arial" w:eastAsia="Arial" w:hAnsi="Arial"/>
          <w:sz w:val="20"/>
          <w:szCs w:val="20"/>
          <w:b w:val="1"/>
          <w:bCs w:val="1"/>
          <w:color w:val="auto"/>
        </w:rPr>
        <w:t>;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that you will not voluntarily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assistance, information or advice, directly or indirectly (including through agents or attorneys), to any person or entity in connection with any proposed or pending litigation, arbitration, administrative claim, cause of action, or other formal proceeding of any kind brought against the Company, its parent or subsidiary entities, affiliates, officers, directors, employees or agents, nor shall you induce or encourage any person or entity to bring any such claims; provided that you may respond accurately and fully to any question, inquiry or request for information when required by legal process (e.g., a valid subpoena or other similar compulsion of law) or as part of a government investigation. In addition, you agree to voluntarily cooperate with the Company if you have knowledge of facts relevant to any existing or future litigation or arbitration initiated by or filed against the Company by making yourself reasonably available without further compensation for interviews with the Company or its legal counsel, for preparing for and providing deposition testimony, and for preparing for and providing trial testimony.</w:t>
      </w:r>
    </w:p>
    <w:p>
      <w:pPr>
        <w:spacing w:after="0" w:line="164" w:lineRule="exact"/>
        <w:rPr>
          <w:rFonts w:ascii="Arial" w:cs="Arial" w:eastAsia="Arial" w:hAnsi="Arial"/>
          <w:sz w:val="20"/>
          <w:szCs w:val="20"/>
          <w:b w:val="1"/>
          <w:bCs w:val="1"/>
          <w:color w:val="auto"/>
        </w:rPr>
      </w:pPr>
    </w:p>
    <w:p>
      <w:pPr>
        <w:ind w:firstLine="872"/>
        <w:spacing w:after="0" w:line="306" w:lineRule="auto"/>
        <w:tabs>
          <w:tab w:leader="none" w:pos="1782"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DMISSIONS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promises and payments in consideration of this Agreement shall not be construed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an admission of any liability or obligation by either party to the other party, and neither party makes any such admission.</w:t>
      </w:r>
    </w:p>
    <w:p>
      <w:pPr>
        <w:spacing w:after="0" w:line="115" w:lineRule="exact"/>
        <w:rPr>
          <w:rFonts w:ascii="Arial" w:cs="Arial" w:eastAsia="Arial" w:hAnsi="Arial"/>
          <w:sz w:val="20"/>
          <w:szCs w:val="20"/>
          <w:b w:val="1"/>
          <w:bCs w:val="1"/>
          <w:color w:val="auto"/>
        </w:rPr>
      </w:pPr>
    </w:p>
    <w:p>
      <w:pPr>
        <w:ind w:left="1780" w:hanging="908"/>
        <w:spacing w:after="0"/>
        <w:tabs>
          <w:tab w:leader="none" w:pos="178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ELEASE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LAIMS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1735"/>
        <w:spacing w:after="0" w:line="256" w:lineRule="auto"/>
        <w:tabs>
          <w:tab w:leader="none" w:pos="2627" w:val="left"/>
        </w:tabs>
        <w:numPr>
          <w:ilvl w:val="1"/>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Release. </w:t>
      </w:r>
      <w:r>
        <w:rPr>
          <w:rFonts w:ascii="Arial" w:cs="Arial" w:eastAsia="Arial" w:hAnsi="Arial"/>
          <w:sz w:val="22"/>
          <w:szCs w:val="22"/>
          <w:color w:val="auto"/>
        </w:rPr>
        <w:t>In exchange for the consideration provided to you under this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you would not otherwise be entitled, you hereby generally and completely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2" w:name="page93"/>
    <w:bookmarkEnd w:id="92"/>
    <w:p>
      <w:pPr>
        <w:jc w:val="both"/>
        <w:spacing w:after="0" w:line="236" w:lineRule="auto"/>
        <w:rPr>
          <w:sz w:val="20"/>
          <w:szCs w:val="20"/>
          <w:color w:val="auto"/>
        </w:rPr>
      </w:pPr>
      <w:r>
        <w:rPr>
          <w:rFonts w:ascii="Arial" w:cs="Arial" w:eastAsia="Arial" w:hAnsi="Arial"/>
          <w:sz w:val="22"/>
          <w:szCs w:val="22"/>
          <w:color w:val="auto"/>
        </w:rPr>
        <w:t>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Arial" w:cs="Arial" w:eastAsia="Arial" w:hAnsi="Arial"/>
          <w:sz w:val="22"/>
          <w:szCs w:val="22"/>
          <w:b w:val="1"/>
          <w:bCs w:val="1"/>
          <w:i w:val="1"/>
          <w:iCs w:val="1"/>
          <w:color w:val="auto"/>
        </w:rPr>
        <w:t>Released Parties</w:t>
      </w:r>
      <w:r>
        <w:rPr>
          <w:rFonts w:ascii="Arial" w:cs="Arial" w:eastAsia="Arial" w:hAnsi="Arial"/>
          <w:sz w:val="22"/>
          <w:szCs w:val="22"/>
          <w:color w:val="auto"/>
        </w:rPr>
        <w:t>”) from any and all claims, liabilities and obligations, both known and unknown, that arise out of or are in any way related to events, acts, conduct, or omissions occurring prior to or on the date you sign this Agreement (collectively, the “</w:t>
      </w:r>
      <w:r>
        <w:rPr>
          <w:rFonts w:ascii="Arial" w:cs="Arial" w:eastAsia="Arial" w:hAnsi="Arial"/>
          <w:sz w:val="22"/>
          <w:szCs w:val="22"/>
          <w:b w:val="1"/>
          <w:bCs w:val="1"/>
          <w:i w:val="1"/>
          <w:iCs w:val="1"/>
          <w:color w:val="auto"/>
        </w:rPr>
        <w:t>Released Claims</w:t>
      </w:r>
      <w:r>
        <w:rPr>
          <w:rFonts w:ascii="Arial" w:cs="Arial" w:eastAsia="Arial" w:hAnsi="Arial"/>
          <w:sz w:val="22"/>
          <w:szCs w:val="22"/>
          <w:color w:val="auto"/>
        </w:rPr>
        <w:t>”).</w:t>
      </w:r>
    </w:p>
    <w:p>
      <w:pPr>
        <w:spacing w:after="0" w:line="181" w:lineRule="exact"/>
        <w:rPr>
          <w:sz w:val="20"/>
          <w:szCs w:val="20"/>
          <w:color w:val="auto"/>
        </w:rPr>
      </w:pPr>
    </w:p>
    <w:p>
      <w:pPr>
        <w:jc w:val="both"/>
        <w:ind w:firstLine="1735"/>
        <w:spacing w:after="0" w:line="245" w:lineRule="auto"/>
        <w:tabs>
          <w:tab w:leader="none" w:pos="2639"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Scope of Release. </w:t>
      </w:r>
      <w:r>
        <w:rPr>
          <w:rFonts w:ascii="Arial" w:cs="Arial" w:eastAsia="Arial" w:hAnsi="Arial"/>
          <w:sz w:val="21"/>
          <w:szCs w:val="21"/>
          <w:color w:val="auto"/>
        </w:rPr>
        <w:t>The Released Claims include, but are not limited to: (i) all claims arising out</w:t>
      </w:r>
      <w:r>
        <w:rPr>
          <w:rFonts w:ascii="Arial" w:cs="Arial" w:eastAsia="Arial" w:hAnsi="Arial"/>
          <w:sz w:val="21"/>
          <w:szCs w:val="21"/>
          <w:b w:val="1"/>
          <w:bCs w:val="1"/>
          <w:color w:val="auto"/>
        </w:rPr>
        <w:t xml:space="preserve"> </w:t>
      </w:r>
      <w:r>
        <w:rPr>
          <w:rFonts w:ascii="Arial" w:cs="Arial" w:eastAsia="Arial" w:hAnsi="Arial"/>
          <w:sz w:val="21"/>
          <w:szCs w:val="21"/>
          <w:color w:val="auto"/>
        </w:rPr>
        <w:t>of or in any way related to your employment with the Company, or the termination of that employment; (ii) all claims related to your compensation or benefits from the Company, including salary, bonuses, commissions, vacation, paid time off,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21"/>
          <w:szCs w:val="21"/>
          <w:b w:val="1"/>
          <w:bCs w:val="1"/>
          <w:i w:val="1"/>
          <w:iCs w:val="1"/>
          <w:color w:val="auto"/>
        </w:rPr>
        <w:t>ADEA</w:t>
      </w:r>
      <w:r>
        <w:rPr>
          <w:rFonts w:ascii="Arial" w:cs="Arial" w:eastAsia="Arial" w:hAnsi="Arial"/>
          <w:sz w:val="21"/>
          <w:szCs w:val="21"/>
          <w:color w:val="auto"/>
        </w:rPr>
        <w:t>”), and the California Labor Code (as amended).</w:t>
      </w:r>
    </w:p>
    <w:p>
      <w:pPr>
        <w:spacing w:after="0" w:line="180" w:lineRule="exact"/>
        <w:rPr>
          <w:rFonts w:ascii="Arial" w:cs="Arial" w:eastAsia="Arial" w:hAnsi="Arial"/>
          <w:sz w:val="21"/>
          <w:szCs w:val="21"/>
          <w:b w:val="1"/>
          <w:bCs w:val="1"/>
          <w:color w:val="auto"/>
        </w:rPr>
      </w:pPr>
    </w:p>
    <w:p>
      <w:pPr>
        <w:jc w:val="both"/>
        <w:ind w:firstLine="1735"/>
        <w:spacing w:after="0" w:line="275" w:lineRule="auto"/>
        <w:tabs>
          <w:tab w:leader="none" w:pos="2615"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ADEA Waiver. </w:t>
      </w:r>
      <w:r>
        <w:rPr>
          <w:rFonts w:ascii="Arial" w:cs="Arial" w:eastAsia="Arial" w:hAnsi="Arial"/>
          <w:sz w:val="19"/>
          <w:szCs w:val="19"/>
          <w:color w:val="auto"/>
        </w:rPr>
        <w:t>You acknowledge that you are knowingly and voluntarily waiving and releasing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that arise after the date you sign this Agreement; (ii) you should consult with an attorney prior to signing this Agreement (although you may choose voluntarily not to do so); (iii) you have twenty-one (21) days to consider this Agreement (although you may choose voluntarily to sign it sooner); (iv) you have seven (7) days following the date you sign this Agreement to revoke this Agreement (in a written revocation sent to me); and (v) this Agreement will not be effective until the date upon which the revocation period has expired, which will be the eighth day after you sign this Agreement provided that you do not revoke it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49" w:lineRule="exact"/>
        <w:rPr>
          <w:rFonts w:ascii="Arial" w:cs="Arial" w:eastAsia="Arial" w:hAnsi="Arial"/>
          <w:sz w:val="19"/>
          <w:szCs w:val="19"/>
          <w:b w:val="1"/>
          <w:bCs w:val="1"/>
          <w:color w:val="auto"/>
        </w:rPr>
      </w:pPr>
    </w:p>
    <w:p>
      <w:pPr>
        <w:jc w:val="both"/>
        <w:ind w:firstLine="1735"/>
        <w:spacing w:after="0" w:line="278" w:lineRule="auto"/>
        <w:tabs>
          <w:tab w:leader="none" w:pos="2707"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Waiver of Unknown Claims. </w:t>
      </w:r>
      <w:r>
        <w:rPr>
          <w:rFonts w:ascii="Arial" w:cs="Arial" w:eastAsia="Arial" w:hAnsi="Arial"/>
          <w:sz w:val="19"/>
          <w:szCs w:val="19"/>
          <w:color w:val="auto"/>
        </w:rPr>
        <w:t>In giving the releases set forth in this Agreement, which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claims which may be unknown to you at present, you acknowledge that you have read and understand Section 1542 of the California Civil Code which reads as follows: </w:t>
      </w:r>
      <w:r>
        <w:rPr>
          <w:rFonts w:ascii="Arial" w:cs="Arial" w:eastAsia="Arial" w:hAnsi="Arial"/>
          <w:sz w:val="19"/>
          <w:szCs w:val="19"/>
          <w:b w:val="1"/>
          <w:bCs w:val="1"/>
          <w:color w:val="auto"/>
        </w:rPr>
        <w:t>“A general release does not extend to claims that the creditor or releasing</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You hereby expressly waive</w:t>
      </w:r>
      <w:r>
        <w:rPr>
          <w:rFonts w:ascii="Arial" w:cs="Arial" w:eastAsia="Arial" w:hAnsi="Arial"/>
          <w:sz w:val="19"/>
          <w:szCs w:val="19"/>
          <w:b w:val="1"/>
          <w:bCs w:val="1"/>
          <w:color w:val="auto"/>
        </w:rPr>
        <w:t xml:space="preserve"> </w:t>
      </w:r>
      <w:r>
        <w:rPr>
          <w:rFonts w:ascii="Arial" w:cs="Arial" w:eastAsia="Arial" w:hAnsi="Arial"/>
          <w:sz w:val="19"/>
          <w:szCs w:val="19"/>
          <w:color w:val="auto"/>
        </w:rPr>
        <w:t>and relinquish all rights and benefits under that section and any law or legal principle of similar effect in any jurisdiction with respect to your release of claims herein, including but not limited to the release of unknown and unsuspected claims.</w:t>
      </w:r>
    </w:p>
    <w:p>
      <w:pPr>
        <w:spacing w:after="0" w:line="145" w:lineRule="exact"/>
        <w:rPr>
          <w:rFonts w:ascii="Arial" w:cs="Arial" w:eastAsia="Arial" w:hAnsi="Arial"/>
          <w:sz w:val="19"/>
          <w:szCs w:val="19"/>
          <w:b w:val="1"/>
          <w:bCs w:val="1"/>
          <w:color w:val="auto"/>
        </w:rPr>
      </w:pPr>
    </w:p>
    <w:p>
      <w:pPr>
        <w:jc w:val="both"/>
        <w:ind w:firstLine="1735"/>
        <w:spacing w:after="0" w:line="243" w:lineRule="auto"/>
        <w:tabs>
          <w:tab w:leader="none" w:pos="2615"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Excluded Claims. </w:t>
      </w:r>
      <w:r>
        <w:rPr>
          <w:rFonts w:ascii="Arial" w:cs="Arial" w:eastAsia="Arial" w:hAnsi="Arial"/>
          <w:sz w:val="22"/>
          <w:szCs w:val="22"/>
          <w:color w:val="auto"/>
        </w:rPr>
        <w:t>Notwithstanding the foregoing, the following are not included in the Released</w:t>
      </w:r>
      <w:r>
        <w:rPr>
          <w:rFonts w:ascii="Arial" w:cs="Arial" w:eastAsia="Arial" w:hAnsi="Arial"/>
          <w:sz w:val="22"/>
          <w:szCs w:val="22"/>
          <w:b w:val="1"/>
          <w:bCs w:val="1"/>
          <w:color w:val="auto"/>
        </w:rPr>
        <w:t xml:space="preserve"> </w:t>
      </w:r>
      <w:r>
        <w:rPr>
          <w:rFonts w:ascii="Arial" w:cs="Arial" w:eastAsia="Arial" w:hAnsi="Arial"/>
          <w:sz w:val="22"/>
          <w:szCs w:val="22"/>
          <w:color w:val="auto"/>
        </w:rPr>
        <w:t>Claims (the “</w:t>
      </w:r>
      <w:r>
        <w:rPr>
          <w:rFonts w:ascii="Arial" w:cs="Arial" w:eastAsia="Arial" w:hAnsi="Arial"/>
          <w:sz w:val="22"/>
          <w:szCs w:val="22"/>
          <w:b w:val="1"/>
          <w:bCs w:val="1"/>
          <w:i w:val="1"/>
          <w:iCs w:val="1"/>
          <w:color w:val="auto"/>
        </w:rPr>
        <w:t>Excluded Claims</w:t>
      </w:r>
      <w:r>
        <w:rPr>
          <w:rFonts w:ascii="Arial" w:cs="Arial" w:eastAsia="Arial" w:hAnsi="Arial"/>
          <w:sz w:val="22"/>
          <w:szCs w:val="22"/>
          <w:color w:val="auto"/>
        </w:rPr>
        <w:t>”): (i) any rights or claims for indemnification you may have pursuant to any written indemnification agreement with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3" w:name="page94"/>
    <w:bookmarkEnd w:id="93"/>
    <w:p>
      <w:pPr>
        <w:jc w:val="both"/>
        <w:spacing w:after="0" w:line="245" w:lineRule="auto"/>
        <w:rPr>
          <w:sz w:val="20"/>
          <w:szCs w:val="20"/>
          <w:color w:val="auto"/>
        </w:rPr>
      </w:pPr>
      <w:r>
        <w:rPr>
          <w:rFonts w:ascii="Arial" w:cs="Arial" w:eastAsia="Arial" w:hAnsi="Arial"/>
          <w:sz w:val="21"/>
          <w:szCs w:val="21"/>
          <w:color w:val="auto"/>
        </w:rPr>
        <w:t>Company to which you are a party or under applicable law; (ii) any rights which cannot be waived as a matter of law, including without limitation claims under the California Fair Employment and Housing Act, to the extent such claims are not waivable as a matter of law with this release; (iii) any rights you have to file or pursue a claim for workers’ compensation or unemployment insurance; and (iv) any claims for breach of this Agreement. You hereby represent and warrant that, other than the Excluded Claims, you are not aware of any claims you have or might have against any of the Released Parties that are not included in the Released Claims. You understand that nothing in this Agreement limits your ability to file a charge or complaint with any Government Agency.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75" w:lineRule="exact"/>
        <w:rPr>
          <w:sz w:val="20"/>
          <w:szCs w:val="20"/>
          <w:color w:val="auto"/>
        </w:rPr>
      </w:pPr>
    </w:p>
    <w:p>
      <w:pPr>
        <w:jc w:val="both"/>
        <w:ind w:right="20" w:firstLine="872"/>
        <w:spacing w:after="0" w:line="239" w:lineRule="auto"/>
        <w:tabs>
          <w:tab w:leader="none" w:pos="1782"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You hereby represent that you have been paid all compensation owed and for all hours</w:t>
      </w:r>
      <w:r>
        <w:rPr>
          <w:rFonts w:ascii="Arial" w:cs="Arial" w:eastAsia="Arial" w:hAnsi="Arial"/>
          <w:sz w:val="22"/>
          <w:szCs w:val="22"/>
          <w:b w:val="1"/>
          <w:bCs w:val="1"/>
          <w:color w:val="auto"/>
        </w:rPr>
        <w:t xml:space="preserve"> </w:t>
      </w:r>
      <w:r>
        <w:rPr>
          <w:rFonts w:ascii="Arial" w:cs="Arial" w:eastAsia="Arial" w:hAnsi="Arial"/>
          <w:sz w:val="22"/>
          <w:szCs w:val="22"/>
          <w:color w:val="auto"/>
        </w:rPr>
        <w:t>worked, you have received all the leave and leave benefits and protections for which you are eligible pursuant to the federal Family and Medical Leave Act, the California Family Rights Act, or otherwise, and you have not suffered any on-the-job injury for which you have not already filed a workers’ compensation claim.</w:t>
      </w:r>
    </w:p>
    <w:p>
      <w:pPr>
        <w:spacing w:after="0" w:line="180" w:lineRule="exact"/>
        <w:rPr>
          <w:rFonts w:ascii="Arial" w:cs="Arial" w:eastAsia="Arial" w:hAnsi="Arial"/>
          <w:sz w:val="22"/>
          <w:szCs w:val="22"/>
          <w:b w:val="1"/>
          <w:bCs w:val="1"/>
          <w:color w:val="auto"/>
        </w:rPr>
      </w:pPr>
    </w:p>
    <w:p>
      <w:pPr>
        <w:jc w:val="both"/>
        <w:ind w:firstLine="872"/>
        <w:spacing w:after="0" w:line="279" w:lineRule="auto"/>
        <w:tabs>
          <w:tab w:leader="none" w:pos="1782"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ISPUTE</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ESOLUTION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acknowledge and agree that any claims arising from this Agreement or its</w:t>
      </w:r>
      <w:r>
        <w:rPr>
          <w:rFonts w:ascii="Arial" w:cs="Arial" w:eastAsia="Arial" w:hAnsi="Arial"/>
          <w:sz w:val="20"/>
          <w:szCs w:val="20"/>
          <w:b w:val="1"/>
          <w:bCs w:val="1"/>
          <w:color w:val="auto"/>
        </w:rPr>
        <w:t xml:space="preserve"> </w:t>
      </w:r>
      <w:r>
        <w:rPr>
          <w:rFonts w:ascii="Arial" w:cs="Arial" w:eastAsia="Arial" w:hAnsi="Arial"/>
          <w:sz w:val="20"/>
          <w:szCs w:val="20"/>
          <w:color w:val="auto"/>
        </w:rPr>
        <w:t>exhibits shall be subject to final and binding arbitration pursuant to the FibroGen Arbitration Agreement entered into between you and the Company dated January 3, 2020 (the “</w:t>
      </w:r>
      <w:r>
        <w:rPr>
          <w:rFonts w:ascii="Arial" w:cs="Arial" w:eastAsia="Arial" w:hAnsi="Arial"/>
          <w:sz w:val="20"/>
          <w:szCs w:val="20"/>
          <w:b w:val="1"/>
          <w:bCs w:val="1"/>
          <w:i w:val="1"/>
          <w:iCs w:val="1"/>
          <w:color w:val="auto"/>
        </w:rPr>
        <w:t>Arbitration Agreement</w:t>
      </w:r>
      <w:r>
        <w:rPr>
          <w:rFonts w:ascii="Arial" w:cs="Arial" w:eastAsia="Arial" w:hAnsi="Arial"/>
          <w:sz w:val="20"/>
          <w:szCs w:val="20"/>
          <w:color w:val="auto"/>
        </w:rPr>
        <w:t>”), which is hereby incorporated herein by reference.</w:t>
      </w:r>
    </w:p>
    <w:p>
      <w:pPr>
        <w:spacing w:after="0" w:line="142" w:lineRule="exact"/>
        <w:rPr>
          <w:rFonts w:ascii="Arial" w:cs="Arial" w:eastAsia="Arial" w:hAnsi="Arial"/>
          <w:sz w:val="20"/>
          <w:szCs w:val="20"/>
          <w:b w:val="1"/>
          <w:bCs w:val="1"/>
          <w:color w:val="auto"/>
        </w:rPr>
      </w:pPr>
    </w:p>
    <w:p>
      <w:pPr>
        <w:jc w:val="both"/>
        <w:ind w:firstLine="872"/>
        <w:spacing w:after="0" w:line="257" w:lineRule="auto"/>
        <w:tabs>
          <w:tab w:leader="none" w:pos="1782"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 This Agreement, together with its exhibits, constitutes the complete, final and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embodiment of the entire agreement between you and the Company with regard to the subject matter hereof. It is entered into without reliance on any promise or representation, written or oral, other than those expressly contained herein, and it supersedes any other agreements, promises, warranties or representations concerning its subject matter, including, without limitation, the Severance Agreement and the Arbitration Agreement.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Any ambiguity in this Agreement shall not be construed against either party as the drafter. Any waiver of a breach of this Agreement, or rights hereunder, shall be in writing and shall not be deemed to be a waiver of any successive breach or rights hereunder. This Agreement will be deemed to have been entered into and will be construed and enforced in accordance with the laws of the State of California, as applied to contracts made and to be performed entirely within California, without regard to conflicts of law principles.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may be executed in counterparts which shall be deemed to be part of one original, and facsimile and electronic signatures shall be equivalent to original signatures.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4" w:name="page95"/>
    <w:bookmarkEnd w:id="94"/>
    <w:p>
      <w:pPr>
        <w:jc w:val="both"/>
        <w:spacing w:after="0"/>
        <w:rPr>
          <w:sz w:val="20"/>
          <w:szCs w:val="20"/>
          <w:color w:val="auto"/>
        </w:rPr>
      </w:pPr>
      <w:r>
        <w:rPr>
          <w:rFonts w:ascii="Arial" w:cs="Arial" w:eastAsia="Arial" w:hAnsi="Arial"/>
          <w:sz w:val="22"/>
          <w:szCs w:val="22"/>
          <w:color w:val="auto"/>
        </w:rPr>
        <w:t>If this Agreement is acceptable to you, please sign and date below within twenty-one (21) days, and send me the fully signed Agreement. The Company’s offer contained herein will automatically expire if we do not receive the fully signed Agreement within this timeframe.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We wish you the best in your future endeavors.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IBRO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6985</wp:posOffset>
            </wp:positionV>
            <wp:extent cx="32575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2"/>
          <w:szCs w:val="22"/>
          <w:color w:val="auto"/>
        </w:rPr>
        <w:t>Enrique Conterno</w:t>
      </w:r>
    </w:p>
    <w:p>
      <w:pPr>
        <w:ind w:left="500"/>
        <w:spacing w:after="0"/>
        <w:rPr>
          <w:sz w:val="20"/>
          <w:szCs w:val="20"/>
          <w:color w:val="auto"/>
        </w:rPr>
      </w:pPr>
      <w:r>
        <w:rPr>
          <w:rFonts w:ascii="Arial" w:cs="Arial" w:eastAsia="Arial" w:hAnsi="Arial"/>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 Confidential Information, Secrecy and Inventions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 Separation Date Release</w:t>
      </w:r>
    </w:p>
    <w:p>
      <w:pPr>
        <w:spacing w:after="0" w:line="230" w:lineRule="auto"/>
        <w:rPr>
          <w:sz w:val="20"/>
          <w:szCs w:val="20"/>
          <w:color w:val="auto"/>
        </w:rPr>
      </w:pPr>
      <w:r>
        <w:rPr>
          <w:rFonts w:ascii="Arial" w:cs="Arial" w:eastAsia="Arial" w:hAnsi="Arial"/>
          <w:sz w:val="22"/>
          <w:szCs w:val="22"/>
          <w:b w:val="1"/>
          <w:bCs w:val="1"/>
          <w:color w:val="auto"/>
        </w:rPr>
        <w:t>Exhibit C: Termination of Services Release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D: List of Outstanding Stock Awards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NDERSTOOD</w:t>
      </w:r>
      <w:r>
        <w:rPr>
          <w:rFonts w:ascii="Arial" w:cs="Arial" w:eastAsia="Arial" w:hAnsi="Arial"/>
          <w:sz w:val="22"/>
          <w:szCs w:val="22"/>
          <w:b w:val="1"/>
          <w:bCs w:val="1"/>
          <w:color w:val="auto"/>
        </w:rPr>
        <w:t>, A</w:t>
      </w:r>
      <w:r>
        <w:rPr>
          <w:rFonts w:ascii="Arial" w:cs="Arial" w:eastAsia="Arial" w:hAnsi="Arial"/>
          <w:sz w:val="14"/>
          <w:szCs w:val="14"/>
          <w:b w:val="1"/>
          <w:bCs w:val="1"/>
          <w:color w:val="auto"/>
        </w:rPr>
        <w:t>CCEPTED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/s/ K. Peony Yu</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 Peony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566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Nov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jc w:val="center"/>
        <w:ind w:right="-110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06" w:lineRule="exact"/>
        <w:rPr>
          <w:sz w:val="20"/>
          <w:szCs w:val="20"/>
          <w:color w:val="auto"/>
        </w:rPr>
      </w:pPr>
    </w:p>
    <w:p>
      <w:pPr>
        <w:jc w:val="right"/>
        <w:ind w:right="559"/>
        <w:spacing w:after="0"/>
        <w:rPr>
          <w:sz w:val="20"/>
          <w:szCs w:val="20"/>
          <w:color w:val="auto"/>
        </w:rPr>
      </w:pPr>
      <w:r>
        <w:rPr>
          <w:rFonts w:ascii="Arial" w:cs="Arial" w:eastAsia="Arial" w:hAnsi="Arial"/>
          <w:sz w:val="22"/>
          <w:szCs w:val="22"/>
          <w:b w:val="1"/>
          <w:bCs w:val="1"/>
          <w:color w:val="auto"/>
        </w:rPr>
        <w:t>CONFIDENTIAL INFORMATION, SECRECY, AND INVENTIONS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85"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DATE RELEASE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signed and returned to the Company on or within twenty-one (21) days after the Separation Date)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exchange for the consideration to be provided to me pursuant to that certain letter transition, separation, and consulting agreement between me and FibroGen,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dated November 27, 2020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 hereby provide the following Separation Date Release. Capitalized terms used but not defined herein shall have the meanings ascribed to them in the Agreement.</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 hereby represent that: (i) I have been paid all compensation owed and have been paid for all hours worked for the Company through the Separation Date; (ii) I have received all the leave and leave benefits and protections for which I am eligible pursuant to the federal Family and Medical Leave Act or otherwise; and (iii) I have not suffered any on-the-job injury for which I have not already filed a claim.</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 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Arial" w:cs="Arial" w:eastAsia="Arial" w:hAnsi="Arial"/>
          <w:sz w:val="21"/>
          <w:szCs w:val="21"/>
          <w:b w:val="1"/>
          <w:bCs w:val="1"/>
          <w:i w:val="1"/>
          <w:iCs w:val="1"/>
          <w:color w:val="auto"/>
        </w:rPr>
        <w:t>Released Parties</w:t>
      </w:r>
      <w:r>
        <w:rPr>
          <w:rFonts w:ascii="Arial" w:cs="Arial" w:eastAsia="Arial" w:hAnsi="Arial"/>
          <w:sz w:val="21"/>
          <w:szCs w:val="21"/>
          <w:color w:val="auto"/>
        </w:rPr>
        <w:t>”) from any and all claims, liabilities and obligations, both known and unknown, that arise out of or are in any way related to events, acts, conduct, or omissions occurring prior to or on the date I sign this Agreement (collectively, the “</w:t>
      </w:r>
      <w:r>
        <w:rPr>
          <w:rFonts w:ascii="Arial" w:cs="Arial" w:eastAsia="Arial" w:hAnsi="Arial"/>
          <w:sz w:val="21"/>
          <w:szCs w:val="21"/>
          <w:b w:val="1"/>
          <w:bCs w:val="1"/>
          <w:i w:val="1"/>
          <w:iCs w:val="1"/>
          <w:color w:val="auto"/>
        </w:rPr>
        <w:t>Released Claims</w:t>
      </w:r>
      <w:r>
        <w:rPr>
          <w:rFonts w:ascii="Arial" w:cs="Arial" w:eastAsia="Arial" w:hAnsi="Arial"/>
          <w:sz w:val="21"/>
          <w:szCs w:val="21"/>
          <w:color w:val="auto"/>
        </w:rPr>
        <w:t>”).</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Released Claims include, but are not limited to: (i) all claims arising out of or in any way related to my employment with the Company, or the termination of that employment; (ii) all claims related to my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the California Labor Code (as amended), the California Fair Employment and Housing Act (as amended), and any other laws, statutes, or regulations of the state in which I reside and/or work.</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 acknowledge that I am are knowingly and voluntarily waiving and releasing any rights I may have under the ADEA (the “</w:t>
      </w:r>
      <w:r>
        <w:rPr>
          <w:rFonts w:ascii="Arial" w:cs="Arial" w:eastAsia="Arial" w:hAnsi="Arial"/>
          <w:sz w:val="22"/>
          <w:szCs w:val="22"/>
          <w:b w:val="1"/>
          <w:bCs w:val="1"/>
          <w:i w:val="1"/>
          <w:iCs w:val="1"/>
          <w:color w:val="auto"/>
        </w:rPr>
        <w:t>Release ADEA Waiver</w:t>
      </w:r>
      <w:r>
        <w:rPr>
          <w:rFonts w:ascii="Arial" w:cs="Arial" w:eastAsia="Arial" w:hAnsi="Arial"/>
          <w:sz w:val="22"/>
          <w:szCs w:val="22"/>
          <w:color w:val="auto"/>
        </w:rPr>
        <w:t>”). I also acknowledge that the consideration given for this waiver is in addition to anything of value to which I was already entitled. I further acknowledge that I have been advised by this writing, as required by the ADEA, that: (a) this waiver does not apply to any rights or claims that arise after the date I sign this Separation Date Release; (b) I should consult with an attorney prior to signing this Separation Date Release; (c) 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97" w:name="page98"/>
    <w:bookmarkEnd w:id="97"/>
    <w:p>
      <w:pPr>
        <w:jc w:val="both"/>
        <w:spacing w:after="0" w:line="252" w:lineRule="auto"/>
        <w:rPr>
          <w:sz w:val="20"/>
          <w:szCs w:val="20"/>
          <w:color w:val="auto"/>
        </w:rPr>
      </w:pPr>
      <w:r>
        <w:rPr>
          <w:rFonts w:ascii="Arial" w:cs="Arial" w:eastAsia="Arial" w:hAnsi="Arial"/>
          <w:sz w:val="21"/>
          <w:szCs w:val="21"/>
          <w:color w:val="auto"/>
        </w:rPr>
        <w:t>have had twenty-one (21) days to consider this Separation Date Release; (d) I have seven (7) days following the date I sign this Separation Date Release to revoke (in a written revocation sent to the Company’s CEO); and (e) this Separation Date Release will not be effective until the date upon which the revocation period has expired, which will be the eighth day after I sign this Separation Date Release (the “</w:t>
      </w:r>
      <w:r>
        <w:rPr>
          <w:rFonts w:ascii="Arial" w:cs="Arial" w:eastAsia="Arial" w:hAnsi="Arial"/>
          <w:sz w:val="21"/>
          <w:szCs w:val="21"/>
          <w:b w:val="1"/>
          <w:bCs w:val="1"/>
          <w:i w:val="1"/>
          <w:iCs w:val="1"/>
          <w:color w:val="auto"/>
        </w:rPr>
        <w:t>Separation Date Release Effective Date</w:t>
      </w:r>
      <w:r>
        <w:rPr>
          <w:rFonts w:ascii="Arial" w:cs="Arial" w:eastAsia="Arial" w:hAnsi="Arial"/>
          <w:sz w:val="21"/>
          <w:szCs w:val="21"/>
          <w:color w:val="auto"/>
        </w:rPr>
        <w:t>”).</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giving the general release of claims herein, which includes claims that may be unknown to me at present, I acknowledge that I have read and understand Section 1542 of the California Civil Code, which reads as follows: </w:t>
      </w:r>
      <w:r>
        <w:rPr>
          <w:rFonts w:ascii="Arial" w:cs="Arial" w:eastAsia="Arial" w:hAnsi="Arial"/>
          <w:sz w:val="19"/>
          <w:szCs w:val="19"/>
          <w:b w:val="1"/>
          <w:bCs w:val="1"/>
          <w:color w:val="auto"/>
        </w:rPr>
        <w:t>“A general release does not extend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I hereby expressly waive and relinquish all rights and benefits under that section and any law of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of similar effect with respect to my release of any claims hereunder.</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Notwithstanding the foregoing, I acknowledge and understand that the following are not included in the Released Claims (the “</w:t>
      </w:r>
      <w:r>
        <w:rPr>
          <w:rFonts w:ascii="Arial" w:cs="Arial" w:eastAsia="Arial" w:hAnsi="Arial"/>
          <w:sz w:val="21"/>
          <w:szCs w:val="21"/>
          <w:b w:val="1"/>
          <w:bCs w:val="1"/>
          <w:i w:val="1"/>
          <w:iCs w:val="1"/>
          <w:color w:val="auto"/>
        </w:rPr>
        <w:t>Excluded Claims</w:t>
      </w:r>
      <w:r>
        <w:rPr>
          <w:rFonts w:ascii="Arial" w:cs="Arial" w:eastAsia="Arial" w:hAnsi="Arial"/>
          <w:sz w:val="21"/>
          <w:szCs w:val="21"/>
          <w:color w:val="auto"/>
        </w:rPr>
        <w:t>”): (i) any rights or claims for indemnification I may have pursuant to any written indemnification agreement with the Company to which I am a party or under applicable law; (ii) any rights related to vested securities of the Company that were granted to me during the course of my employment with the Company, or any shares of capital stock or other securities of the Company that I purchased other than pursuant to Company’s Plan or the Equity Benefit that arise after the date of this Separation Date Release; or (iii) any rights which are not waivable as a matter of law; and (iv) any claims for breach of this Agreement. I hereby represent and warrant that, other than the Excluded Claims, I am not aware of any claims I have or might have against any of the Released Parties that are not included in the Released Claims. I understand that nothing in this Agreement limits my ability to file a charge or complaint with any Government Agency. I further understand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Agreement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Agreement.</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22"/>
          <w:szCs w:val="22"/>
          <w:color w:val="auto"/>
        </w:rPr>
        <w:t>“Plan” collectively refers to (i) Company’s Amended and Restated 2005 Stock Plan, adopted by the Board on February 17, 2005, as amended from time to time, (ii) Company’s 2014 Equity Incentive Plan, adopted by the Board on September 9, 2014, as amended from time to time, and (iii) any preceding and succeeding plans thereto.</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Separation Date Release, together with the Agreement and its exhibits, constitutes the entire agreement between me, and the Company with respect to the subject matter hereof. I am not relying on any representation not contained herein or in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NDERSTOOD</w:t>
      </w:r>
      <w:r>
        <w:rPr>
          <w:rFonts w:ascii="Arial" w:cs="Arial" w:eastAsia="Arial" w:hAnsi="Arial"/>
          <w:sz w:val="22"/>
          <w:szCs w:val="22"/>
          <w:b w:val="1"/>
          <w:bCs w:val="1"/>
          <w:color w:val="auto"/>
        </w:rPr>
        <w:t>, A</w:t>
      </w:r>
      <w:r>
        <w:rPr>
          <w:rFonts w:ascii="Arial" w:cs="Arial" w:eastAsia="Arial" w:hAnsi="Arial"/>
          <w:sz w:val="14"/>
          <w:szCs w:val="14"/>
          <w:b w:val="1"/>
          <w:bCs w:val="1"/>
          <w:color w:val="auto"/>
        </w:rPr>
        <w:t>CCEPTED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pacing w:after="0" w:line="253" w:lineRule="exact"/>
        <w:rPr>
          <w:sz w:val="20"/>
          <w:szCs w:val="20"/>
          <w:color w:val="auto"/>
        </w:rPr>
      </w:pPr>
    </w:p>
    <w:p>
      <w:pPr>
        <w:spacing w:after="0"/>
        <w:tabs>
          <w:tab w:leader="none" w:pos="5720" w:val="left"/>
        </w:tabs>
        <w:rPr>
          <w:sz w:val="20"/>
          <w:szCs w:val="20"/>
          <w:color w:val="auto"/>
        </w:rPr>
      </w:pPr>
      <w:r>
        <w:rPr>
          <w:rFonts w:ascii="Arial" w:cs="Arial" w:eastAsia="Arial" w:hAnsi="Arial"/>
          <w:sz w:val="22"/>
          <w:szCs w:val="22"/>
          <w:color w:val="auto"/>
        </w:rPr>
        <w:t>K. Peony Yu</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of Services Release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be signed and returned to the Company within five (5) days after the termination of the Consulting Period)</w:t>
      </w:r>
    </w:p>
    <w:p>
      <w:pPr>
        <w:spacing w:after="0" w:line="2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exchange for the consideration to be provided to me pursuant to that certain letter transition, separation, and consulting agreement between me and FibroGen, Inc. (the “</w:t>
      </w:r>
      <w:r>
        <w:rPr>
          <w:rFonts w:ascii="Arial" w:cs="Arial" w:eastAsia="Arial" w:hAnsi="Arial"/>
          <w:sz w:val="22"/>
          <w:szCs w:val="22"/>
          <w:b w:val="1"/>
          <w:bCs w:val="1"/>
          <w:color w:val="auto"/>
        </w:rPr>
        <w:t>Company</w:t>
      </w:r>
      <w:r>
        <w:rPr>
          <w:rFonts w:ascii="Arial" w:cs="Arial" w:eastAsia="Arial" w:hAnsi="Arial"/>
          <w:sz w:val="22"/>
          <w:szCs w:val="22"/>
          <w:color w:val="auto"/>
        </w:rPr>
        <w:t>”) dated November 27, 2020 (the “</w:t>
      </w:r>
      <w:r>
        <w:rPr>
          <w:rFonts w:ascii="Arial" w:cs="Arial" w:eastAsia="Arial" w:hAnsi="Arial"/>
          <w:sz w:val="22"/>
          <w:szCs w:val="22"/>
          <w:b w:val="1"/>
          <w:bCs w:val="1"/>
          <w:color w:val="auto"/>
        </w:rPr>
        <w:t>Agreement</w:t>
      </w:r>
      <w:r>
        <w:rPr>
          <w:rFonts w:ascii="Arial" w:cs="Arial" w:eastAsia="Arial" w:hAnsi="Arial"/>
          <w:sz w:val="22"/>
          <w:szCs w:val="22"/>
          <w:color w:val="auto"/>
        </w:rPr>
        <w:t>”), I hereby provide the following Termination of Services Release. Capitalized terms used but not defined herein shall have the meanings ascribed to them in the Agreement.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 confirm that I have returned to the Company all Company confidential and proprietary information and other property that I received in the course of my service with the Company, and agree to abide by all of my continuing obligations under the Agreement and the Confidential Information, Secrecy and Inventions Agreement I signed during my employment with the Company, including my obligation to keep all Company confidential and proprietary information in strict confidence.</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 represent and warrant that I have been paid all amounts owed to me as a result of my relationship with the Company, and have been reimbursed for all reimbursable business expenses incurred in connection with such service.</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 hereby forever release the Company, its affiliated, related, parent, and subsidiary entities, and their current and former directors, officers, employees, shareholders, partners, agents, contractors, vendors, attorneys, predecessors, successors, insurers, affiliates, and assigns, from any and all claims, liabilities, demands, causes of action, attorneys’ fees, damages, or obligations of every kind and nature, whether known or unknown, arising from or in any way related to my service with the Company through and including the date I sign this Agreement. This general release includes, but is not limited to, all claims related to or arising from my work for the Company and/or the termination of that my relationship with the Company, as well as all federal and state statutory and common law claims, and claims for breach of contract or other promise, fraud, misrepresentation, discrimination, harassment, retaliation, emotional distress, compensation, commissions, benefits, or equity interests (except for any equity interests promised to me in the Agreement).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giving the general release of claims herein, which includes claims that may be unknown to me at present, I acknowledge that I have read and understand Section 1542 of the California Civil Code, which reads as follows: </w:t>
      </w:r>
      <w:r>
        <w:rPr>
          <w:rFonts w:ascii="Arial" w:cs="Arial" w:eastAsia="Arial" w:hAnsi="Arial"/>
          <w:sz w:val="19"/>
          <w:szCs w:val="19"/>
          <w:b w:val="1"/>
          <w:bCs w:val="1"/>
          <w:color w:val="auto"/>
        </w:rPr>
        <w:t>“A general release does not extend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I hereby expressly waive and relinquish all rights and benefits under that section and any law of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of similar effect with respect to my release of any claims hereunder.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99" w:name="page100"/>
    <w:bookmarkEnd w:id="99"/>
    <w:p>
      <w:pPr>
        <w:jc w:val="both"/>
        <w:spacing w:after="0" w:line="234" w:lineRule="auto"/>
        <w:rPr>
          <w:sz w:val="20"/>
          <w:szCs w:val="20"/>
          <w:color w:val="auto"/>
        </w:rPr>
      </w:pPr>
      <w:r>
        <w:rPr>
          <w:rFonts w:ascii="Arial" w:cs="Arial" w:eastAsia="Arial" w:hAnsi="Arial"/>
          <w:sz w:val="22"/>
          <w:szCs w:val="22"/>
          <w:color w:val="auto"/>
        </w:rPr>
        <w:t>Notwithstanding the foregoing, I acknowledge and understand that the following are not included in the claims being released hereunder: (i) any rights or claims for indemnification I may have pursuant to any written indemnification agreement with the Company to which I am a party or under applicable law; (ii) any rights related to vested securities of the Company that were granted to me during the course of my employment with the Company, or any shares of capital stock or other securities of the Company that I purchased other than pursuant to Company’s Plan or the Equity Benefit that arise after the date of this Termination of Services Release; or (iii) any rights which are not waivable as a matter of law; and (iv) any claims for breach of this Agreement.</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“Plan” collectively refers to (i) Company’s Amended and Restated 2005 Stock Plan, adopted by the Board on February 17, 2005, as amended from time to time, (ii) Company’s 2014 Equity Incentive Plan, adopted by the Board on September 9, 2014, as amended from time to time, and (iii) any preceding and succeeding plans thereto.</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 understand and agree that the promises and payments in consideration of this Agreement shall not be construed to be an admission of any liability or obligation by the Company to me or to any other person, and the Company makes no such admission.</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Termination of Services Release, together with the Agreement and its exhibits, constitutes the entire agreement between me, and the Company with respect to the subject matter hereof. I am not relying on any representation not contained herein or in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UNDERSTOOD AND AGREED: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5720" w:val="left"/>
        </w:tabs>
        <w:rPr>
          <w:sz w:val="20"/>
          <w:szCs w:val="20"/>
          <w:color w:val="auto"/>
        </w:rPr>
      </w:pPr>
      <w:r>
        <w:rPr>
          <w:rFonts w:ascii="Arial" w:cs="Arial" w:eastAsia="Arial" w:hAnsi="Arial"/>
          <w:sz w:val="22"/>
          <w:szCs w:val="22"/>
          <w:color w:val="auto"/>
        </w:rPr>
        <w:t>K. Peony Yu</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3574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Outstanding Awards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Grant Number</w:t>
            </w:r>
          </w:p>
        </w:tc>
        <w:tc>
          <w:tcPr>
            <w:tcW w:w="188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b w:val="1"/>
                <w:bCs w:val="1"/>
                <w:color w:val="auto"/>
              </w:rPr>
              <w:t>Grant Date</w:t>
            </w:r>
          </w:p>
        </w:tc>
        <w:tc>
          <w:tcPr>
            <w:tcW w:w="920" w:type="dxa"/>
            <w:vAlign w:val="bottom"/>
            <w:tcBorders>
              <w:top w:val="single" w:sz="8" w:color="auto"/>
              <w:bottom w:val="single" w:sz="8" w:color="auto"/>
              <w:right w:val="single" w:sz="8" w:color="auto"/>
            </w:tcBorders>
          </w:tcPr>
          <w:p>
            <w:pPr>
              <w:spacing w:after="0"/>
              <w:rPr>
                <w:sz w:val="22"/>
                <w:szCs w:val="22"/>
                <w:color w:val="auto"/>
              </w:rPr>
            </w:pP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Shares Granted</w:t>
            </w:r>
          </w:p>
        </w:tc>
        <w:tc>
          <w:tcPr>
            <w:tcW w:w="28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22"/>
                <w:szCs w:val="22"/>
                <w:b w:val="1"/>
                <w:bCs w:val="1"/>
                <w:color w:val="auto"/>
              </w:rPr>
              <w:t>Price Per Share</w:t>
            </w:r>
          </w:p>
        </w:tc>
        <w:tc>
          <w:tcPr>
            <w:tcW w:w="0" w:type="dxa"/>
            <w:vAlign w:val="bottom"/>
          </w:tcPr>
          <w:p>
            <w:pPr>
              <w:spacing w:after="0"/>
              <w:rPr>
                <w:sz w:val="1"/>
                <w:szCs w:val="1"/>
                <w:color w:val="auto"/>
              </w:rPr>
            </w:pPr>
          </w:p>
        </w:tc>
      </w:tr>
      <w:tr>
        <w:trPr>
          <w:trHeight w:val="236"/>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004128</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03/04/2015</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4,618</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29.66</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005650</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03/08/2017</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5,011</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25.40</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006399</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03/04/2018</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1,860</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53.75</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007237</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02/05/2019</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1,744</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57.33</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008170</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03/17/2020</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3,786</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26.41</w:t>
            </w:r>
          </w:p>
        </w:tc>
        <w:tc>
          <w:tcPr>
            <w:tcW w:w="0" w:type="dxa"/>
            <w:vAlign w:val="bottom"/>
          </w:tcPr>
          <w:p>
            <w:pPr>
              <w:spacing w:after="0"/>
              <w:rPr>
                <w:sz w:val="1"/>
                <w:szCs w:val="1"/>
                <w:color w:val="auto"/>
              </w:rPr>
            </w:pPr>
          </w:p>
        </w:tc>
      </w:tr>
      <w:tr>
        <w:trPr>
          <w:trHeight w:val="236"/>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007238</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02/05/2019</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53,456</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57.33</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008171</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03/17/2020</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71,214</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26.41</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NQ3406</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11/13/2014</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52,500</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18.00</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NQ4128</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03/04/2015</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59,518</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29.66</w:t>
            </w:r>
          </w:p>
        </w:tc>
        <w:tc>
          <w:tcPr>
            <w:tcW w:w="0" w:type="dxa"/>
            <w:vAlign w:val="bottom"/>
          </w:tcPr>
          <w:p>
            <w:pPr>
              <w:spacing w:after="0"/>
              <w:rPr>
                <w:sz w:val="1"/>
                <w:szCs w:val="1"/>
                <w:color w:val="auto"/>
              </w:rPr>
            </w:pPr>
          </w:p>
        </w:tc>
      </w:tr>
      <w:tr>
        <w:trPr>
          <w:trHeight w:val="236"/>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NQ4695</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02/22/2016</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56,250</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19.39</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NQ5650</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03/08/2017</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64,989</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112"/>
              <w:spacing w:after="0" w:line="237" w:lineRule="exact"/>
              <w:rPr>
                <w:sz w:val="20"/>
                <w:szCs w:val="20"/>
                <w:color w:val="auto"/>
              </w:rPr>
            </w:pPr>
            <w:r>
              <w:rPr>
                <w:rFonts w:ascii="Arial" w:cs="Arial" w:eastAsia="Arial" w:hAnsi="Arial"/>
                <w:sz w:val="22"/>
                <w:szCs w:val="22"/>
                <w:b w:val="1"/>
                <w:bCs w:val="1"/>
                <w:color w:val="auto"/>
                <w:w w:val="87"/>
              </w:rPr>
              <w:t>25.40</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NQ6399</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03/14/2018</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53,140</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w w:val="94"/>
              </w:rPr>
              <w:t>53.75</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R05928</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03/08/2017</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41,176</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rPr>
              <w:t>0.00</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R06698</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03/14/2018</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32,000</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rPr>
              <w:t>0.00</w:t>
            </w:r>
          </w:p>
        </w:tc>
        <w:tc>
          <w:tcPr>
            <w:tcW w:w="0" w:type="dxa"/>
            <w:vAlign w:val="bottom"/>
          </w:tcPr>
          <w:p>
            <w:pPr>
              <w:spacing w:after="0"/>
              <w:rPr>
                <w:sz w:val="1"/>
                <w:szCs w:val="1"/>
                <w:color w:val="auto"/>
              </w:rPr>
            </w:pPr>
          </w:p>
        </w:tc>
      </w:tr>
      <w:tr>
        <w:trPr>
          <w:trHeight w:val="236"/>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R07555</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02/05/2019</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33,100</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rPr>
              <w:t>0.00</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R08544</w:t>
            </w:r>
          </w:p>
        </w:tc>
        <w:tc>
          <w:tcPr>
            <w:tcW w:w="18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03/17/2020</w:t>
            </w:r>
          </w:p>
        </w:tc>
        <w:tc>
          <w:tcPr>
            <w:tcW w:w="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b w:val="1"/>
                <w:bCs w:val="1"/>
                <w:color w:val="auto"/>
              </w:rPr>
              <w:t>45,000</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75"/>
              </w:rPr>
              <w:t>$</w:t>
            </w:r>
          </w:p>
        </w:tc>
        <w:tc>
          <w:tcPr>
            <w:tcW w:w="2720" w:type="dxa"/>
            <w:vAlign w:val="bottom"/>
            <w:tcBorders>
              <w:bottom w:val="single" w:sz="8" w:color="auto"/>
              <w:right w:val="single" w:sz="8" w:color="auto"/>
            </w:tcBorders>
          </w:tcPr>
          <w:p>
            <w:pPr>
              <w:jc w:val="right"/>
              <w:ind w:right="2072"/>
              <w:spacing w:after="0" w:line="237" w:lineRule="exact"/>
              <w:rPr>
                <w:sz w:val="20"/>
                <w:szCs w:val="20"/>
                <w:color w:val="auto"/>
              </w:rPr>
            </w:pPr>
            <w:r>
              <w:rPr>
                <w:rFonts w:ascii="Arial" w:cs="Arial" w:eastAsia="Arial" w:hAnsi="Arial"/>
                <w:sz w:val="22"/>
                <w:szCs w:val="22"/>
                <w:b w:val="1"/>
                <w:bCs w:val="1"/>
                <w:color w:val="auto"/>
              </w:rPr>
              <w:t>0.00</w:t>
            </w:r>
          </w:p>
        </w:tc>
        <w:tc>
          <w:tcPr>
            <w:tcW w:w="0" w:type="dxa"/>
            <w:vAlign w:val="bottom"/>
          </w:tcPr>
          <w:p>
            <w:pPr>
              <w:spacing w:after="0"/>
              <w:rPr>
                <w:sz w:val="1"/>
                <w:szCs w:val="1"/>
                <w:color w:val="auto"/>
              </w:rPr>
            </w:pPr>
          </w:p>
        </w:tc>
      </w:tr>
      <w:tr>
        <w:trPr>
          <w:trHeight w:val="949"/>
        </w:trPr>
        <w:tc>
          <w:tcPr>
            <w:tcW w:w="2820" w:type="dxa"/>
            <w:vAlign w:val="bottom"/>
            <w:vMerge w:val="restart"/>
          </w:tcPr>
          <w:p>
            <w:pPr>
              <w:spacing w:after="0"/>
              <w:rPr>
                <w:sz w:val="20"/>
                <w:szCs w:val="20"/>
                <w:color w:val="auto"/>
              </w:rPr>
            </w:pPr>
            <w:r>
              <w:rPr>
                <w:rFonts w:ascii="Arial" w:cs="Arial" w:eastAsia="Arial" w:hAnsi="Arial"/>
                <w:sz w:val="13"/>
                <w:szCs w:val="13"/>
                <w:color w:val="auto"/>
              </w:rPr>
              <w:t>Execution Copy</w:t>
            </w:r>
          </w:p>
        </w:tc>
        <w:tc>
          <w:tcPr>
            <w:tcW w:w="1880" w:type="dxa"/>
            <w:vAlign w:val="bottom"/>
          </w:tcPr>
          <w:p>
            <w:pPr>
              <w:spacing w:after="0"/>
              <w:rPr>
                <w:sz w:val="24"/>
                <w:szCs w:val="24"/>
                <w:color w:val="auto"/>
              </w:rPr>
            </w:pPr>
          </w:p>
        </w:tc>
        <w:tc>
          <w:tcPr>
            <w:tcW w:w="3720" w:type="dxa"/>
            <w:vAlign w:val="bottom"/>
            <w:gridSpan w:val="2"/>
          </w:tcPr>
          <w:p>
            <w:pPr>
              <w:jc w:val="right"/>
              <w:ind w:right="2572"/>
              <w:spacing w:after="0"/>
              <w:rPr>
                <w:sz w:val="20"/>
                <w:szCs w:val="20"/>
                <w:color w:val="auto"/>
              </w:rPr>
            </w:pPr>
            <w:r>
              <w:rPr>
                <w:rFonts w:ascii="Arial" w:cs="Arial" w:eastAsia="Arial" w:hAnsi="Arial"/>
                <w:sz w:val="22"/>
                <w:szCs w:val="22"/>
                <w:color w:val="auto"/>
              </w:rPr>
              <w:t>16</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5" w:right="339" w:bottom="1440" w:gutter="0" w:footer="0" w:header="0"/>
        </w:sectPr>
      </w:pPr>
    </w:p>
    <w:bookmarkStart w:id="101" w:name="page102"/>
    <w:bookmarkEnd w:id="101"/>
    <w:p>
      <w:pPr>
        <w:ind w:firstLine="8"/>
        <w:spacing w:after="0" w:line="267" w:lineRule="auto"/>
        <w:tabs>
          <w:tab w:leader="none" w:pos="296"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ASTELLAS EU SUPPLY AGREEMENT</w:t>
      </w:r>
    </w:p>
    <w:p>
      <w:pPr>
        <w:spacing w:after="0" w:line="206" w:lineRule="exact"/>
        <w:rPr>
          <w:sz w:val="20"/>
          <w:szCs w:val="20"/>
          <w:color w:val="auto"/>
        </w:rPr>
      </w:pPr>
    </w:p>
    <w:p>
      <w:pPr>
        <w:jc w:val="both"/>
        <w:ind w:firstLine="814"/>
        <w:spacing w:after="0" w:line="280" w:lineRule="auto"/>
        <w:rPr>
          <w:sz w:val="20"/>
          <w:szCs w:val="20"/>
          <w:color w:val="auto"/>
        </w:rPr>
      </w:pPr>
      <w:r>
        <w:rPr>
          <w:rFonts w:ascii="Arial" w:cs="Arial" w:eastAsia="Arial" w:hAnsi="Arial"/>
          <w:sz w:val="19"/>
          <w:szCs w:val="19"/>
          <w:color w:val="auto"/>
        </w:rPr>
        <w:t>This Astellas EU Supply Agreement (the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effective as of </w:t>
      </w:r>
      <w:r>
        <w:rPr>
          <w:rFonts w:ascii="Arial" w:cs="Arial" w:eastAsia="Arial" w:hAnsi="Arial"/>
          <w:sz w:val="19"/>
          <w:szCs w:val="19"/>
          <w:b w:val="1"/>
          <w:bCs w:val="1"/>
          <w:color w:val="auto"/>
        </w:rPr>
        <w:t>January 1, 2021</w:t>
      </w:r>
      <w:r>
        <w:rPr>
          <w:rFonts w:ascii="Arial" w:cs="Arial" w:eastAsia="Arial" w:hAnsi="Arial"/>
          <w:sz w:val="19"/>
          <w:szCs w:val="19"/>
          <w:color w:val="auto"/>
        </w:rPr>
        <w:t xml:space="preserve">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FibroGen, Inc</w:t>
      </w:r>
      <w:r>
        <w:rPr>
          <w:rFonts w:ascii="Arial" w:cs="Arial" w:eastAsia="Arial" w:hAnsi="Arial"/>
          <w:sz w:val="19"/>
          <w:szCs w:val="19"/>
          <w:color w:val="auto"/>
        </w:rPr>
        <w:t>., a Delaware corporation with offices located at 409 Illinois Street, San Francisco, California 94158 U.S.A. (“</w:t>
      </w:r>
      <w:r>
        <w:rPr>
          <w:rFonts w:ascii="Arial" w:cs="Arial" w:eastAsia="Arial" w:hAnsi="Arial"/>
          <w:sz w:val="19"/>
          <w:szCs w:val="19"/>
          <w:b w:val="1"/>
          <w:bCs w:val="1"/>
          <w:color w:val="auto"/>
        </w:rPr>
        <w:t>FibroGen</w:t>
      </w:r>
      <w:r>
        <w:rPr>
          <w:rFonts w:ascii="Arial" w:cs="Arial" w:eastAsia="Arial" w:hAnsi="Arial"/>
          <w:sz w:val="19"/>
          <w:szCs w:val="19"/>
          <w:color w:val="auto"/>
        </w:rPr>
        <w:t xml:space="preserve">”); and </w:t>
      </w:r>
      <w:r>
        <w:rPr>
          <w:rFonts w:ascii="Arial" w:cs="Arial" w:eastAsia="Arial" w:hAnsi="Arial"/>
          <w:sz w:val="19"/>
          <w:szCs w:val="19"/>
          <w:b w:val="1"/>
          <w:bCs w:val="1"/>
          <w:color w:val="auto"/>
        </w:rPr>
        <w:t>Astellas Pharma Europe Ltd</w:t>
      </w:r>
      <w:r>
        <w:rPr>
          <w:rFonts w:ascii="Arial" w:cs="Arial" w:eastAsia="Arial" w:hAnsi="Arial"/>
          <w:sz w:val="19"/>
          <w:szCs w:val="19"/>
          <w:color w:val="auto"/>
        </w:rPr>
        <w:t>, an English corporation with offices located at 300 Dashwood Lang Road, Bourne Business Park, Addlestone, Surrey, KT15 2NX England (“</w:t>
      </w:r>
      <w:r>
        <w:rPr>
          <w:rFonts w:ascii="Arial" w:cs="Arial" w:eastAsia="Arial" w:hAnsi="Arial"/>
          <w:sz w:val="19"/>
          <w:szCs w:val="19"/>
          <w:b w:val="1"/>
          <w:bCs w:val="1"/>
          <w:color w:val="auto"/>
        </w:rPr>
        <w:t>Astellas</w:t>
      </w:r>
      <w:r>
        <w:rPr>
          <w:rFonts w:ascii="Arial" w:cs="Arial" w:eastAsia="Arial" w:hAnsi="Arial"/>
          <w:sz w:val="19"/>
          <w:szCs w:val="19"/>
          <w:color w:val="auto"/>
        </w:rPr>
        <w:t>”). Astellas and FibroGen may be referred to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Astellas and each of its Affiliates shall collectively be referred to herein as “</w:t>
      </w:r>
      <w:r>
        <w:rPr>
          <w:rFonts w:ascii="Arial" w:cs="Arial" w:eastAsia="Arial" w:hAnsi="Arial"/>
          <w:sz w:val="19"/>
          <w:szCs w:val="19"/>
          <w:b w:val="1"/>
          <w:bCs w:val="1"/>
          <w:color w:val="auto"/>
        </w:rPr>
        <w:t>Astellas</w:t>
      </w:r>
      <w:r>
        <w:rPr>
          <w:rFonts w:ascii="Arial" w:cs="Arial" w:eastAsia="Arial" w:hAnsi="Arial"/>
          <w:sz w:val="19"/>
          <w:szCs w:val="19"/>
          <w:color w:val="auto"/>
        </w:rPr>
        <w:t>”. FibroGen and each of its Affiliates shall collectively be referred to herein as “</w:t>
      </w:r>
      <w:r>
        <w:rPr>
          <w:rFonts w:ascii="Arial" w:cs="Arial" w:eastAsia="Arial" w:hAnsi="Arial"/>
          <w:sz w:val="19"/>
          <w:szCs w:val="19"/>
          <w:b w:val="1"/>
          <w:bCs w:val="1"/>
          <w:color w:val="auto"/>
        </w:rPr>
        <w:t>FibroGen</w:t>
      </w:r>
      <w:r>
        <w:rPr>
          <w:rFonts w:ascii="Arial" w:cs="Arial" w:eastAsia="Arial" w:hAnsi="Arial"/>
          <w:sz w:val="19"/>
          <w:szCs w:val="19"/>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jc w:val="both"/>
        <w:ind w:right="20" w:firstLine="81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FibroGen owns or controls certain technology and intellectual property relating to the compound known</w:t>
      </w:r>
      <w:r>
        <w:rPr>
          <w:rFonts w:ascii="Arial" w:cs="Arial" w:eastAsia="Arial" w:hAnsi="Arial"/>
          <w:sz w:val="22"/>
          <w:szCs w:val="22"/>
          <w:b w:val="1"/>
          <w:bCs w:val="1"/>
          <w:color w:val="auto"/>
        </w:rPr>
        <w:t xml:space="preserve"> </w:t>
      </w:r>
      <w:r>
        <w:rPr>
          <w:rFonts w:ascii="Arial" w:cs="Arial" w:eastAsia="Arial" w:hAnsi="Arial"/>
          <w:sz w:val="22"/>
          <w:szCs w:val="22"/>
          <w:color w:val="auto"/>
        </w:rPr>
        <w:t>as roxadustat (or FG-4592);</w:t>
      </w:r>
    </w:p>
    <w:p>
      <w:pPr>
        <w:spacing w:after="0" w:line="162" w:lineRule="exact"/>
        <w:rPr>
          <w:sz w:val="20"/>
          <w:szCs w:val="20"/>
          <w:color w:val="auto"/>
        </w:rPr>
      </w:pPr>
    </w:p>
    <w:p>
      <w:pPr>
        <w:jc w:val="both"/>
        <w:ind w:firstLine="814"/>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an Affiliate of Astellas, namely Astellas Pharma Inc., and FibroGen are parties to that certain Anemia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and Collaboration Agreement, dated as of April 28, 2006, as amended (the “</w:t>
      </w:r>
      <w:r>
        <w:rPr>
          <w:rFonts w:ascii="Arial" w:cs="Arial" w:eastAsia="Arial" w:hAnsi="Arial"/>
          <w:sz w:val="19"/>
          <w:szCs w:val="19"/>
          <w:b w:val="1"/>
          <w:bCs w:val="1"/>
          <w:color w:val="auto"/>
        </w:rPr>
        <w:t>EU Collaboration Agreement</w:t>
      </w:r>
      <w:r>
        <w:rPr>
          <w:rFonts w:ascii="Arial" w:cs="Arial" w:eastAsia="Arial" w:hAnsi="Arial"/>
          <w:sz w:val="19"/>
          <w:szCs w:val="19"/>
          <w:color w:val="auto"/>
        </w:rPr>
        <w:t>”), under which FibroGen granted to Astellas the right to develop and commercialize roxadustat in the Territory (as defined below);</w:t>
      </w:r>
    </w:p>
    <w:p>
      <w:pPr>
        <w:spacing w:after="0" w:line="12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contemplated in the EU Collaboration Agreement, Astellas and FibroGen now desire to memorialize</w:t>
      </w:r>
      <w:r>
        <w:rPr>
          <w:rFonts w:ascii="Arial" w:cs="Arial" w:eastAsia="Arial" w:hAnsi="Arial"/>
          <w:sz w:val="22"/>
          <w:szCs w:val="22"/>
          <w:b w:val="1"/>
          <w:bCs w:val="1"/>
          <w:color w:val="auto"/>
        </w:rPr>
        <w:t xml:space="preserve"> </w:t>
      </w:r>
      <w:r>
        <w:rPr>
          <w:rFonts w:ascii="Arial" w:cs="Arial" w:eastAsia="Arial" w:hAnsi="Arial"/>
          <w:sz w:val="22"/>
          <w:szCs w:val="22"/>
          <w:color w:val="auto"/>
        </w:rPr>
        <w:t>terms under which FibroGen will supply roxadustat as Bulk Product (defined below) to Astellas for Astellas’ use in commercialization of products containing roxadustat, on the terms set forth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0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promises and covenants contained herein and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hereby acknowledged, and intending to be legally bound hereby, the Parties hereto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The following capitalized terms, whether used in the singular or plural, shall have the meanings ascribed to them below for purposes of this Agreement:</w:t>
      </w:r>
    </w:p>
    <w:p>
      <w:pPr>
        <w:spacing w:after="0" w:line="169"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Actual Price Per Tablet</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ind w:left="820"/>
        <w:spacing w:after="0"/>
        <w:tabs>
          <w:tab w:leader="none" w:pos="17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Actual Weighted Average Net Selling Price Per Tablet</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206" w:lineRule="exact"/>
        <w:rPr>
          <w:sz w:val="20"/>
          <w:szCs w:val="20"/>
          <w:color w:val="auto"/>
        </w:rPr>
      </w:pPr>
    </w:p>
    <w:p>
      <w:pPr>
        <w:jc w:val="both"/>
        <w:ind w:firstLine="814"/>
        <w:spacing w:after="0" w:line="251" w:lineRule="auto"/>
        <w:rPr>
          <w:sz w:val="20"/>
          <w:szCs w:val="20"/>
          <w:color w:val="auto"/>
        </w:rPr>
      </w:pPr>
      <w:r>
        <w:rPr>
          <w:rFonts w:ascii="Arial" w:cs="Arial" w:eastAsia="Arial" w:hAnsi="Arial"/>
          <w:sz w:val="21"/>
          <w:szCs w:val="21"/>
          <w:color w:val="auto"/>
        </w:rPr>
        <w:t>1.3 “</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either Party, any other corporation or business entity that directly, or indirectly through one or more intermediaries, controls, is controlled by or is under common control with such Party. For purposes of this definition, the term “control” means direct or indirect ownership of more than fifty percent (50%) of the outstanding voting securities or other ownership interests or the power to direct or cause the direction of the management or policies of such entity, whether through the ownership of voting securities, by contract, or otherwise.</w:t>
      </w:r>
    </w:p>
    <w:p>
      <w:pPr>
        <w:spacing w:after="0" w:line="168"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1.4 “</w:t>
      </w:r>
      <w:r>
        <w:rPr>
          <w:rFonts w:ascii="Arial" w:cs="Arial" w:eastAsia="Arial" w:hAnsi="Arial"/>
          <w:sz w:val="22"/>
          <w:szCs w:val="22"/>
          <w:b w:val="1"/>
          <w:bCs w:val="1"/>
          <w:color w:val="auto"/>
        </w:rPr>
        <w:t>API</w:t>
      </w:r>
      <w:r>
        <w:rPr>
          <w:rFonts w:ascii="Arial" w:cs="Arial" w:eastAsia="Arial" w:hAnsi="Arial"/>
          <w:sz w:val="22"/>
          <w:szCs w:val="22"/>
          <w:color w:val="auto"/>
        </w:rPr>
        <w:t>” means the active pharmaceutical ingredient (ie, Roxadustat) used in the manufacture of the Bulk Product(s).</w:t>
      </w:r>
    </w:p>
    <w:p>
      <w:pPr>
        <w:spacing w:after="0" w:line="162"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Applicable Law(s)</w:t>
      </w:r>
      <w:r>
        <w:rPr>
          <w:rFonts w:ascii="Arial" w:cs="Arial" w:eastAsia="Arial" w:hAnsi="Arial"/>
          <w:sz w:val="22"/>
          <w:szCs w:val="22"/>
          <w:color w:val="auto"/>
        </w:rPr>
        <w:t>” means all laws, rules, and regulations applicable to Manufacturing Services including, as applicable, cGMP and other regulatory standards or requirements of Regulatory Authorities.</w:t>
      </w:r>
    </w:p>
    <w:p>
      <w:pPr>
        <w:spacing w:after="0" w:line="162"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Astellas Japan</w:t>
      </w:r>
      <w:r>
        <w:rPr>
          <w:rFonts w:ascii="Arial" w:cs="Arial" w:eastAsia="Arial" w:hAnsi="Arial"/>
          <w:sz w:val="22"/>
          <w:szCs w:val="22"/>
          <w:color w:val="auto"/>
        </w:rPr>
        <w:t>” means Astellas Pharma Inc. with its registered address at 2-5-1, Nihonbashi-Honcho, Chuo-ku, Tokyo 103-8411, Japan.</w:t>
      </w:r>
    </w:p>
    <w:p>
      <w:pPr>
        <w:spacing w:after="0" w:line="162"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color w:val="auto"/>
        </w:rPr>
        <w:t>Batch(es)</w:t>
      </w:r>
      <w:r>
        <w:rPr>
          <w:rFonts w:ascii="Arial" w:cs="Arial" w:eastAsia="Arial" w:hAnsi="Arial"/>
          <w:sz w:val="22"/>
          <w:szCs w:val="22"/>
          <w:color w:val="auto"/>
        </w:rPr>
        <w:t xml:space="preserve">” means a specific quantity defined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of Bulk Product that is intended to have uniform character and quality, within specified limits.</w:t>
      </w:r>
    </w:p>
    <w:p>
      <w:pPr>
        <w:spacing w:after="0" w:line="162"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Bulk Package(ing)</w:t>
      </w:r>
      <w:r>
        <w:rPr>
          <w:rFonts w:ascii="Arial" w:cs="Arial" w:eastAsia="Arial" w:hAnsi="Arial"/>
          <w:sz w:val="19"/>
          <w:szCs w:val="19"/>
          <w:color w:val="auto"/>
        </w:rPr>
        <w:t>” means the bulk packaging as agreed by the Parties in writing.</w:t>
      </w:r>
    </w:p>
    <w:p>
      <w:pPr>
        <w:spacing w:after="0" w:line="20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Bulk Product</w:t>
      </w:r>
      <w:r>
        <w:rPr>
          <w:rFonts w:ascii="Arial" w:cs="Arial" w:eastAsia="Arial" w:hAnsi="Arial"/>
          <w:sz w:val="22"/>
          <w:szCs w:val="22"/>
          <w:color w:val="auto"/>
        </w:rPr>
        <w:t>” means drug product, containing API, supplied by FibroGen to Astellas as a bulk formulated and through the Manufacturing Processes made into finished drug (such as in a form of, including, but not limited to a tablet formulation) in Bulk Packaging only.</w:t>
      </w:r>
    </w:p>
    <w:p>
      <w:pPr>
        <w:spacing w:after="0" w:line="177"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color w:val="auto"/>
        </w:rPr>
        <w:t>Business Day</w:t>
      </w:r>
      <w:r>
        <w:rPr>
          <w:rFonts w:ascii="Arial" w:cs="Arial" w:eastAsia="Arial" w:hAnsi="Arial"/>
          <w:sz w:val="22"/>
          <w:szCs w:val="22"/>
          <w:color w:val="auto"/>
        </w:rPr>
        <w:t>” a day (other than a Saturday, Sunday or public holiday) when banks in the United Kingdom and the United States of America are open for business.</w:t>
      </w:r>
    </w:p>
    <w:p>
      <w:pPr>
        <w:spacing w:after="0" w:line="162"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Certificate of Analysis</w:t>
      </w:r>
      <w:r>
        <w:rPr>
          <w:rFonts w:ascii="Arial" w:cs="Arial" w:eastAsia="Arial" w:hAnsi="Arial"/>
          <w:sz w:val="22"/>
          <w:szCs w:val="22"/>
          <w:color w:val="auto"/>
        </w:rPr>
        <w:t>” means a document certifying that a particular Batch of Bulk Product was tested and conforms to the Specifications. Unless otherwise agreed to in a signed writing by both Parties, the Certificate of Analysis shall be in the English language.</w:t>
      </w:r>
    </w:p>
    <w:p>
      <w:pPr>
        <w:spacing w:after="0" w:line="177" w:lineRule="exact"/>
        <w:rPr>
          <w:sz w:val="20"/>
          <w:szCs w:val="20"/>
          <w:color w:val="auto"/>
        </w:rPr>
      </w:pPr>
    </w:p>
    <w:p>
      <w:pPr>
        <w:jc w:val="both"/>
        <w:ind w:firstLine="814"/>
        <w:spacing w:after="0" w:line="247" w:lineRule="auto"/>
        <w:rPr>
          <w:sz w:val="20"/>
          <w:szCs w:val="20"/>
          <w:color w:val="auto"/>
        </w:rPr>
      </w:pPr>
      <w:r>
        <w:rPr>
          <w:rFonts w:ascii="Arial" w:cs="Arial" w:eastAsia="Arial" w:hAnsi="Arial"/>
          <w:sz w:val="21"/>
          <w:szCs w:val="21"/>
          <w:color w:val="auto"/>
        </w:rPr>
        <w:t>1.12 “</w:t>
      </w:r>
      <w:r>
        <w:rPr>
          <w:rFonts w:ascii="Arial" w:cs="Arial" w:eastAsia="Arial" w:hAnsi="Arial"/>
          <w:sz w:val="21"/>
          <w:szCs w:val="21"/>
          <w:b w:val="1"/>
          <w:bCs w:val="1"/>
          <w:color w:val="auto"/>
        </w:rPr>
        <w:t>Certificate of Compliance</w:t>
      </w:r>
      <w:r>
        <w:rPr>
          <w:rFonts w:ascii="Arial" w:cs="Arial" w:eastAsia="Arial" w:hAnsi="Arial"/>
          <w:sz w:val="21"/>
          <w:szCs w:val="21"/>
          <w:color w:val="auto"/>
        </w:rPr>
        <w:t>” means a document that states a particular Batch of Bulk Product was manufactured in compliance with the Quality Agreement and: (a) lists the manufacturing date, unique Batch number, Bulk Product number, and quantity of Bulk Product in such Batch; (b) certifies that such Batch was manufactured in accordance with all Applicable Laws, including cGMP; and (c) certifies all excursions and investigations associated with the Batch have been closed and found not to impact the Batch. The Parties shall from time to time agree upon a format or formats for the Certificate of Compliance to be used under this Agreement. Unless otherwise agreed to in a signed writing by both Parties, the Certificate of Compliance shall be in the English language.</w:t>
      </w:r>
    </w:p>
    <w:p>
      <w:pPr>
        <w:spacing w:after="0" w:line="177" w:lineRule="exact"/>
        <w:rPr>
          <w:sz w:val="20"/>
          <w:szCs w:val="20"/>
          <w:color w:val="auto"/>
        </w:rPr>
      </w:pPr>
    </w:p>
    <w:p>
      <w:pPr>
        <w:jc w:val="both"/>
        <w:ind w:right="20" w:firstLine="814"/>
        <w:spacing w:after="0" w:line="25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Change of Control</w:t>
      </w:r>
      <w:r>
        <w:rPr>
          <w:rFonts w:ascii="Arial" w:cs="Arial" w:eastAsia="Arial" w:hAnsi="Arial"/>
          <w:sz w:val="22"/>
          <w:szCs w:val="22"/>
          <w:color w:val="auto"/>
        </w:rPr>
        <w:t>” means, with respect to a Party, (i) any transaction or series of related transactions to which such Party is a party in which more than fifty percent (50%) of such Party’s</w:t>
      </w:r>
    </w:p>
    <w:p>
      <w:pPr>
        <w:spacing w:after="0" w:line="391"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jc w:val="both"/>
        <w:spacing w:after="0" w:line="235" w:lineRule="auto"/>
        <w:rPr>
          <w:sz w:val="20"/>
          <w:szCs w:val="20"/>
          <w:color w:val="auto"/>
        </w:rPr>
      </w:pPr>
      <w:r>
        <w:rPr>
          <w:rFonts w:ascii="Arial" w:cs="Arial" w:eastAsia="Arial" w:hAnsi="Arial"/>
          <w:sz w:val="22"/>
          <w:szCs w:val="22"/>
          <w:color w:val="auto"/>
        </w:rPr>
        <w:t>voting power is transferred to a single Third Party, or a group (including but not limited to the meaning of Section 13(d) of the United States Securities Exchange Act of 1934) of Third Parties; or (ii) any consolidation or merger of such Party with or into any other corporation or other entity or person, or any other corporate reorganization, in which the stockholders of such Party immediately prior to such consolidation, merger or reorganization, hold less than fifty percent (50%) of the voting power of the surviving entity (or, if the surviving entity is a wholly owned subsidiary, its parent) immediately after such consolidation, merger or reorganization.</w:t>
      </w:r>
    </w:p>
    <w:p>
      <w:pPr>
        <w:spacing w:after="0" w:line="182" w:lineRule="exact"/>
        <w:rPr>
          <w:sz w:val="20"/>
          <w:szCs w:val="20"/>
          <w:color w:val="auto"/>
        </w:rPr>
      </w:pPr>
    </w:p>
    <w:p>
      <w:pPr>
        <w:jc w:val="both"/>
        <w:ind w:firstLine="814"/>
        <w:spacing w:after="0" w:line="273" w:lineRule="auto"/>
        <w:rPr>
          <w:sz w:val="20"/>
          <w:szCs w:val="20"/>
          <w:color w:val="auto"/>
        </w:rPr>
      </w:pPr>
      <w:r>
        <w:rPr>
          <w:rFonts w:ascii="Arial" w:cs="Arial" w:eastAsia="Arial" w:hAnsi="Arial"/>
          <w:sz w:val="19"/>
          <w:szCs w:val="19"/>
          <w:color w:val="auto"/>
        </w:rPr>
        <w:t>1.14 “</w:t>
      </w:r>
      <w:r>
        <w:rPr>
          <w:rFonts w:ascii="Arial" w:cs="Arial" w:eastAsia="Arial" w:hAnsi="Arial"/>
          <w:sz w:val="19"/>
          <w:szCs w:val="19"/>
          <w:b w:val="1"/>
          <w:bCs w:val="1"/>
          <w:color w:val="auto"/>
        </w:rPr>
        <w:t>cGMP</w:t>
      </w:r>
      <w:r>
        <w:rPr>
          <w:rFonts w:ascii="Arial" w:cs="Arial" w:eastAsia="Arial" w:hAnsi="Arial"/>
          <w:sz w:val="19"/>
          <w:szCs w:val="19"/>
          <w:color w:val="auto"/>
        </w:rPr>
        <w:t>” means the current Good Manufacturing Practices for medicinal products promulgated by the Regulatory Authority (hereafter defined) in the Territory, which shall include, but not limited to, the EU-GMP (i.e. EUDRALEX Volume 4) and 21 C.F.R. Parts 210 and 211, In case the Bulk Product is distributed from FibroGen warehouse to an Astellas warehouse or logistic service provider under FibroGen’s responsibility, the scope of GMP also includes the requirements of the Guidelines for Good Distribution Practices (GDP) 2013/C 343/01, as applicable to the performed activities and amended from time to time; and/or any and all current Good Manufacturing Practices applicable to the manufacture, testing and/or any other processing of pharmaceutical products in other countries and territories worldwide where the respective Finished Products are sold or otherwise marketed from time to time provided that FibroGen is informed about such other Good Manufacturing Practices by Astellas in accordance with Quality Agreement and FibroGen confirms in writing that it will comply with such other Good Manufacturing Practices within a reasonable time so as not to delay release of the Finished Product, provided, however, that Astellas provides FibroGen with advanced notice as set forth in Section 10.1 of this Agreement.</w:t>
      </w:r>
    </w:p>
    <w:p>
      <w:pPr>
        <w:spacing w:after="0" w:line="155" w:lineRule="exact"/>
        <w:rPr>
          <w:sz w:val="20"/>
          <w:szCs w:val="20"/>
          <w:color w:val="auto"/>
        </w:rPr>
      </w:pPr>
    </w:p>
    <w:p>
      <w:pPr>
        <w:jc w:val="both"/>
        <w:ind w:firstLine="814"/>
        <w:spacing w:after="0" w:line="251" w:lineRule="auto"/>
        <w:rPr>
          <w:sz w:val="20"/>
          <w:szCs w:val="20"/>
          <w:color w:val="auto"/>
        </w:rPr>
      </w:pPr>
      <w:r>
        <w:rPr>
          <w:rFonts w:ascii="Arial" w:cs="Arial" w:eastAsia="Arial" w:hAnsi="Arial"/>
          <w:sz w:val="21"/>
          <w:szCs w:val="21"/>
          <w:color w:val="auto"/>
        </w:rPr>
        <w:t>1.15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with respect to a Party to this Agreement, all information that is proprietary to such Party and/or that is maintained in confidence by such Party and that is disclosed by or on behalf of such Party or its Affiliates to the other Party or its Affiliates pursuant to this Agreement, whether disclosed orally, visually, in writing or in any tangible or electronic form or media and whether marked confidential or not. Notwithstanding the foregoing, the term “Confidential Information” shall not include specific information which, in each case as demonstrated by written proof:</w:t>
      </w:r>
    </w:p>
    <w:p>
      <w:pPr>
        <w:spacing w:after="0" w:line="174" w:lineRule="exact"/>
        <w:rPr>
          <w:sz w:val="20"/>
          <w:szCs w:val="20"/>
          <w:color w:val="auto"/>
        </w:rPr>
      </w:pPr>
    </w:p>
    <w:p>
      <w:pPr>
        <w:ind w:left="2520" w:hanging="885"/>
        <w:spacing w:after="0"/>
        <w:tabs>
          <w:tab w:leader="none" w:pos="25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at the time of disclosure, is already available or known to the public;</w:t>
      </w:r>
    </w:p>
    <w:p>
      <w:pPr>
        <w:spacing w:after="0" w:line="206" w:lineRule="exact"/>
        <w:rPr>
          <w:rFonts w:ascii="Arial" w:cs="Arial" w:eastAsia="Arial" w:hAnsi="Arial"/>
          <w:sz w:val="22"/>
          <w:szCs w:val="22"/>
          <w:color w:val="auto"/>
        </w:rPr>
      </w:pPr>
    </w:p>
    <w:p>
      <w:pPr>
        <w:ind w:firstLine="1635"/>
        <w:spacing w:after="0" w:line="250" w:lineRule="auto"/>
        <w:tabs>
          <w:tab w:leader="none" w:pos="2527" w:val="left"/>
        </w:tabs>
        <w:numPr>
          <w:ilvl w:val="0"/>
          <w:numId w:val="81"/>
        </w:numPr>
        <w:rPr>
          <w:rFonts w:ascii="Arial" w:cs="Arial" w:eastAsia="Arial" w:hAnsi="Arial"/>
          <w:sz w:val="22"/>
          <w:szCs w:val="22"/>
          <w:color w:val="auto"/>
        </w:rPr>
      </w:pPr>
      <w:r>
        <w:rPr>
          <w:rFonts w:ascii="Arial" w:cs="Arial" w:eastAsia="Arial" w:hAnsi="Arial"/>
          <w:sz w:val="22"/>
          <w:szCs w:val="22"/>
          <w:color w:val="auto"/>
        </w:rPr>
        <w:t>after disclosure, becomes available or known to the public through no fault of the receiving Party or its Affiliates, or by their respective directors, officers, employees and agents;</w:t>
      </w:r>
    </w:p>
    <w:p>
      <w:pPr>
        <w:spacing w:after="0" w:line="174" w:lineRule="exact"/>
        <w:rPr>
          <w:rFonts w:ascii="Arial" w:cs="Arial" w:eastAsia="Arial" w:hAnsi="Arial"/>
          <w:sz w:val="22"/>
          <w:szCs w:val="22"/>
          <w:color w:val="auto"/>
        </w:rPr>
      </w:pPr>
    </w:p>
    <w:p>
      <w:pPr>
        <w:ind w:firstLine="1635"/>
        <w:spacing w:after="0" w:line="250" w:lineRule="auto"/>
        <w:tabs>
          <w:tab w:leader="none" w:pos="2515" w:val="left"/>
        </w:tabs>
        <w:numPr>
          <w:ilvl w:val="0"/>
          <w:numId w:val="81"/>
        </w:numPr>
        <w:rPr>
          <w:rFonts w:ascii="Arial" w:cs="Arial" w:eastAsia="Arial" w:hAnsi="Arial"/>
          <w:sz w:val="22"/>
          <w:szCs w:val="22"/>
          <w:color w:val="auto"/>
        </w:rPr>
      </w:pPr>
      <w:r>
        <w:rPr>
          <w:rFonts w:ascii="Arial" w:cs="Arial" w:eastAsia="Arial" w:hAnsi="Arial"/>
          <w:sz w:val="22"/>
          <w:szCs w:val="22"/>
          <w:color w:val="auto"/>
        </w:rPr>
        <w:t>is in the receiving Party’s possession at the time of the disclosure under this Agreement and/or any Purchase Order without obligations of confidentiality; or</w:t>
      </w:r>
    </w:p>
    <w:p>
      <w:pPr>
        <w:spacing w:after="0" w:line="174" w:lineRule="exact"/>
        <w:rPr>
          <w:rFonts w:ascii="Arial" w:cs="Arial" w:eastAsia="Arial" w:hAnsi="Arial"/>
          <w:sz w:val="22"/>
          <w:szCs w:val="22"/>
          <w:color w:val="auto"/>
        </w:rPr>
      </w:pPr>
    </w:p>
    <w:p>
      <w:pPr>
        <w:jc w:val="both"/>
        <w:ind w:firstLine="1635"/>
        <w:spacing w:after="0" w:line="257" w:lineRule="auto"/>
        <w:tabs>
          <w:tab w:leader="none" w:pos="2586" w:val="left"/>
        </w:tabs>
        <w:numPr>
          <w:ilvl w:val="0"/>
          <w:numId w:val="81"/>
        </w:numPr>
        <w:rPr>
          <w:rFonts w:ascii="Arial" w:cs="Arial" w:eastAsia="Arial" w:hAnsi="Arial"/>
          <w:sz w:val="21"/>
          <w:szCs w:val="21"/>
          <w:color w:val="auto"/>
        </w:rPr>
      </w:pPr>
      <w:r>
        <w:rPr>
          <w:rFonts w:ascii="Arial" w:cs="Arial" w:eastAsia="Arial" w:hAnsi="Arial"/>
          <w:sz w:val="21"/>
          <w:szCs w:val="21"/>
          <w:color w:val="auto"/>
        </w:rPr>
        <w:t>is received by the receiving Party from a Third Party that has the right to disclose the same without any confidentiality obligation directly or indirectly to the disclosing Party or otherwise developed by the receiving Party without reference to any information or materials disclosed by or on behalf of the disclosing Party.</w:t>
      </w:r>
    </w:p>
    <w:p>
      <w:pPr>
        <w:spacing w:after="0" w:line="163"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color w:val="auto"/>
        </w:rPr>
        <w:t>Conforming</w:t>
      </w:r>
      <w:r>
        <w:rPr>
          <w:rFonts w:ascii="Arial" w:cs="Arial" w:eastAsia="Arial" w:hAnsi="Arial"/>
          <w:sz w:val="22"/>
          <w:szCs w:val="22"/>
          <w:color w:val="auto"/>
        </w:rPr>
        <w:t>” means, with respect to Bulk Product, that such Bulk Product conforms to all of the requirements and acceptance criteria of this Agreement, including all Applicable Laws, the Specifications, Quality Agreement, and warranties set forth in Section 12.3, as applicable.</w:t>
      </w:r>
    </w:p>
    <w:p>
      <w:pPr>
        <w:spacing w:after="0" w:line="200" w:lineRule="exact"/>
        <w:rPr>
          <w:sz w:val="20"/>
          <w:szCs w:val="20"/>
          <w:color w:val="auto"/>
        </w:rPr>
      </w:pPr>
    </w:p>
    <w:p>
      <w:pPr>
        <w:spacing w:after="0" w:line="206"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4" w:name="page105"/>
    <w:bookmarkEnd w:id="104"/>
    <w:p>
      <w:pPr>
        <w:jc w:val="both"/>
        <w:ind w:firstLine="814"/>
        <w:spacing w:after="0" w:line="239"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possession of the right to grant a license or sublicense as provided for herein without violating (a) any law or governmental regulation applicable to such license or sublicense, or (b) the terms of any agreement or other arrangement with any Third Party that exists as of the Effective Date, or if such right is acquired after the Effective Date, as of the date the Party first gained possession of such right.</w:t>
      </w:r>
    </w:p>
    <w:p>
      <w:pPr>
        <w:spacing w:after="0" w:line="180"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Calendar Quarter</w:t>
      </w:r>
      <w:r>
        <w:rPr>
          <w:rFonts w:ascii="Arial" w:cs="Arial" w:eastAsia="Arial" w:hAnsi="Arial"/>
          <w:sz w:val="22"/>
          <w:szCs w:val="22"/>
          <w:color w:val="auto"/>
        </w:rPr>
        <w:t>” means any period of three (3) months commencing on January 1, April 1, July 1, and October 1 of each Calendar Year.</w:t>
      </w:r>
    </w:p>
    <w:p>
      <w:pPr>
        <w:spacing w:after="0" w:line="16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Calendar Year</w:t>
      </w:r>
      <w:r>
        <w:rPr>
          <w:rFonts w:ascii="Arial" w:cs="Arial" w:eastAsia="Arial" w:hAnsi="Arial"/>
          <w:sz w:val="19"/>
          <w:szCs w:val="19"/>
          <w:color w:val="auto"/>
        </w:rPr>
        <w:t>” means any period of twelve (12) calendar months commencing on January 1.</w:t>
      </w:r>
    </w:p>
    <w:p>
      <w:pPr>
        <w:spacing w:after="0" w:line="206"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color w:val="auto"/>
        </w:rPr>
        <w:t>Delivery Year</w:t>
      </w:r>
      <w:r>
        <w:rPr>
          <w:rFonts w:ascii="Arial" w:cs="Arial" w:eastAsia="Arial" w:hAnsi="Arial"/>
          <w:sz w:val="22"/>
          <w:szCs w:val="22"/>
          <w:color w:val="auto"/>
        </w:rPr>
        <w:t xml:space="preserve">” means the Calendar Year in which FibroGen will be supplying Bulk Product, as may be further set forth in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w:t>
      </w:r>
    </w:p>
    <w:p>
      <w:pPr>
        <w:spacing w:after="0" w:line="162"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Drug Product Blend</w:t>
      </w:r>
      <w:r>
        <w:rPr>
          <w:rFonts w:ascii="Arial" w:cs="Arial" w:eastAsia="Arial" w:hAnsi="Arial"/>
          <w:sz w:val="22"/>
          <w:szCs w:val="22"/>
          <w:color w:val="auto"/>
        </w:rPr>
        <w:t>” means drug product in “Drug Product Blend” refers to a mixture that contains API, excipients and is lubricated and ready for compression into different strengths of Bulk Product.</w:t>
      </w:r>
    </w:p>
    <w:p>
      <w:pPr>
        <w:spacing w:after="0" w:line="16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agency thereto.</w:t>
      </w:r>
    </w:p>
    <w:p>
      <w:pPr>
        <w:spacing w:after="0" w:line="206"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Executed Batch Record(s)</w:t>
      </w:r>
      <w:r>
        <w:rPr>
          <w:rFonts w:ascii="Arial" w:cs="Arial" w:eastAsia="Arial" w:hAnsi="Arial"/>
          <w:sz w:val="22"/>
          <w:szCs w:val="22"/>
          <w:color w:val="auto"/>
        </w:rPr>
        <w:t>” means the collection of records that provides a traceable history of how a Batch of Bulk Product was produced.</w:t>
      </w:r>
    </w:p>
    <w:p>
      <w:pPr>
        <w:spacing w:after="0" w:line="168"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Expected Quantity Per Batch</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Facility(ies)</w:t>
      </w:r>
      <w:r>
        <w:rPr>
          <w:rFonts w:ascii="Arial" w:cs="Arial" w:eastAsia="Arial" w:hAnsi="Arial"/>
          <w:sz w:val="19"/>
          <w:szCs w:val="19"/>
          <w:color w:val="auto"/>
        </w:rPr>
        <w:t>” means the facility(ies) as described in Section 4.1 hereto.</w:t>
      </w:r>
    </w:p>
    <w:p>
      <w:pPr>
        <w:spacing w:after="0" w:line="206"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Finished Product</w:t>
      </w:r>
      <w:r>
        <w:rPr>
          <w:rFonts w:ascii="Arial" w:cs="Arial" w:eastAsia="Arial" w:hAnsi="Arial"/>
          <w:sz w:val="22"/>
          <w:szCs w:val="22"/>
          <w:color w:val="auto"/>
        </w:rPr>
        <w:t>” means Bulk Product after primary and secondary packaging and labeling in its final market form (</w:t>
      </w:r>
      <w:r>
        <w:rPr>
          <w:rFonts w:ascii="Arial" w:cs="Arial" w:eastAsia="Arial" w:hAnsi="Arial"/>
          <w:sz w:val="19"/>
          <w:szCs w:val="19"/>
          <w:color w:val="auto"/>
        </w:rPr>
        <w:t>performed by Astellas</w:t>
      </w:r>
      <w:r>
        <w:rPr>
          <w:rFonts w:ascii="Arial" w:cs="Arial" w:eastAsia="Arial" w:hAnsi="Arial"/>
          <w:sz w:val="22"/>
          <w:szCs w:val="22"/>
          <w:color w:val="auto"/>
        </w:rPr>
        <w:t>).</w:t>
      </w:r>
    </w:p>
    <w:p>
      <w:pPr>
        <w:spacing w:after="0" w:line="16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Forecast(ing)</w:t>
      </w:r>
      <w:r>
        <w:rPr>
          <w:rFonts w:ascii="Arial" w:cs="Arial" w:eastAsia="Arial" w:hAnsi="Arial"/>
          <w:sz w:val="19"/>
          <w:szCs w:val="19"/>
          <w:color w:val="auto"/>
        </w:rPr>
        <w:t>” has the meaning set forth on Section 3.1.</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Fully Burdened Cost</w:t>
      </w:r>
      <w:r>
        <w:rPr>
          <w:rFonts w:ascii="Arial" w:cs="Arial" w:eastAsia="Arial" w:hAnsi="Arial"/>
          <w:sz w:val="17"/>
          <w:szCs w:val="17"/>
          <w:color w:val="auto"/>
        </w:rPr>
        <w:t>” [</w:t>
      </w:r>
      <w:r>
        <w:rPr>
          <w:rFonts w:ascii="Arial" w:cs="Arial" w:eastAsia="Arial" w:hAnsi="Arial"/>
          <w:sz w:val="19"/>
          <w:szCs w:val="19"/>
          <w:color w:val="auto"/>
        </w:rPr>
        <w:t>*].</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Government Officials</w:t>
      </w:r>
      <w:r>
        <w:rPr>
          <w:rFonts w:ascii="Arial" w:cs="Arial" w:eastAsia="Arial" w:hAnsi="Arial"/>
          <w:sz w:val="19"/>
          <w:szCs w:val="19"/>
          <w:color w:val="auto"/>
        </w:rPr>
        <w:t>” has the meaning set forth in Section 12.4(a).</w:t>
      </w:r>
    </w:p>
    <w:p>
      <w:pPr>
        <w:spacing w:after="0" w:line="206" w:lineRule="exact"/>
        <w:rPr>
          <w:sz w:val="20"/>
          <w:szCs w:val="20"/>
          <w:color w:val="auto"/>
        </w:rPr>
      </w:pPr>
    </w:p>
    <w:p>
      <w:pPr>
        <w:jc w:val="both"/>
        <w:ind w:firstLine="814"/>
        <w:spacing w:after="0" w:line="300"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color w:val="auto"/>
        </w:rPr>
        <w:t>“Indirect Taxes”</w:t>
      </w:r>
      <w:r>
        <w:rPr>
          <w:rFonts w:ascii="Arial" w:cs="Arial" w:eastAsia="Arial" w:hAnsi="Arial"/>
          <w:sz w:val="19"/>
          <w:szCs w:val="19"/>
          <w:color w:val="auto"/>
        </w:rPr>
        <w:t xml:space="preserve"> means any value added tax (“</w:t>
      </w:r>
      <w:r>
        <w:rPr>
          <w:rFonts w:ascii="Arial" w:cs="Arial" w:eastAsia="Arial" w:hAnsi="Arial"/>
          <w:sz w:val="19"/>
          <w:szCs w:val="19"/>
          <w:b w:val="1"/>
          <w:bCs w:val="1"/>
          <w:color w:val="auto"/>
        </w:rPr>
        <w:t>VAT</w:t>
      </w:r>
      <w:r>
        <w:rPr>
          <w:rFonts w:ascii="Arial" w:cs="Arial" w:eastAsia="Arial" w:hAnsi="Arial"/>
          <w:sz w:val="19"/>
          <w:szCs w:val="19"/>
          <w:color w:val="auto"/>
        </w:rPr>
        <w:t>”), goods or services tax, sales, use, consumption taxes or other similar taxes imposed in any jurisdiction that is payable on or in respect of any supply made (or deemed to be made) by one Party to another Party in connection with the Agreement but does not include any related penalty, fine or interest thereon.</w:t>
      </w:r>
    </w:p>
    <w:p>
      <w:pPr>
        <w:spacing w:after="0" w:line="12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b w:val="1"/>
          <w:bCs w:val="1"/>
          <w:color w:val="auto"/>
        </w:rPr>
        <w:t>Intellectual Property</w:t>
      </w:r>
      <w:r>
        <w:rPr>
          <w:rFonts w:ascii="Arial" w:cs="Arial" w:eastAsia="Arial" w:hAnsi="Arial"/>
          <w:sz w:val="22"/>
          <w:szCs w:val="22"/>
          <w:color w:val="auto"/>
        </w:rPr>
        <w:t>” means all Patents, copyrights, Trade Marks, trade secrets, know-how, inventions, and all other intellectual property rights that are owned or Controlled by a Party (whether patentable or not), including all applications and registrations with respect thereto.</w:t>
      </w:r>
    </w:p>
    <w:p>
      <w:pPr>
        <w:spacing w:after="0" w:line="200" w:lineRule="exact"/>
        <w:rPr>
          <w:sz w:val="20"/>
          <w:szCs w:val="20"/>
          <w:color w:val="auto"/>
        </w:rPr>
      </w:pPr>
    </w:p>
    <w:p>
      <w:pPr>
        <w:spacing w:after="0" w:line="206"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ind w:left="820"/>
        <w:spacing w:after="0"/>
        <w:tabs>
          <w:tab w:leader="none" w:pos="182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Latent Defects</w:t>
      </w:r>
      <w:r>
        <w:rPr>
          <w:rFonts w:ascii="Arial" w:cs="Arial" w:eastAsia="Arial" w:hAnsi="Arial"/>
          <w:sz w:val="19"/>
          <w:szCs w:val="19"/>
          <w:color w:val="auto"/>
        </w:rPr>
        <w:t>” has the definition set forth in Section 5.2.</w:t>
      </w:r>
    </w:p>
    <w:p>
      <w:pPr>
        <w:spacing w:after="0" w:line="20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color w:val="auto"/>
        </w:rPr>
        <w:t>Lead Time</w:t>
      </w:r>
      <w:r>
        <w:rPr>
          <w:rFonts w:ascii="Arial" w:cs="Arial" w:eastAsia="Arial" w:hAnsi="Arial"/>
          <w:sz w:val="22"/>
          <w:szCs w:val="22"/>
          <w:color w:val="auto"/>
        </w:rPr>
        <w:t>” means the time between receipt of the Purchase Order by FibroGen for Bulk Product and release of the Bulk Product for Transfer to Astellas, which shall be [*] in compliance with this Agreement unless otherwise agreed to by the Parties in writing.</w:t>
      </w:r>
    </w:p>
    <w:p>
      <w:pPr>
        <w:spacing w:after="0" w:line="177"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the EU Collaboration Agreement.</w:t>
      </w:r>
    </w:p>
    <w:p>
      <w:pPr>
        <w:spacing w:after="0" w:line="206" w:lineRule="exact"/>
        <w:rPr>
          <w:sz w:val="20"/>
          <w:szCs w:val="20"/>
          <w:color w:val="auto"/>
        </w:rPr>
      </w:pPr>
    </w:p>
    <w:p>
      <w:pPr>
        <w:jc w:val="both"/>
        <w:ind w:right="20" w:firstLine="814"/>
        <w:spacing w:after="0" w:line="256" w:lineRule="auto"/>
        <w:rPr>
          <w:sz w:val="20"/>
          <w:szCs w:val="20"/>
          <w:color w:val="auto"/>
        </w:rPr>
      </w:pPr>
      <w:r>
        <w:rPr>
          <w:rFonts w:ascii="Arial" w:cs="Arial" w:eastAsia="Arial" w:hAnsi="Arial"/>
          <w:sz w:val="22"/>
          <w:szCs w:val="22"/>
          <w:color w:val="auto"/>
        </w:rPr>
        <w:t>1.36 “</w:t>
      </w:r>
      <w:r>
        <w:rPr>
          <w:rFonts w:ascii="Arial" w:cs="Arial" w:eastAsia="Arial" w:hAnsi="Arial"/>
          <w:sz w:val="22"/>
          <w:szCs w:val="22"/>
          <w:b w:val="1"/>
          <w:bCs w:val="1"/>
          <w:color w:val="auto"/>
        </w:rPr>
        <w:t>Major Regulatory Authority</w:t>
      </w:r>
      <w:r>
        <w:rPr>
          <w:rFonts w:ascii="Arial" w:cs="Arial" w:eastAsia="Arial" w:hAnsi="Arial"/>
          <w:sz w:val="22"/>
          <w:szCs w:val="22"/>
          <w:color w:val="auto"/>
        </w:rPr>
        <w:t>” means each of the following Regulatory Authorities: FDA (for the USA); MHRA (for the UK); and EMA (for the EU).</w:t>
      </w:r>
    </w:p>
    <w:p>
      <w:pPr>
        <w:spacing w:after="0" w:line="16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Processes</w:t>
      </w:r>
      <w:r>
        <w:rPr>
          <w:rFonts w:ascii="Arial" w:cs="Arial" w:eastAsia="Arial" w:hAnsi="Arial"/>
          <w:sz w:val="19"/>
          <w:szCs w:val="19"/>
          <w:color w:val="auto"/>
        </w:rPr>
        <w:t>” means the production processes for the manufacture of Bulk Product.</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Services</w:t>
      </w:r>
      <w:r>
        <w:rPr>
          <w:rFonts w:ascii="Arial" w:cs="Arial" w:eastAsia="Arial" w:hAnsi="Arial"/>
          <w:sz w:val="19"/>
          <w:szCs w:val="19"/>
          <w:color w:val="auto"/>
        </w:rPr>
        <w:t>” has the meaning set forth in Section 2.1.1.</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Marketing Approval</w:t>
      </w:r>
      <w:r>
        <w:rPr>
          <w:rFonts w:ascii="Arial" w:cs="Arial" w:eastAsia="Arial" w:hAnsi="Arial"/>
          <w:sz w:val="19"/>
          <w:szCs w:val="19"/>
          <w:color w:val="auto"/>
        </w:rPr>
        <w:t>” has the meaning set forth in the EU Collaboration Agreement.</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has the meaning set forth in the EU Collaboration Agreement.</w:t>
      </w:r>
    </w:p>
    <w:p>
      <w:pPr>
        <w:spacing w:after="0" w:line="20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b w:val="1"/>
          <w:bCs w:val="1"/>
          <w:color w:val="auto"/>
        </w:rPr>
        <w:t>Non-Conforming</w:t>
      </w:r>
      <w:r>
        <w:rPr>
          <w:rFonts w:ascii="Arial" w:cs="Arial" w:eastAsia="Arial" w:hAnsi="Arial"/>
          <w:sz w:val="22"/>
          <w:szCs w:val="22"/>
          <w:color w:val="auto"/>
        </w:rPr>
        <w:t>” means with respect to Bulk Product, Bulk Product that fails to conform to all of the requirements and acceptance criteria of the Specifications and the warranties set forth in Section 12.3 (excluding warranty (12.3(c)), as applicable).</w:t>
      </w:r>
    </w:p>
    <w:p>
      <w:pPr>
        <w:spacing w:after="0" w:line="177"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Order Acceptance</w:t>
      </w:r>
      <w:r>
        <w:rPr>
          <w:rFonts w:ascii="Arial" w:cs="Arial" w:eastAsia="Arial" w:hAnsi="Arial"/>
          <w:sz w:val="19"/>
          <w:szCs w:val="19"/>
          <w:color w:val="auto"/>
        </w:rPr>
        <w:t>” has the meaning set forth in Section 3.4(c).</w:t>
      </w:r>
    </w:p>
    <w:p>
      <w:pPr>
        <w:spacing w:after="0" w:line="206" w:lineRule="exact"/>
        <w:rPr>
          <w:sz w:val="20"/>
          <w:szCs w:val="20"/>
          <w:color w:val="auto"/>
        </w:rPr>
      </w:pPr>
    </w:p>
    <w:p>
      <w:pPr>
        <w:jc w:val="both"/>
        <w:ind w:firstLine="814"/>
        <w:spacing w:after="0" w:line="237" w:lineRule="auto"/>
        <w:rPr>
          <w:sz w:val="20"/>
          <w:szCs w:val="20"/>
          <w:color w:val="auto"/>
        </w:rPr>
      </w:pPr>
      <w:r>
        <w:rPr>
          <w:rFonts w:ascii="Arial" w:cs="Arial" w:eastAsia="Arial" w:hAnsi="Arial"/>
          <w:sz w:val="22"/>
          <w:szCs w:val="22"/>
          <w:color w:val="auto"/>
        </w:rPr>
        <w:t>1.43 “</w:t>
      </w:r>
      <w:r>
        <w:rPr>
          <w:rFonts w:ascii="Arial" w:cs="Arial" w:eastAsia="Arial" w:hAnsi="Arial"/>
          <w:sz w:val="22"/>
          <w:szCs w:val="22"/>
          <w:b w:val="1"/>
          <w:bCs w:val="1"/>
          <w:color w:val="auto"/>
        </w:rPr>
        <w:t>Patents</w:t>
      </w:r>
      <w:r>
        <w:rPr>
          <w:rFonts w:ascii="Arial" w:cs="Arial" w:eastAsia="Arial" w:hAnsi="Arial"/>
          <w:sz w:val="22"/>
          <w:szCs w:val="22"/>
          <w:color w:val="auto"/>
        </w:rPr>
        <w:t>” means, with respect to an invention, any patent or patent application, and any patent issuing therefrom, together with any extensions, reissues, reexaminations, substitutions, renewals, divisions, continuations, continuations-in-part, and foreign equivalents thereof, and any patent or patent application claiming priority to any application in common with any such patent containing a disclosure substantially similar to that of any such patent, all to the extent the foregoing contain claims covering such invention.</w:t>
      </w:r>
    </w:p>
    <w:p>
      <w:pPr>
        <w:spacing w:after="0" w:line="18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Preliminary Price Per Tablet</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Preliminary Price Per Tablet Schedule</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Promotional Samples</w:t>
      </w:r>
      <w:r>
        <w:rPr>
          <w:rFonts w:ascii="Arial" w:cs="Arial" w:eastAsia="Arial" w:hAnsi="Arial"/>
          <w:sz w:val="19"/>
          <w:szCs w:val="19"/>
          <w:color w:val="auto"/>
        </w:rPr>
        <w:t>” means samples used by Astellas for the promotion of the Finished Product in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Territory.</w:t>
      </w:r>
    </w:p>
    <w:p>
      <w:pPr>
        <w:spacing w:after="0" w:line="18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Order</w:t>
      </w:r>
      <w:r>
        <w:rPr>
          <w:rFonts w:ascii="Arial" w:cs="Arial" w:eastAsia="Arial" w:hAnsi="Arial"/>
          <w:sz w:val="19"/>
          <w:szCs w:val="19"/>
          <w:color w:val="auto"/>
        </w:rPr>
        <w:t>” has the meaning set forth in Section 3.2.</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has the meaning given to in Section 10.1.</w:t>
      </w:r>
    </w:p>
    <w:p>
      <w:pPr>
        <w:spacing w:after="0" w:line="20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Matters</w:t>
      </w:r>
      <w:r>
        <w:rPr>
          <w:rFonts w:ascii="Arial" w:cs="Arial" w:eastAsia="Arial" w:hAnsi="Arial"/>
          <w:sz w:val="19"/>
          <w:szCs w:val="19"/>
          <w:color w:val="auto"/>
        </w:rPr>
        <w:t>” has the meaning set forth in Section 10.1 of this Agreement.</w:t>
      </w:r>
    </w:p>
    <w:p>
      <w:pPr>
        <w:spacing w:after="0" w:line="200" w:lineRule="exact"/>
        <w:rPr>
          <w:sz w:val="20"/>
          <w:szCs w:val="20"/>
          <w:color w:val="auto"/>
        </w:rPr>
      </w:pPr>
    </w:p>
    <w:p>
      <w:pPr>
        <w:spacing w:after="0" w:line="235"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p>
      <w:pPr>
        <w:jc w:val="both"/>
        <w:ind w:firstLine="814"/>
        <w:spacing w:after="0" w:line="243"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b w:val="1"/>
          <w:bCs w:val="1"/>
          <w:color w:val="auto"/>
        </w:rPr>
        <w:t>Raw Material</w:t>
      </w:r>
      <w:r>
        <w:rPr>
          <w:rFonts w:ascii="Arial" w:cs="Arial" w:eastAsia="Arial" w:hAnsi="Arial"/>
          <w:sz w:val="22"/>
          <w:szCs w:val="22"/>
          <w:color w:val="auto"/>
        </w:rPr>
        <w:t>” means all Bulk Product excipients, components, labels, and Bulk Packaging required to perform the Manufacturing Services, and shall exclude Special Packaging and Finished Product labeling or packaging for sale to end users in the Territory.</w:t>
      </w:r>
    </w:p>
    <w:p>
      <w:pPr>
        <w:spacing w:after="0" w:line="177" w:lineRule="exact"/>
        <w:rPr>
          <w:sz w:val="20"/>
          <w:szCs w:val="20"/>
          <w:color w:val="auto"/>
        </w:rPr>
      </w:pPr>
    </w:p>
    <w:p>
      <w:pPr>
        <w:jc w:val="both"/>
        <w:ind w:firstLine="814"/>
        <w:spacing w:after="0" w:line="300" w:lineRule="auto"/>
        <w:rPr>
          <w:sz w:val="20"/>
          <w:szCs w:val="20"/>
          <w:color w:val="auto"/>
        </w:rPr>
      </w:pPr>
      <w:r>
        <w:rPr>
          <w:rFonts w:ascii="Arial" w:cs="Arial" w:eastAsia="Arial" w:hAnsi="Arial"/>
          <w:sz w:val="19"/>
          <w:szCs w:val="19"/>
          <w:color w:val="auto"/>
        </w:rPr>
        <w:t>1.51 “</w:t>
      </w:r>
      <w:r>
        <w:rPr>
          <w:rFonts w:ascii="Arial" w:cs="Arial" w:eastAsia="Arial" w:hAnsi="Arial"/>
          <w:sz w:val="19"/>
          <w:szCs w:val="19"/>
          <w:b w:val="1"/>
          <w:bCs w:val="1"/>
          <w:color w:val="auto"/>
        </w:rPr>
        <w:t>Reasonable Efforts</w:t>
      </w:r>
      <w:r>
        <w:rPr>
          <w:rFonts w:ascii="Arial" w:cs="Arial" w:eastAsia="Arial" w:hAnsi="Arial"/>
          <w:sz w:val="19"/>
          <w:szCs w:val="19"/>
          <w:color w:val="auto"/>
        </w:rPr>
        <w:t>” means, with respect to a given goal, the efforts, consistent with the practice of comparable pharmaceutical companies with respect to pharmaceutical products of comparable market potential, that a reasonable person in the position of the promiser would use so as to achieve that goal as expeditiously and practicably as possible.</w:t>
      </w:r>
    </w:p>
    <w:p>
      <w:pPr>
        <w:spacing w:after="0" w:line="12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1.52 “</w:t>
      </w:r>
      <w:r>
        <w:rPr>
          <w:rFonts w:ascii="Arial" w:cs="Arial" w:eastAsia="Arial" w:hAnsi="Arial"/>
          <w:sz w:val="22"/>
          <w:szCs w:val="22"/>
          <w:b w:val="1"/>
          <w:bCs w:val="1"/>
          <w:color w:val="auto"/>
        </w:rPr>
        <w:t>Regulatory Authority(ies)</w:t>
      </w:r>
      <w:r>
        <w:rPr>
          <w:rFonts w:ascii="Arial" w:cs="Arial" w:eastAsia="Arial" w:hAnsi="Arial"/>
          <w:sz w:val="22"/>
          <w:szCs w:val="22"/>
          <w:color w:val="auto"/>
        </w:rPr>
        <w:t>” means the EMA, or other applicable, national, multi-national, state, regional or local regulatory agency, department, bureau, body or other government entity involved in or responsible for regulation of the relevant subject, as the context requires in this Agreement.</w:t>
      </w:r>
    </w:p>
    <w:p>
      <w:pPr>
        <w:spacing w:after="0" w:line="177" w:lineRule="exact"/>
        <w:rPr>
          <w:sz w:val="20"/>
          <w:szCs w:val="20"/>
          <w:color w:val="auto"/>
        </w:rPr>
      </w:pPr>
    </w:p>
    <w:p>
      <w:pPr>
        <w:jc w:val="both"/>
        <w:ind w:firstLine="814"/>
        <w:spacing w:after="0" w:line="254" w:lineRule="auto"/>
        <w:rPr>
          <w:sz w:val="20"/>
          <w:szCs w:val="20"/>
          <w:color w:val="auto"/>
        </w:rPr>
      </w:pPr>
      <w:r>
        <w:rPr>
          <w:rFonts w:ascii="Arial" w:cs="Arial" w:eastAsia="Arial" w:hAnsi="Arial"/>
          <w:sz w:val="21"/>
          <w:szCs w:val="21"/>
          <w:color w:val="auto"/>
        </w:rPr>
        <w:t>1.53 “</w:t>
      </w:r>
      <w:r>
        <w:rPr>
          <w:rFonts w:ascii="Arial" w:cs="Arial" w:eastAsia="Arial" w:hAnsi="Arial"/>
          <w:sz w:val="21"/>
          <w:szCs w:val="21"/>
          <w:b w:val="1"/>
          <w:bCs w:val="1"/>
          <w:color w:val="auto"/>
        </w:rPr>
        <w:t>Regulatory Filing</w:t>
      </w:r>
      <w:r>
        <w:rPr>
          <w:rFonts w:ascii="Arial" w:cs="Arial" w:eastAsia="Arial" w:hAnsi="Arial"/>
          <w:sz w:val="21"/>
          <w:szCs w:val="21"/>
          <w:color w:val="auto"/>
        </w:rPr>
        <w:t>” means any or all applications submitted to Regulatory Authorities for the purpose of registering the Bulk Product, the Manufacturing Process, and/or Finished Product as required by statute or regulation, and any amendments or supplements thereto, and any other filings required by the Regulatory Authorities relating to the manufacture, testing, sale or distribution of Bulk Product and/or Finished Product (as applicable).</w:t>
      </w:r>
    </w:p>
    <w:p>
      <w:pPr>
        <w:spacing w:after="0" w:line="166"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Shelf Life</w:t>
      </w:r>
      <w:r>
        <w:rPr>
          <w:rFonts w:ascii="Arial" w:cs="Arial" w:eastAsia="Arial" w:hAnsi="Arial"/>
          <w:sz w:val="19"/>
          <w:szCs w:val="19"/>
          <w:color w:val="auto"/>
        </w:rPr>
        <w:t>” shall mean [*].</w:t>
      </w:r>
    </w:p>
    <w:p>
      <w:pPr>
        <w:spacing w:after="0" w:line="206"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1.55 “</w:t>
      </w:r>
      <w:r>
        <w:rPr>
          <w:rFonts w:ascii="Arial" w:cs="Arial" w:eastAsia="Arial" w:hAnsi="Arial"/>
          <w:sz w:val="22"/>
          <w:szCs w:val="22"/>
          <w:b w:val="1"/>
          <w:bCs w:val="1"/>
          <w:color w:val="auto"/>
        </w:rPr>
        <w:t>Shipping Requirements</w:t>
      </w:r>
      <w:r>
        <w:rPr>
          <w:rFonts w:ascii="Arial" w:cs="Arial" w:eastAsia="Arial" w:hAnsi="Arial"/>
          <w:sz w:val="22"/>
          <w:szCs w:val="22"/>
          <w:color w:val="auto"/>
        </w:rPr>
        <w:t>” means FibroGen’s methods of packaging, monitoring and shipping any and all Bulk Product, or as specified in a given Purchase Order in accordance with this Agreement.</w:t>
      </w:r>
    </w:p>
    <w:p>
      <w:pPr>
        <w:spacing w:after="0" w:line="16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Specifications</w:t>
      </w:r>
      <w:r>
        <w:rPr>
          <w:rFonts w:ascii="Arial" w:cs="Arial" w:eastAsia="Arial" w:hAnsi="Arial"/>
          <w:sz w:val="19"/>
          <w:szCs w:val="19"/>
          <w:color w:val="auto"/>
        </w:rPr>
        <w:t>” means the Specifications as defined in the Quality Agreement.</w:t>
      </w:r>
    </w:p>
    <w:p>
      <w:pPr>
        <w:spacing w:after="0" w:line="20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b w:val="1"/>
          <w:bCs w:val="1"/>
          <w:color w:val="auto"/>
        </w:rPr>
        <w:t>Special Packaging</w:t>
      </w:r>
      <w:r>
        <w:rPr>
          <w:rFonts w:ascii="Arial" w:cs="Arial" w:eastAsia="Arial" w:hAnsi="Arial"/>
          <w:sz w:val="22"/>
          <w:szCs w:val="22"/>
          <w:color w:val="auto"/>
        </w:rPr>
        <w:t>” mean packaging instructions or materials that are not Bulk Packaging. Special Packaging may include: custom or particular containers, metal drums, special tape, serialized seals, and temperature/humidity monitoring devices.</w:t>
      </w:r>
    </w:p>
    <w:p>
      <w:pPr>
        <w:spacing w:after="0" w:line="177"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1.58 “</w:t>
      </w:r>
      <w:r>
        <w:rPr>
          <w:rFonts w:ascii="Arial" w:cs="Arial" w:eastAsia="Arial" w:hAnsi="Arial"/>
          <w:sz w:val="22"/>
          <w:szCs w:val="22"/>
          <w:b w:val="1"/>
          <w:bCs w:val="1"/>
          <w:color w:val="auto"/>
        </w:rPr>
        <w:t>Subcontractor</w:t>
      </w:r>
      <w:r>
        <w:rPr>
          <w:rFonts w:ascii="Arial" w:cs="Arial" w:eastAsia="Arial" w:hAnsi="Arial"/>
          <w:sz w:val="22"/>
          <w:szCs w:val="22"/>
          <w:color w:val="auto"/>
        </w:rPr>
        <w:t>” means any independent entity that FibroGen contracts to perform any Manufacturing Services or meet any obligations that are required under the terms and conditions of this Agreement, as further described in this Agreement including in Section 4.7.</w:t>
      </w:r>
    </w:p>
    <w:p>
      <w:pPr>
        <w:spacing w:after="0" w:line="177"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Failure</w:t>
      </w:r>
      <w:r>
        <w:rPr>
          <w:rFonts w:ascii="Arial" w:cs="Arial" w:eastAsia="Arial" w:hAnsi="Arial"/>
          <w:sz w:val="19"/>
          <w:szCs w:val="19"/>
          <w:color w:val="auto"/>
        </w:rPr>
        <w:t>” means any failure by FibroGen [*] ordered by Astellas under the terms of this Agreement.</w:t>
      </w:r>
    </w:p>
    <w:p>
      <w:pPr>
        <w:spacing w:after="0" w:line="206" w:lineRule="exact"/>
        <w:rPr>
          <w:sz w:val="20"/>
          <w:szCs w:val="20"/>
          <w:color w:val="auto"/>
        </w:rPr>
      </w:pPr>
    </w:p>
    <w:p>
      <w:pPr>
        <w:jc w:val="both"/>
        <w:ind w:firstLine="814"/>
        <w:spacing w:after="0" w:line="239" w:lineRule="auto"/>
        <w:rPr>
          <w:sz w:val="20"/>
          <w:szCs w:val="20"/>
          <w:color w:val="auto"/>
        </w:rPr>
      </w:pPr>
      <w:r>
        <w:rPr>
          <w:rFonts w:ascii="Arial" w:cs="Arial" w:eastAsia="Arial" w:hAnsi="Arial"/>
          <w:sz w:val="22"/>
          <w:szCs w:val="22"/>
          <w:color w:val="auto"/>
        </w:rPr>
        <w:t>1.60 “</w:t>
      </w:r>
      <w:r>
        <w:rPr>
          <w:rFonts w:ascii="Arial" w:cs="Arial" w:eastAsia="Arial" w:hAnsi="Arial"/>
          <w:sz w:val="22"/>
          <w:szCs w:val="22"/>
          <w:b w:val="1"/>
          <w:bCs w:val="1"/>
          <w:color w:val="auto"/>
        </w:rPr>
        <w:t>Taxes</w:t>
      </w:r>
      <w:r>
        <w:rPr>
          <w:rFonts w:ascii="Arial" w:cs="Arial" w:eastAsia="Arial" w:hAnsi="Arial"/>
          <w:sz w:val="22"/>
          <w:szCs w:val="22"/>
          <w:color w:val="auto"/>
        </w:rPr>
        <w:t>” means all compulsory charges – except Indirect Taxes – imposed pursuant to the authority of the relevant country, or political subdivision thereof (including states, and political subdivisions having jurisdiction), to levy taxes or fees on an entity or activity. Taxes include, but are not limited to income taxes, employment taxes and business taxes. For the avoidance of doubt, social contributions are not included in this definition.</w:t>
      </w:r>
    </w:p>
    <w:p>
      <w:pPr>
        <w:spacing w:after="0" w:line="180"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has the meaning set forth in the EU Collaboration Agreement.</w:t>
      </w:r>
    </w:p>
    <w:p>
      <w:pPr>
        <w:spacing w:after="0" w:line="200" w:lineRule="exact"/>
        <w:rPr>
          <w:sz w:val="20"/>
          <w:szCs w:val="20"/>
          <w:color w:val="auto"/>
        </w:rPr>
      </w:pPr>
    </w:p>
    <w:p>
      <w:pPr>
        <w:spacing w:after="0" w:line="235"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7" w:name="page108"/>
    <w:bookmarkEnd w:id="107"/>
    <w:p>
      <w:pPr>
        <w:ind w:left="820"/>
        <w:spacing w:after="0"/>
        <w:tabs>
          <w:tab w:leader="none" w:pos="18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party other than Astellas, FibroGen and their respective Affiliates.</w:t>
      </w:r>
    </w:p>
    <w:p>
      <w:pPr>
        <w:spacing w:after="0" w:line="206"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b w:val="1"/>
          <w:bCs w:val="1"/>
          <w:color w:val="auto"/>
        </w:rPr>
        <w:t>Trade Marks</w:t>
      </w:r>
      <w:r>
        <w:rPr>
          <w:rFonts w:ascii="Arial" w:cs="Arial" w:eastAsia="Arial" w:hAnsi="Arial"/>
          <w:sz w:val="22"/>
          <w:szCs w:val="22"/>
          <w:color w:val="auto"/>
        </w:rPr>
        <w:t>” means the trade marks, logos or trade names owned or used by either Party including those used on or in relation to such Party’s pharmaceutical products and company name.</w:t>
      </w:r>
    </w:p>
    <w:p>
      <w:pPr>
        <w:spacing w:after="0" w:line="162"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Transfer Range</w:t>
      </w:r>
      <w:r>
        <w:rPr>
          <w:rFonts w:ascii="Arial" w:cs="Arial" w:eastAsia="Arial" w:hAnsi="Arial"/>
          <w:sz w:val="19"/>
          <w:szCs w:val="19"/>
          <w:color w:val="auto"/>
        </w:rPr>
        <w:t>” has the meaning set forth on Section 2.1.1.</w:t>
      </w:r>
    </w:p>
    <w:p>
      <w:pPr>
        <w:spacing w:after="0" w:line="206"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1.65 “</w:t>
      </w:r>
      <w:r>
        <w:rPr>
          <w:rFonts w:ascii="Arial" w:cs="Arial" w:eastAsia="Arial" w:hAnsi="Arial"/>
          <w:sz w:val="22"/>
          <w:szCs w:val="22"/>
          <w:b w:val="1"/>
          <w:bCs w:val="1"/>
          <w:color w:val="auto"/>
        </w:rPr>
        <w:t>Transfer</w:t>
      </w:r>
      <w:r>
        <w:rPr>
          <w:rFonts w:ascii="Arial" w:cs="Arial" w:eastAsia="Arial" w:hAnsi="Arial"/>
          <w:sz w:val="22"/>
          <w:szCs w:val="22"/>
          <w:color w:val="auto"/>
        </w:rPr>
        <w:t>” shall mean the Bulk Product that is made available to Astellas or its nominated Third Party pursuant to Section 5.3 of this Agreement.</w:t>
      </w:r>
    </w:p>
    <w:p>
      <w:pPr>
        <w:spacing w:after="0" w:line="162"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1.66 “</w:t>
      </w:r>
      <w:r>
        <w:rPr>
          <w:rFonts w:ascii="Arial" w:cs="Arial" w:eastAsia="Arial" w:hAnsi="Arial"/>
          <w:sz w:val="22"/>
          <w:szCs w:val="22"/>
          <w:b w:val="1"/>
          <w:bCs w:val="1"/>
          <w:color w:val="auto"/>
        </w:rPr>
        <w:t>Transfer Date</w:t>
      </w:r>
      <w:r>
        <w:rPr>
          <w:rFonts w:ascii="Arial" w:cs="Arial" w:eastAsia="Arial" w:hAnsi="Arial"/>
          <w:sz w:val="22"/>
          <w:szCs w:val="22"/>
          <w:color w:val="auto"/>
        </w:rPr>
        <w:t>” means the date specified for delivery of Bulk Product pursuant to a Purchase Order in accordance with this Agreement including Section 5.3 hereof, which shall, for the avoidance of doubt, take into account the Lead Time.</w:t>
      </w:r>
    </w:p>
    <w:p>
      <w:pPr>
        <w:spacing w:after="0" w:line="177"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 Losses</w:t>
      </w:r>
      <w:r>
        <w:rPr>
          <w:rFonts w:ascii="Arial" w:cs="Arial" w:eastAsia="Arial" w:hAnsi="Arial"/>
          <w:sz w:val="19"/>
          <w:szCs w:val="19"/>
          <w:color w:val="auto"/>
        </w:rPr>
        <w:t>” means [*].</w:t>
      </w:r>
    </w:p>
    <w:p>
      <w:pPr>
        <w:spacing w:after="0" w:line="206" w:lineRule="exact"/>
        <w:rPr>
          <w:sz w:val="20"/>
          <w:szCs w:val="20"/>
          <w:color w:val="auto"/>
        </w:rPr>
      </w:pPr>
    </w:p>
    <w:p>
      <w:pPr>
        <w:jc w:val="both"/>
        <w:ind w:firstLine="814"/>
        <w:spacing w:after="0" w:line="243" w:lineRule="auto"/>
        <w:rPr>
          <w:sz w:val="20"/>
          <w:szCs w:val="20"/>
          <w:color w:val="auto"/>
        </w:rPr>
      </w:pPr>
      <w:r>
        <w:rPr>
          <w:rFonts w:ascii="Arial" w:cs="Arial" w:eastAsia="Arial" w:hAnsi="Arial"/>
          <w:sz w:val="22"/>
          <w:szCs w:val="22"/>
          <w:color w:val="auto"/>
        </w:rPr>
        <w:t>1.68 “</w:t>
      </w:r>
      <w:r>
        <w:rPr>
          <w:rFonts w:ascii="Arial" w:cs="Arial" w:eastAsia="Arial" w:hAnsi="Arial"/>
          <w:sz w:val="22"/>
          <w:szCs w:val="22"/>
          <w:b w:val="1"/>
          <w:bCs w:val="1"/>
          <w:color w:val="auto"/>
        </w:rPr>
        <w:t>Withholding Tax</w:t>
      </w:r>
      <w:r>
        <w:rPr>
          <w:rFonts w:ascii="Arial" w:cs="Arial" w:eastAsia="Arial" w:hAnsi="Arial"/>
          <w:sz w:val="22"/>
          <w:szCs w:val="22"/>
          <w:color w:val="auto"/>
        </w:rPr>
        <w:t>” means any fee, tax charge or deduction imposed by the fiscal authorities in the country of tax residence of Astellas on any sum payable by Astellas to FibroGen for the fees under the Agreement. For the avoidance of doubt, this does not include social security contributions.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SUPPLY ARRANGEMENT</w:t>
      </w:r>
    </w:p>
    <w:p>
      <w:pPr>
        <w:spacing w:after="0" w:line="188"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Supply</w:t>
      </w:r>
      <w:r>
        <w:rPr>
          <w:rFonts w:ascii="Arial" w:cs="Arial" w:eastAsia="Arial" w:hAnsi="Arial"/>
          <w:sz w:val="19"/>
          <w:szCs w:val="19"/>
          <w:color w:val="auto"/>
        </w:rPr>
        <w:t>.</w:t>
      </w:r>
    </w:p>
    <w:p>
      <w:pPr>
        <w:spacing w:after="0" w:line="206" w:lineRule="exact"/>
        <w:rPr>
          <w:sz w:val="20"/>
          <w:szCs w:val="20"/>
          <w:color w:val="auto"/>
        </w:rPr>
      </w:pPr>
    </w:p>
    <w:p>
      <w:pPr>
        <w:jc w:val="both"/>
        <w:ind w:firstLine="1627"/>
        <w:spacing w:after="0" w:line="271"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General Supply</w:t>
      </w:r>
      <w:r>
        <w:rPr>
          <w:rFonts w:ascii="Arial" w:cs="Arial" w:eastAsia="Arial" w:hAnsi="Arial"/>
          <w:sz w:val="19"/>
          <w:szCs w:val="19"/>
          <w:color w:val="auto"/>
        </w:rPr>
        <w:t>. Subject to the terms and conditions of this Agreement, FibroGen hereby agrees, either directly or through one or more Third Party Subcontractors, to manufacture and supply Astellas with the amounts of Bulk Product ordered by Astellas in accordance with (and consistent with) the Purchase Order, this Agreement, the applicable Lead Time and all previous Forecasts. Notwithstanding anything in this Agreement to the contrary, any Transfer Date within [*] of the delivery of the first Forecast must be agreed upon by the Parties. The manufacture and supply of Bulk Product (collectively, the “Manufacturing Services”) shall be performed in a professional manner by FibroGen or its Third Party Subcontractors consistent with industry standards including but not limited to cGMP and in compliance with the terms and conditions of this Agreement, the Quality Agreement, the Specifications, and all Applicable Laws. Notwithstanding anything to the contrary herein, [*]. [*] Should Astellas produce Finished Product from Bulk Product supplied under this Agreement, the packaging and labeling to be distributed commercially by Astellas shall contain clearly visible acknowledgement that the Finished Product is licensed from FibroGen and that the Finished Product Trade Mark is a registered Trade Mark of FibroGen where permitted by the relevant Regulatory Authorities in the Territory. For the avoidance of doubt, where a Regulatory Authority: (i) does not permit the above acknowledgement to be included but changes this position Astellas shall include the acknowledgement as soon as possible [*]; and (ii) where a Regulatory Authority does permit the acknowledgement to be included but changes this position Astellas shall remove the acknowledgement as soon as possible [*].</w:t>
      </w:r>
    </w:p>
    <w:p>
      <w:pPr>
        <w:spacing w:after="0" w:line="383"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8" w:name="page109"/>
    <w:bookmarkEnd w:id="108"/>
    <w:p>
      <w:pPr>
        <w:jc w:val="both"/>
        <w:ind w:firstLine="1627"/>
        <w:spacing w:after="0" w:line="250"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Affiliates and Third Party Subcontractors</w:t>
      </w:r>
      <w:r>
        <w:rPr>
          <w:rFonts w:ascii="Arial" w:cs="Arial" w:eastAsia="Arial" w:hAnsi="Arial"/>
          <w:sz w:val="22"/>
          <w:szCs w:val="22"/>
          <w:color w:val="auto"/>
        </w:rPr>
        <w:t>. FibroGen shall procure that and be [*] responsible for its Affiliates and its Subcontractors complying, at all times, with FibroGen’s obligations under this Agreement.</w:t>
      </w:r>
    </w:p>
    <w:p>
      <w:pPr>
        <w:spacing w:after="0" w:line="175" w:lineRule="exact"/>
        <w:rPr>
          <w:sz w:val="20"/>
          <w:szCs w:val="20"/>
          <w:color w:val="auto"/>
        </w:rPr>
      </w:pPr>
    </w:p>
    <w:p>
      <w:pPr>
        <w:jc w:val="both"/>
        <w:ind w:firstLine="1627"/>
        <w:spacing w:after="0" w:line="236"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Exclusive Arrangement</w:t>
      </w:r>
      <w:r>
        <w:rPr>
          <w:rFonts w:ascii="Arial" w:cs="Arial" w:eastAsia="Arial" w:hAnsi="Arial"/>
          <w:sz w:val="22"/>
          <w:szCs w:val="22"/>
          <w:color w:val="auto"/>
        </w:rPr>
        <w:t>. Subject to the terms and conditions of this Agreement, Astellas agrees to purchase from FibroGen, and FibroGen agrees to manufacture and provide to Astellas, all of Astellas’ requirements for Bulk Product in the Territory, subject to Astellas’ right of termination set forth in Section 18.1 (Termination) herein below. FibroGen shall be free to supply Bulk Product to any Third Party worldwide subject to the exclusive rights granted to Astellas pursuant to the EU Collaboration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FORECASTS AND PURCHASE ORDERS</w:t>
      </w:r>
    </w:p>
    <w:p>
      <w:pPr>
        <w:spacing w:after="0" w:line="188"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8"/>
          <w:szCs w:val="18"/>
          <w:color w:val="auto"/>
        </w:rPr>
        <w:t>Forecasts.</w:t>
      </w:r>
    </w:p>
    <w:p>
      <w:pPr>
        <w:spacing w:after="0" w:line="206" w:lineRule="exact"/>
        <w:rPr>
          <w:sz w:val="20"/>
          <w:szCs w:val="20"/>
          <w:color w:val="auto"/>
        </w:rPr>
      </w:pPr>
    </w:p>
    <w:p>
      <w:pPr>
        <w:jc w:val="both"/>
        <w:ind w:firstLine="1627"/>
        <w:spacing w:after="0" w:line="236" w:lineRule="auto"/>
        <w:rPr>
          <w:sz w:val="20"/>
          <w:szCs w:val="20"/>
          <w:color w:val="auto"/>
        </w:rPr>
      </w:pPr>
      <w:r>
        <w:rPr>
          <w:rFonts w:ascii="Arial" w:cs="Arial" w:eastAsia="Arial" w:hAnsi="Arial"/>
          <w:sz w:val="22"/>
          <w:szCs w:val="22"/>
          <w:color w:val="auto"/>
        </w:rPr>
        <w:t>3.1.1 On [*] during the term of this Agreement, Astellas shall give FibroGen a rolling Forecast of its anticipated requirements for Bulk Product [*] to be Transferred in each of the following [*] (“Forecast”). Upon receipt of a Forecast, FibroGen shall provide acceptance or rejection of the Forecast within [*] to Astellas. In the event FibroGen rejects the Forecast the Parties shall discuss in good faith a revised forecast. If such good faith forecast is not agreed within [*], the Parties shall follow the conflict resolution procedure in Section 20.8 of this Agreement.</w:t>
      </w:r>
    </w:p>
    <w:p>
      <w:pPr>
        <w:spacing w:after="0" w:line="187" w:lineRule="exact"/>
        <w:rPr>
          <w:sz w:val="20"/>
          <w:szCs w:val="20"/>
          <w:color w:val="auto"/>
        </w:rPr>
      </w:pPr>
    </w:p>
    <w:p>
      <w:pPr>
        <w:jc w:val="both"/>
        <w:ind w:firstLine="1627"/>
        <w:spacing w:after="0"/>
        <w:rPr>
          <w:sz w:val="20"/>
          <w:szCs w:val="20"/>
          <w:color w:val="auto"/>
        </w:rPr>
      </w:pPr>
      <w:r>
        <w:rPr>
          <w:rFonts w:ascii="Arial" w:cs="Arial" w:eastAsia="Arial" w:hAnsi="Arial"/>
          <w:sz w:val="22"/>
          <w:szCs w:val="22"/>
          <w:color w:val="auto"/>
        </w:rPr>
        <w:t>3.1.2 The [*] of each such Forecast shall be binding and reflect the current and any previously submitted Purchase Orders for Bulk Product [*]. For the avoidance of doubt, the remaining months shall be non-binding for Bulk Product purchases, subject to Section 3.1.3 and Article 18.</w:t>
      </w:r>
    </w:p>
    <w:p>
      <w:pPr>
        <w:spacing w:after="0" w:line="186" w:lineRule="exact"/>
        <w:rPr>
          <w:sz w:val="20"/>
          <w:szCs w:val="20"/>
          <w:color w:val="auto"/>
        </w:rPr>
      </w:pPr>
    </w:p>
    <w:p>
      <w:pPr>
        <w:jc w:val="both"/>
        <w:ind w:firstLine="1627"/>
        <w:spacing w:after="0"/>
        <w:rPr>
          <w:sz w:val="20"/>
          <w:szCs w:val="20"/>
          <w:color w:val="auto"/>
        </w:rPr>
      </w:pPr>
      <w:r>
        <w:rPr>
          <w:rFonts w:ascii="Arial" w:cs="Arial" w:eastAsia="Arial" w:hAnsi="Arial"/>
          <w:sz w:val="22"/>
          <w:szCs w:val="22"/>
          <w:color w:val="auto"/>
        </w:rPr>
        <w:t>3.1.3 The Parties agree that FibroGen may rely on the [*] Forecasts indicated hereinabove to initiate manufacture of API and/or intermediates to meet Astellas Forecasted requirements, and therefore Astellas understands that [*]. [*].</w:t>
      </w:r>
    </w:p>
    <w:p>
      <w:pPr>
        <w:spacing w:after="0" w:line="186" w:lineRule="exact"/>
        <w:rPr>
          <w:sz w:val="20"/>
          <w:szCs w:val="20"/>
          <w:color w:val="auto"/>
        </w:rPr>
      </w:pPr>
    </w:p>
    <w:p>
      <w:pPr>
        <w:ind w:left="1640"/>
        <w:spacing w:after="0"/>
        <w:tabs>
          <w:tab w:leader="none" w:pos="270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color w:val="auto"/>
        </w:rPr>
        <w:t>Furthermore, [*].</w:t>
      </w:r>
    </w:p>
    <w:p>
      <w:pPr>
        <w:spacing w:after="0" w:line="206" w:lineRule="exact"/>
        <w:rPr>
          <w:sz w:val="20"/>
          <w:szCs w:val="20"/>
          <w:color w:val="auto"/>
        </w:rPr>
      </w:pPr>
    </w:p>
    <w:p>
      <w:pPr>
        <w:jc w:val="both"/>
        <w:ind w:firstLine="814"/>
        <w:spacing w:after="0" w:line="249" w:lineRule="auto"/>
        <w:rPr>
          <w:sz w:val="20"/>
          <w:szCs w:val="20"/>
          <w:color w:val="auto"/>
        </w:rPr>
      </w:pPr>
      <w:r>
        <w:rPr>
          <w:rFonts w:ascii="Arial" w:cs="Arial" w:eastAsia="Arial" w:hAnsi="Arial"/>
          <w:sz w:val="21"/>
          <w:szCs w:val="21"/>
          <w:color w:val="auto"/>
        </w:rPr>
        <w:t>3.2 Purchase Orders. This Agreement allows the Parties to contract for the manufacturing and supply of Bulk Product by FibroGen to Astellas through the execution of written purchase orders (“Purchase Orders”). Each Purchase Order complying with the requirements of this Article 3 shall be valid and binding upon the acceptance of such Purchase Orders by FibroGen. Each Purchase Order shall become part of and incorporated into this Agreement; and each Purchase Order shall be subject to all of the terms and conditions of this Agreement and the Quality Agreement.</w:t>
      </w:r>
    </w:p>
    <w:p>
      <w:pPr>
        <w:spacing w:after="0" w:line="178"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Astellas shall place formal Purchase Orders, specifying:</w:t>
      </w:r>
    </w:p>
    <w:p>
      <w:pPr>
        <w:spacing w:after="0" w:line="206" w:lineRule="exact"/>
        <w:rPr>
          <w:sz w:val="20"/>
          <w:szCs w:val="20"/>
          <w:color w:val="auto"/>
        </w:rPr>
      </w:pPr>
    </w:p>
    <w:p>
      <w:pPr>
        <w:ind w:left="2520" w:hanging="885"/>
        <w:spacing w:after="0"/>
        <w:tabs>
          <w:tab w:leader="none" w:pos="25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40" w:hanging="905"/>
        <w:spacing w:after="0"/>
        <w:tabs>
          <w:tab w:leader="none" w:pos="25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requested Transfer Date(s);</w:t>
      </w:r>
    </w:p>
    <w:p>
      <w:pPr>
        <w:spacing w:after="0" w:line="206" w:lineRule="exact"/>
        <w:rPr>
          <w:rFonts w:ascii="Arial" w:cs="Arial" w:eastAsia="Arial" w:hAnsi="Arial"/>
          <w:sz w:val="22"/>
          <w:szCs w:val="22"/>
          <w:color w:val="auto"/>
        </w:rPr>
      </w:pPr>
    </w:p>
    <w:p>
      <w:pPr>
        <w:ind w:left="2520" w:hanging="885"/>
        <w:spacing w:after="0"/>
        <w:tabs>
          <w:tab w:leader="none" w:pos="25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Shipping Requirements;</w:t>
      </w:r>
    </w:p>
    <w:p>
      <w:pPr>
        <w:spacing w:after="0" w:line="200" w:lineRule="exact"/>
        <w:rPr>
          <w:sz w:val="20"/>
          <w:szCs w:val="20"/>
          <w:color w:val="auto"/>
        </w:rPr>
      </w:pPr>
    </w:p>
    <w:p>
      <w:pPr>
        <w:spacing w:after="0" w:line="229"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9" w:name="page110"/>
    <w:bookmarkEnd w:id="109"/>
    <w:p>
      <w:pPr>
        <w:ind w:left="2540" w:hanging="905"/>
        <w:spacing w:after="0"/>
        <w:tabs>
          <w:tab w:leader="none" w:pos="2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US dollar value of ordered Bulk Product by strengths, that is determined pursuant to Article 6</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 Exhibit B;</w:t>
      </w:r>
    </w:p>
    <w:p>
      <w:pPr>
        <w:spacing w:after="0" w:line="188" w:lineRule="exact"/>
        <w:rPr>
          <w:sz w:val="20"/>
          <w:szCs w:val="20"/>
          <w:color w:val="auto"/>
        </w:rPr>
      </w:pPr>
    </w:p>
    <w:p>
      <w:pPr>
        <w:ind w:left="2520" w:hanging="885"/>
        <w:spacing w:after="0"/>
        <w:tabs>
          <w:tab w:leader="none" w:pos="25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Astellas’s Purchase Order reference number;</w:t>
      </w:r>
    </w:p>
    <w:p>
      <w:pPr>
        <w:spacing w:after="0" w:line="206" w:lineRule="exact"/>
        <w:rPr>
          <w:rFonts w:ascii="Arial" w:cs="Arial" w:eastAsia="Arial" w:hAnsi="Arial"/>
          <w:sz w:val="22"/>
          <w:szCs w:val="22"/>
          <w:color w:val="auto"/>
        </w:rPr>
      </w:pPr>
    </w:p>
    <w:p>
      <w:pPr>
        <w:ind w:left="2500" w:hanging="865"/>
        <w:spacing w:after="0"/>
        <w:tabs>
          <w:tab w:leader="none" w:pos="25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Astellas’s and FibroGen’s stock keeping unit[s] (SKU); and</w:t>
      </w:r>
    </w:p>
    <w:p>
      <w:pPr>
        <w:spacing w:after="0" w:line="206" w:lineRule="exact"/>
        <w:rPr>
          <w:rFonts w:ascii="Arial" w:cs="Arial" w:eastAsia="Arial" w:hAnsi="Arial"/>
          <w:sz w:val="22"/>
          <w:szCs w:val="22"/>
          <w:color w:val="auto"/>
        </w:rPr>
      </w:pPr>
    </w:p>
    <w:p>
      <w:pPr>
        <w:ind w:firstLine="1635"/>
        <w:spacing w:after="0" w:line="250" w:lineRule="auto"/>
        <w:tabs>
          <w:tab w:leader="none" w:pos="2527" w:val="left"/>
        </w:tabs>
        <w:numPr>
          <w:ilvl w:val="0"/>
          <w:numId w:val="90"/>
        </w:numPr>
        <w:rPr>
          <w:rFonts w:ascii="Arial" w:cs="Arial" w:eastAsia="Arial" w:hAnsi="Arial"/>
          <w:sz w:val="22"/>
          <w:szCs w:val="22"/>
          <w:color w:val="auto"/>
        </w:rPr>
      </w:pPr>
      <w:r>
        <w:rPr>
          <w:rFonts w:ascii="Arial" w:cs="Arial" w:eastAsia="Arial" w:hAnsi="Arial"/>
          <w:sz w:val="22"/>
          <w:szCs w:val="22"/>
          <w:color w:val="auto"/>
        </w:rPr>
        <w:t>For the purpose of clarity, the total quantity in a Purchase Order may not, unless agreed otherwise by the Parties in writing, exceed the previously agreed Forecasted in Section 3.1.1.</w:t>
      </w:r>
    </w:p>
    <w:p>
      <w:pPr>
        <w:spacing w:after="0" w:line="175"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w:t>
      </w:r>
    </w:p>
    <w:p>
      <w:pPr>
        <w:spacing w:after="0" w:line="206" w:lineRule="exact"/>
        <w:rPr>
          <w:sz w:val="20"/>
          <w:szCs w:val="20"/>
          <w:color w:val="auto"/>
        </w:rPr>
      </w:pPr>
    </w:p>
    <w:p>
      <w:pPr>
        <w:ind w:left="2520" w:hanging="885"/>
        <w:spacing w:after="0"/>
        <w:tabs>
          <w:tab w:leader="none" w:pos="25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40" w:hanging="905"/>
        <w:spacing w:after="0"/>
        <w:tabs>
          <w:tab w:leader="none" w:pos="25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635"/>
        <w:spacing w:after="0"/>
        <w:tabs>
          <w:tab w:leader="none" w:pos="2515"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Not later than [*] after receipt of a Purchase Order, FibroGen shall confirm in writing its receipt of the Purchase Order (“</w:t>
      </w:r>
      <w:r>
        <w:rPr>
          <w:rFonts w:ascii="Arial" w:cs="Arial" w:eastAsia="Arial" w:hAnsi="Arial"/>
          <w:sz w:val="22"/>
          <w:szCs w:val="22"/>
          <w:b w:val="1"/>
          <w:bCs w:val="1"/>
          <w:color w:val="auto"/>
        </w:rPr>
        <w:t>Order Acceptance</w:t>
      </w:r>
      <w:r>
        <w:rPr>
          <w:rFonts w:ascii="Arial" w:cs="Arial" w:eastAsia="Arial" w:hAnsi="Arial"/>
          <w:sz w:val="22"/>
          <w:szCs w:val="22"/>
          <w:color w:val="auto"/>
        </w:rPr>
        <w:t>”) and the proposed Transfer Date(s), which will be [*] of the requested date, to Astellas in writing.</w:t>
      </w:r>
    </w:p>
    <w:p>
      <w:pPr>
        <w:spacing w:after="0" w:line="186" w:lineRule="exact"/>
        <w:rPr>
          <w:rFonts w:ascii="Arial" w:cs="Arial" w:eastAsia="Arial" w:hAnsi="Arial"/>
          <w:sz w:val="22"/>
          <w:szCs w:val="22"/>
          <w:color w:val="auto"/>
        </w:rPr>
      </w:pPr>
    </w:p>
    <w:p>
      <w:pPr>
        <w:ind w:firstLine="1635"/>
        <w:spacing w:after="0" w:line="250" w:lineRule="auto"/>
        <w:tabs>
          <w:tab w:leader="none" w:pos="2527" w:val="left"/>
        </w:tabs>
        <w:numPr>
          <w:ilvl w:val="0"/>
          <w:numId w:val="91"/>
        </w:numPr>
        <w:rPr>
          <w:rFonts w:ascii="Arial" w:cs="Arial" w:eastAsia="Arial" w:hAnsi="Arial"/>
          <w:sz w:val="22"/>
          <w:szCs w:val="22"/>
          <w:color w:val="auto"/>
        </w:rPr>
      </w:pPr>
      <w:r>
        <w:rPr>
          <w:rFonts w:ascii="Arial" w:cs="Arial" w:eastAsia="Arial" w:hAnsi="Arial"/>
          <w:sz w:val="22"/>
          <w:szCs w:val="22"/>
          <w:color w:val="auto"/>
        </w:rPr>
        <w:t>FibroGen will use its [*] to manufacture any additional amounts of Bulk Product ordered by Astellas outside of the parameters set forth above.</w:t>
      </w:r>
    </w:p>
    <w:p>
      <w:pPr>
        <w:spacing w:after="0" w:line="174" w:lineRule="exact"/>
        <w:rPr>
          <w:rFonts w:ascii="Arial" w:cs="Arial" w:eastAsia="Arial" w:hAnsi="Arial"/>
          <w:sz w:val="22"/>
          <w:szCs w:val="22"/>
          <w:color w:val="auto"/>
        </w:rPr>
      </w:pPr>
    </w:p>
    <w:p>
      <w:pPr>
        <w:jc w:val="both"/>
        <w:ind w:firstLine="1635"/>
        <w:spacing w:after="0" w:line="238" w:lineRule="auto"/>
        <w:tabs>
          <w:tab w:leader="none" w:pos="2515" w:val="left"/>
        </w:tabs>
        <w:numPr>
          <w:ilvl w:val="0"/>
          <w:numId w:val="91"/>
        </w:numPr>
        <w:rPr>
          <w:rFonts w:ascii="Arial" w:cs="Arial" w:eastAsia="Arial" w:hAnsi="Arial"/>
          <w:sz w:val="22"/>
          <w:szCs w:val="22"/>
          <w:color w:val="auto"/>
        </w:rPr>
      </w:pPr>
      <w:r>
        <w:rPr>
          <w:rFonts w:ascii="Arial" w:cs="Arial" w:eastAsia="Arial" w:hAnsi="Arial"/>
          <w:sz w:val="22"/>
          <w:szCs w:val="22"/>
          <w:color w:val="auto"/>
        </w:rPr>
        <w:t>[*] (for the avoidance of doubt any changes to Product Specification and/or any other aspect of manufacture, including the Facilities, equipment, processes, Raw Materials, Subcontractors, vendors, or record-keeping procedures as a result of such change in Bulk Product Manufacturer will be agreed in accordance with Article 10 of this Agreement), [*].</w:t>
      </w:r>
    </w:p>
    <w:p>
      <w:pPr>
        <w:spacing w:after="0" w:line="185"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3.5 FibroGen shall at all times maintain (i) sufficient manufacturing capacity at the Facilities and (ii) sufficient stocks of Raw Materials, in each case enabling FibroGen to manufacture [*] of the quantities of Bulk Product set forth in the Forecast.</w:t>
      </w:r>
    </w:p>
    <w:p>
      <w:pPr>
        <w:spacing w:after="0" w:line="186" w:lineRule="exact"/>
        <w:rPr>
          <w:sz w:val="20"/>
          <w:szCs w:val="20"/>
          <w:color w:val="auto"/>
        </w:rPr>
      </w:pPr>
    </w:p>
    <w:p>
      <w:pPr>
        <w:jc w:val="both"/>
        <w:ind w:firstLine="814"/>
        <w:spacing w:after="0" w:line="23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Shortfalls in Supply</w:t>
      </w:r>
      <w:r>
        <w:rPr>
          <w:rFonts w:ascii="Arial" w:cs="Arial" w:eastAsia="Arial" w:hAnsi="Arial"/>
          <w:sz w:val="22"/>
          <w:szCs w:val="22"/>
          <w:color w:val="auto"/>
        </w:rPr>
        <w:t>. In the case of a Supply Failure, FibroGen shall use [*] to cure such failure as soon as practicable. During such Supply Failure, FibroGen shall promptly inform Astellas in writing and provide Astellas with a reasonably detailed explanation why the Lead Time cannot be met and an indication when delivery of the Purchase Order is expected. [*]. If any Supply Failure continues in effect [*], FibroGen and Astellas shall meet and work together reasonably and in good faith to seek a prompt and commercially reasonable solution to the problem causing the Supply Failure, and [*]. For clarity, a Supply Failure will not be deemed to occur if (and to the extent that) (i) such failure is caused by a force majeure event as set out in ARTICLE 19 (ii) such failure is due to the Parties’ good faith dispute as to whether the Bulk Product conforms to the Specifications or is Non-Conforming, or (iii) Astellas is not in compliance in all material respects with its obligations under the Agreement.</w:t>
      </w:r>
    </w:p>
    <w:p>
      <w:pPr>
        <w:spacing w:after="0" w:line="200" w:lineRule="exact"/>
        <w:rPr>
          <w:sz w:val="20"/>
          <w:szCs w:val="20"/>
          <w:color w:val="auto"/>
        </w:rPr>
      </w:pPr>
    </w:p>
    <w:p>
      <w:pPr>
        <w:spacing w:after="0" w:line="216" w:lineRule="exact"/>
        <w:rPr>
          <w:sz w:val="20"/>
          <w:szCs w:val="20"/>
          <w:color w:val="auto"/>
        </w:rPr>
      </w:pPr>
    </w:p>
    <w:p>
      <w:pPr>
        <w:spacing w:after="0"/>
        <w:tabs>
          <w:tab w:leader="none" w:pos="552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MANUFACTURING OBLIGATIONS</w:t>
      </w:r>
    </w:p>
    <w:p>
      <w:pPr>
        <w:spacing w:after="0" w:line="188"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Permits</w:t>
      </w:r>
      <w:r>
        <w:rPr>
          <w:rFonts w:ascii="Arial" w:cs="Arial" w:eastAsia="Arial" w:hAnsi="Arial"/>
          <w:sz w:val="22"/>
          <w:szCs w:val="22"/>
          <w:color w:val="auto"/>
        </w:rPr>
        <w:t>. FibroGen or its Subcontractors shall be responsible for obtaining and maintaining all permits, licenses, and scheduling related to the manufacturing facilities at which any Manufacturing Services are performed by or for FibroGen (the “</w:t>
      </w:r>
      <w:r>
        <w:rPr>
          <w:rFonts w:ascii="Arial" w:cs="Arial" w:eastAsia="Arial" w:hAnsi="Arial"/>
          <w:sz w:val="22"/>
          <w:szCs w:val="22"/>
          <w:b w:val="1"/>
          <w:bCs w:val="1"/>
          <w:color w:val="auto"/>
        </w:rPr>
        <w:t>Facilities</w:t>
      </w:r>
      <w:r>
        <w:rPr>
          <w:rFonts w:ascii="Arial" w:cs="Arial" w:eastAsia="Arial" w:hAnsi="Arial"/>
          <w:sz w:val="22"/>
          <w:szCs w:val="22"/>
          <w:color w:val="auto"/>
        </w:rPr>
        <w:t>”) and for ensuring that the operation of such Facilities are, at all times, in compliance with all Applicable Law, including cGMP. FibroGen shall provide Astellas with copies of all permits and licenses related to the Facilities and any Regulatory Filing information upon Astellas’ reasonable request.</w:t>
      </w:r>
    </w:p>
    <w:p>
      <w:pPr>
        <w:spacing w:after="0" w:line="187"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Raw Materials.</w:t>
      </w:r>
    </w:p>
    <w:p>
      <w:pPr>
        <w:spacing w:after="0" w:line="206" w:lineRule="exact"/>
        <w:rPr>
          <w:sz w:val="20"/>
          <w:szCs w:val="20"/>
          <w:color w:val="auto"/>
        </w:rPr>
      </w:pPr>
    </w:p>
    <w:p>
      <w:pPr>
        <w:jc w:val="both"/>
        <w:ind w:firstLine="1635"/>
        <w:spacing w:after="0" w:line="238" w:lineRule="auto"/>
        <w:tabs>
          <w:tab w:leader="none" w:pos="2515"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Procurement</w:t>
      </w:r>
      <w:r>
        <w:rPr>
          <w:rFonts w:ascii="Arial" w:cs="Arial" w:eastAsia="Arial" w:hAnsi="Arial"/>
          <w:sz w:val="22"/>
          <w:szCs w:val="22"/>
          <w:color w:val="auto"/>
        </w:rPr>
        <w:t>. Unless specifically stated otherwise in the applicable Purchase Order, FibroGen, either directly or through one or more Third Party Subcontractors, shall be responsible for the sourcing and procurement (including bearing all costs and expenses associated therewith) (in accordance with the applicable Specifications) of all Raw Materials necessary for the manufacture and supply of Bulk Product.</w:t>
      </w:r>
    </w:p>
    <w:p>
      <w:pPr>
        <w:spacing w:after="0" w:line="184" w:lineRule="exact"/>
        <w:rPr>
          <w:rFonts w:ascii="Arial" w:cs="Arial" w:eastAsia="Arial" w:hAnsi="Arial"/>
          <w:sz w:val="22"/>
          <w:szCs w:val="22"/>
          <w:color w:val="auto"/>
        </w:rPr>
      </w:pPr>
    </w:p>
    <w:p>
      <w:pPr>
        <w:jc w:val="both"/>
        <w:ind w:firstLine="1635"/>
        <w:spacing w:after="0" w:line="282" w:lineRule="auto"/>
        <w:tabs>
          <w:tab w:leader="none" w:pos="2527"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Raw Materials Compliance</w:t>
      </w:r>
      <w:r>
        <w:rPr>
          <w:rFonts w:ascii="Arial" w:cs="Arial" w:eastAsia="Arial" w:hAnsi="Arial"/>
          <w:sz w:val="19"/>
          <w:szCs w:val="19"/>
          <w:color w:val="auto"/>
        </w:rPr>
        <w:t>. All Raw Materials used in the Manufacturing Processes shall comply with the applicable Specifications, and Quality Agreement, unless otherwise agreed in a signed writing by the Parties. FibroGen or a Subcontractor shall perform all testing and evaluation of Raw Materials necessary to ensure that all Bulk Products Transferred under the terms of this Agreement meet the foregoing obligations. All Raw Material and Bulk Products shall be stored at the Facilities, handled and transported in due compliance with the Quality Agreement and Applicable Laws.</w:t>
      </w:r>
    </w:p>
    <w:p>
      <w:pPr>
        <w:spacing w:after="0" w:line="147" w:lineRule="exact"/>
        <w:rPr>
          <w:rFonts w:ascii="Arial" w:cs="Arial" w:eastAsia="Arial" w:hAnsi="Arial"/>
          <w:sz w:val="19"/>
          <w:szCs w:val="19"/>
          <w:color w:val="auto"/>
        </w:rPr>
      </w:pPr>
    </w:p>
    <w:p>
      <w:pPr>
        <w:jc w:val="both"/>
        <w:ind w:firstLine="1635"/>
        <w:spacing w:after="0" w:line="238" w:lineRule="auto"/>
        <w:tabs>
          <w:tab w:leader="none" w:pos="2515"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Retention and Reserve Samples</w:t>
      </w:r>
      <w:r>
        <w:rPr>
          <w:rFonts w:ascii="Arial" w:cs="Arial" w:eastAsia="Arial" w:hAnsi="Arial"/>
          <w:sz w:val="22"/>
          <w:szCs w:val="22"/>
          <w:color w:val="auto"/>
        </w:rPr>
        <w:t>. FibroGen shall retain (or have retained) certain reserve samples of all Raw Materials and in-process material production samples generated during production of Batches as set forth in the Quality Agreement, the applicable standard operating procedures and Applicable Laws, or as otherwise agreed in a signed writing by FibroGen and Astellas.</w:t>
      </w:r>
    </w:p>
    <w:p>
      <w:pPr>
        <w:spacing w:after="0" w:line="185" w:lineRule="exact"/>
        <w:rPr>
          <w:sz w:val="20"/>
          <w:szCs w:val="20"/>
          <w:color w:val="auto"/>
        </w:rPr>
      </w:pPr>
    </w:p>
    <w:p>
      <w:pPr>
        <w:jc w:val="both"/>
        <w:ind w:firstLine="814"/>
        <w:spacing w:after="0" w:line="27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Pass-Through Costs.</w:t>
      </w:r>
      <w:r>
        <w:rPr>
          <w:rFonts w:ascii="Arial" w:cs="Arial" w:eastAsia="Arial" w:hAnsi="Arial"/>
          <w:sz w:val="19"/>
          <w:szCs w:val="19"/>
          <w:color w:val="auto"/>
        </w:rPr>
        <w:t xml:space="preserve"> The Parties agree that costs for Manufacturing Services related to this Agreement which are passed-through to FibroGen by its suppliers, shall be pass-through costs under this Agreement. For the avoidance of doubt, pass-through costs shall apply to the extent such costs are not considered Fully Burdened Costs. Such pass-through costs may only be related to: (a) Special Packaging, (b) to the extent not included in Fully Burdened Costs, storage of Bulk Product (as described in Section 5.4), (c) regulatory inspections by Regulatory Authorities that are not a Major Regulatory Authority, and other compliance related costs; (d) audits and inspection associated with Astellas audits, including those requested by Astellas to be performed by Third Parties, such as industry groups or accrediting organizations, to the extent any such audits are in excess of the free of charge routine biennial audits and “</w:t>
      </w:r>
      <w:r>
        <w:rPr>
          <w:rFonts w:ascii="Arial" w:cs="Arial" w:eastAsia="Arial" w:hAnsi="Arial"/>
          <w:sz w:val="19"/>
          <w:szCs w:val="19"/>
          <w:b w:val="1"/>
          <w:bCs w:val="1"/>
          <w:color w:val="auto"/>
        </w:rPr>
        <w:t>for cause</w:t>
      </w:r>
      <w:r>
        <w:rPr>
          <w:rFonts w:ascii="Arial" w:cs="Arial" w:eastAsia="Arial" w:hAnsi="Arial"/>
          <w:sz w:val="19"/>
          <w:szCs w:val="19"/>
          <w:color w:val="auto"/>
        </w:rPr>
        <w:t>” audits as contemplated by and agreed to by the Parties in the Quality Agreement. Technology transfer agreed on or requested by Astellas, special analytical work, stability work and other costs shall occur only as required in a change control pursuant to Section 10.1(a). For each passed-through cost under this Section 4.3, FibroGen shall provide Astellas with evidence of such costs as reasonably requested by Astellas. Notwithstanding the foregoing, while performing Manufacturing Services, FibroGen may incur additional and unforeseeable pass-through costs that are not covered by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1" w:name="page112"/>
    <w:bookmarkEnd w:id="111"/>
    <w:p>
      <w:pPr>
        <w:jc w:val="both"/>
        <w:spacing w:after="0"/>
        <w:rPr>
          <w:sz w:val="20"/>
          <w:szCs w:val="20"/>
          <w:color w:val="auto"/>
        </w:rPr>
      </w:pPr>
      <w:r>
        <w:rPr>
          <w:rFonts w:ascii="Arial" w:cs="Arial" w:eastAsia="Arial" w:hAnsi="Arial"/>
          <w:sz w:val="22"/>
          <w:szCs w:val="22"/>
          <w:color w:val="auto"/>
        </w:rPr>
        <w:t>the terms of this Agreement or contemplated by an applicable Purchase Order. In such a circumstance, FibroGen shall promptly notify Astellas of such additional pass-through costs and expenses, and obtain Astellas’ written approval, which approval shall not be unreasonably withheld.</w:t>
      </w:r>
    </w:p>
    <w:p>
      <w:pPr>
        <w:spacing w:after="0" w:line="186" w:lineRule="exact"/>
        <w:rPr>
          <w:sz w:val="20"/>
          <w:szCs w:val="20"/>
          <w:color w:val="auto"/>
        </w:rPr>
      </w:pPr>
    </w:p>
    <w:p>
      <w:pPr>
        <w:jc w:val="both"/>
        <w:ind w:firstLine="814"/>
        <w:spacing w:after="0" w:line="252"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Manufacturing Standards.</w:t>
      </w:r>
      <w:r>
        <w:rPr>
          <w:rFonts w:ascii="Arial" w:cs="Arial" w:eastAsia="Arial" w:hAnsi="Arial"/>
          <w:sz w:val="21"/>
          <w:szCs w:val="21"/>
          <w:color w:val="auto"/>
        </w:rPr>
        <w:t xml:space="preserve"> FibroGen, either directly or through one or more Third Party Subcontractors, shall manufacture all Bulk Product in a professional manner and in accordance with Applicable Law including all applicable cGMPs, Marketing Approvals or Regulatory Filings (as applicable), and industry standards, and in compliance with the terms and conditions of the applicable Purchase Order, this Agreement, and the Quality Agreement.</w:t>
      </w:r>
    </w:p>
    <w:p>
      <w:pPr>
        <w:spacing w:after="0" w:line="174" w:lineRule="exact"/>
        <w:rPr>
          <w:sz w:val="20"/>
          <w:szCs w:val="20"/>
          <w:color w:val="auto"/>
        </w:rPr>
      </w:pPr>
    </w:p>
    <w:p>
      <w:pPr>
        <w:jc w:val="both"/>
        <w:ind w:firstLine="814"/>
        <w:spacing w:after="0" w:line="282"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Documentation for Manufacture of Bulk Product.</w:t>
      </w:r>
      <w:r>
        <w:rPr>
          <w:rFonts w:ascii="Arial" w:cs="Arial" w:eastAsia="Arial" w:hAnsi="Arial"/>
          <w:sz w:val="19"/>
          <w:szCs w:val="19"/>
          <w:color w:val="auto"/>
        </w:rPr>
        <w:t xml:space="preserve"> FibroGen shall keep complete, accurate accounts, data and records pertaining to the manufacture of the Bulk Product, including without limitation (a) Executed Batch Records for Bulk Product manufactured in accordance with cGMP, and (b) any other records required to be maintained under the Quality Agreement or Applicable Laws. For the avoidance of doubt, if Astellas reasonably requests any additional documentation not covered under this Section 4.5, FibroGen shall provide such documentation to Astellas at Astellas’ expense.</w:t>
      </w:r>
    </w:p>
    <w:p>
      <w:pPr>
        <w:spacing w:after="0" w:line="147"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Analytical Testing</w:t>
      </w:r>
      <w:r>
        <w:rPr>
          <w:rFonts w:ascii="Arial" w:cs="Arial" w:eastAsia="Arial" w:hAnsi="Arial"/>
          <w:sz w:val="22"/>
          <w:szCs w:val="22"/>
          <w:color w:val="auto"/>
        </w:rPr>
        <w:t>. FibroGen, or a designated Subcontractor, shall perform the analytical testing on Raw Materials, and Bulk Products as set forth in the Specifications, and/or in the Quality Agreement.</w:t>
      </w:r>
    </w:p>
    <w:p>
      <w:pPr>
        <w:spacing w:after="0" w:line="175" w:lineRule="exact"/>
        <w:rPr>
          <w:sz w:val="20"/>
          <w:szCs w:val="20"/>
          <w:color w:val="auto"/>
        </w:rPr>
      </w:pPr>
    </w:p>
    <w:p>
      <w:pPr>
        <w:jc w:val="both"/>
        <w:ind w:firstLine="814"/>
        <w:spacing w:after="0" w:line="235"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Subcontracting</w:t>
      </w:r>
      <w:r>
        <w:rPr>
          <w:rFonts w:ascii="Arial" w:cs="Arial" w:eastAsia="Arial" w:hAnsi="Arial"/>
          <w:sz w:val="22"/>
          <w:szCs w:val="22"/>
          <w:color w:val="auto"/>
        </w:rPr>
        <w:t>. FibroGen shall have the right to subcontract some or all of the Manufacturing Services to Third Parties following Astellas’ written approval of such Third Party Subcontractor, with Astellas’ approval not to be unreasonably withheld. Reasonable grounds to withhold approval include, but are not limited to, disbarment, breach of applicable anti-bribery laws or any other reasonable grounds as determined by the JSC. Notwithstanding anything else in this Agreement to the contrary, FibroGen shall be responsible for all acts or omissions of each of its Affiliates and Subcontractors as if any such breach was caused by FibroGen.</w:t>
      </w:r>
    </w:p>
    <w:p>
      <w:pPr>
        <w:spacing w:after="0" w:line="188"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Product Security/Tripartite Agreement</w:t>
      </w:r>
      <w:r>
        <w:rPr>
          <w:rFonts w:ascii="Arial" w:cs="Arial" w:eastAsia="Arial" w:hAnsi="Arial"/>
          <w:sz w:val="22"/>
          <w:szCs w:val="22"/>
          <w:color w:val="auto"/>
        </w:rPr>
        <w:t>. The Parties agree to comply with relevant Product security requirements.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ACCEPTANCE/REJECTION; TRANSFER</w:t>
      </w:r>
    </w:p>
    <w:p>
      <w:pPr>
        <w:spacing w:after="0" w:line="188"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Evaluation of Bulk Product; Acceptance; Complaint Procedures.</w:t>
      </w:r>
    </w:p>
    <w:p>
      <w:pPr>
        <w:spacing w:after="0" w:line="206" w:lineRule="exact"/>
        <w:rPr>
          <w:sz w:val="20"/>
          <w:szCs w:val="20"/>
          <w:color w:val="auto"/>
        </w:rPr>
      </w:pPr>
    </w:p>
    <w:p>
      <w:pPr>
        <w:jc w:val="both"/>
        <w:ind w:firstLine="1635"/>
        <w:spacing w:after="0" w:line="248" w:lineRule="auto"/>
        <w:tabs>
          <w:tab w:leader="none" w:pos="2515"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Documentation Review</w:t>
      </w:r>
      <w:r>
        <w:rPr>
          <w:rFonts w:ascii="Arial" w:cs="Arial" w:eastAsia="Arial" w:hAnsi="Arial"/>
          <w:sz w:val="21"/>
          <w:szCs w:val="21"/>
          <w:color w:val="auto"/>
        </w:rPr>
        <w:t>. FibroGen shall deliver at the point of the Bulk Product Transfer: (i) a Certificate of Analysis; (ii) Certificate of Compliance; (iii) any documents detailed in the Quality Agreement; and (iv) following receipt of the Bulk Product by Astellas in accordance with the EXW (2020 Incoterms), an invoice. In accordance with the EU Collaboration Agreement’s “</w:t>
      </w:r>
      <w:r>
        <w:rPr>
          <w:rFonts w:ascii="Arial" w:cs="Arial" w:eastAsia="Arial" w:hAnsi="Arial"/>
          <w:sz w:val="21"/>
          <w:szCs w:val="21"/>
          <w:b w:val="1"/>
          <w:bCs w:val="1"/>
          <w:i w:val="1"/>
          <w:iCs w:val="1"/>
          <w:color w:val="auto"/>
        </w:rPr>
        <w:t>Manufacturing &amp; Supply</w:t>
      </w:r>
      <w:r>
        <w:rPr>
          <w:rFonts w:ascii="Arial" w:cs="Arial" w:eastAsia="Arial" w:hAnsi="Arial"/>
          <w:sz w:val="21"/>
          <w:szCs w:val="21"/>
          <w:color w:val="auto"/>
        </w:rPr>
        <w:t>” section on page 20, the terms and conditions of the JDCA’s Section 12.4-12.12 apply, including the JDCA’s Section 12.7 (Inspection of Shipment/Right to Reject), wherein Astellas must promptly inspect each shipment and in the event any portion thereof is Non-Conforming,</w:t>
      </w:r>
    </w:p>
    <w:p>
      <w:pPr>
        <w:spacing w:after="0" w:line="400"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2" w:name="page113"/>
    <w:bookmarkEnd w:id="112"/>
    <w:p>
      <w:pPr>
        <w:jc w:val="both"/>
        <w:spacing w:after="0" w:line="238" w:lineRule="auto"/>
        <w:rPr>
          <w:sz w:val="20"/>
          <w:szCs w:val="20"/>
          <w:color w:val="auto"/>
        </w:rPr>
      </w:pPr>
      <w:r>
        <w:rPr>
          <w:rFonts w:ascii="Arial" w:cs="Arial" w:eastAsia="Arial" w:hAnsi="Arial"/>
          <w:sz w:val="22"/>
          <w:szCs w:val="22"/>
          <w:color w:val="auto"/>
        </w:rPr>
        <w:t>Astellas shall notify FibroGen within [*] of Transfer by Astellas in accordance with EXW (2020 Incoterm); otherwise, such Bulk Product shall be deemed “</w:t>
      </w:r>
      <w:r>
        <w:rPr>
          <w:rFonts w:ascii="Arial" w:cs="Arial" w:eastAsia="Arial" w:hAnsi="Arial"/>
          <w:sz w:val="22"/>
          <w:szCs w:val="22"/>
          <w:b w:val="1"/>
          <w:bCs w:val="1"/>
          <w:color w:val="auto"/>
        </w:rPr>
        <w:t>Accepted</w:t>
      </w:r>
      <w:r>
        <w:rPr>
          <w:rFonts w:ascii="Arial" w:cs="Arial" w:eastAsia="Arial" w:hAnsi="Arial"/>
          <w:sz w:val="22"/>
          <w:szCs w:val="22"/>
          <w:color w:val="auto"/>
        </w:rPr>
        <w:t>”. Should Astellas, within such [*] period, make a determination that there is Non-Conforming Bulk Product, Astellas shall notify FibroGen of such determination, that a Batch is otherwise Non-Conforming and provide a sample of the alleged Non-Conforming Bulk Product (a “</w:t>
      </w:r>
      <w:r>
        <w:rPr>
          <w:rFonts w:ascii="Arial" w:cs="Arial" w:eastAsia="Arial" w:hAnsi="Arial"/>
          <w:sz w:val="22"/>
          <w:szCs w:val="22"/>
          <w:b w:val="1"/>
          <w:bCs w:val="1"/>
          <w:color w:val="auto"/>
        </w:rPr>
        <w:t>Complaint</w:t>
      </w:r>
      <w:r>
        <w:rPr>
          <w:rFonts w:ascii="Arial" w:cs="Arial" w:eastAsia="Arial" w:hAnsi="Arial"/>
          <w:sz w:val="22"/>
          <w:szCs w:val="22"/>
          <w:color w:val="auto"/>
        </w:rPr>
        <w:t>”).</w:t>
      </w:r>
    </w:p>
    <w:p>
      <w:pPr>
        <w:spacing w:after="0" w:line="185" w:lineRule="exact"/>
        <w:rPr>
          <w:sz w:val="20"/>
          <w:szCs w:val="20"/>
          <w:color w:val="auto"/>
        </w:rPr>
      </w:pPr>
    </w:p>
    <w:p>
      <w:pPr>
        <w:ind w:left="2540" w:hanging="905"/>
        <w:spacing w:after="0"/>
        <w:tabs>
          <w:tab w:leader="none" w:pos="254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Cooperation in Investigations.</w:t>
      </w:r>
      <w:r>
        <w:rPr>
          <w:rFonts w:ascii="Arial" w:cs="Arial" w:eastAsia="Arial" w:hAnsi="Arial"/>
          <w:sz w:val="19"/>
          <w:szCs w:val="19"/>
          <w:color w:val="auto"/>
        </w:rPr>
        <w:t xml:space="preserve">  In the event Astellas does not accept Bulk Product under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5.1(a), Astellas shall [*].</w:t>
      </w:r>
    </w:p>
    <w:p>
      <w:pPr>
        <w:spacing w:after="0" w:line="188" w:lineRule="exact"/>
        <w:rPr>
          <w:rFonts w:ascii="Arial" w:cs="Arial" w:eastAsia="Arial" w:hAnsi="Arial"/>
          <w:sz w:val="19"/>
          <w:szCs w:val="19"/>
          <w:color w:val="auto"/>
        </w:rPr>
      </w:pPr>
    </w:p>
    <w:p>
      <w:pPr>
        <w:jc w:val="both"/>
        <w:ind w:firstLine="1635"/>
        <w:spacing w:after="0" w:line="272" w:lineRule="auto"/>
        <w:tabs>
          <w:tab w:leader="none" w:pos="251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Disposition of Non-Conforming Bulk Product</w:t>
      </w:r>
      <w:r>
        <w:rPr>
          <w:rFonts w:ascii="Arial" w:cs="Arial" w:eastAsia="Arial" w:hAnsi="Arial"/>
          <w:sz w:val="19"/>
          <w:szCs w:val="19"/>
          <w:color w:val="auto"/>
        </w:rPr>
        <w:t>. In the event that the Parties do not agree on whether any Bulk Product is Conforming, the Parties shall promptly meet to discuss the Bulk Product that Astellas determines as Non-Conforming. The Parties shall discuss, in good faith to determine the origin of the Non-Conforming Bulk Product, including by review of any applicable reserve samples of the applicable Batch retained at FibroGen, as well as the procedures, including but not limited to, those used to generate and test such Bulk Product. If, after [*] of such discussion, the Parties are still unable to agree on whether such Bulk Product is Conforming or Non-Conforming, the Parties shall submit the Bulk Product in question to a mutually agreed independent Third Party expert that has the capability of testing the Bulk Product to determine whether the Bulk Product is Conforming or Non-Conforming. The determination by such independent Third Party expert is final, absent a clear error in numerical calculation or analysis. FibroGen shall bear all costs and expenses related to such testing if the Bulk Product is deemed by such Third Party expert to be Non-Conforming due to FibroGen’s negligence or willful misconduct, and Astellas’ sole remedy for such Non-Conforming Bulk Product shall be: [*] Astellas shall bear all costs and expenses related to the testing if the Third Party expert determines such Bulk Product is Conforming and shall pay FibroGen in full for all such ordered products. In all other circumstances, the costs and expenses shall be shared equally by the Parties.</w:t>
      </w:r>
    </w:p>
    <w:p>
      <w:pPr>
        <w:spacing w:after="0" w:line="156"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Latent Defects</w:t>
      </w:r>
      <w:r>
        <w:rPr>
          <w:rFonts w:ascii="Arial" w:cs="Arial" w:eastAsia="Arial" w:hAnsi="Arial"/>
          <w:sz w:val="22"/>
          <w:szCs w:val="22"/>
          <w:color w:val="auto"/>
        </w:rPr>
        <w:t>. The Parties recognize that some Bulk Product may be Non-Conforming, but that such nonconformity cannot reasonably be discovered [*] (“</w:t>
      </w:r>
      <w:r>
        <w:rPr>
          <w:rFonts w:ascii="Arial" w:cs="Arial" w:eastAsia="Arial" w:hAnsi="Arial"/>
          <w:sz w:val="22"/>
          <w:szCs w:val="22"/>
          <w:b w:val="1"/>
          <w:bCs w:val="1"/>
          <w:color w:val="auto"/>
        </w:rPr>
        <w:t>Latent Defects</w:t>
      </w:r>
      <w:r>
        <w:rPr>
          <w:rFonts w:ascii="Arial" w:cs="Arial" w:eastAsia="Arial" w:hAnsi="Arial"/>
          <w:sz w:val="22"/>
          <w:szCs w:val="22"/>
          <w:color w:val="auto"/>
        </w:rPr>
        <w:t>”). If Astellas discovers that Bulk Product contains a Latent Defect during [*], and Astellas promptly notifies FibroGen of the details of such Latent Defect and provides a sample of the alleged Latent Defect to FibroGen [*], Astellas shall have the right to bring a Complaint to FibroGen for the Bulk Product as Non-Conforming pursuant to the Complaint procedures indicated hereinabove.</w:t>
      </w:r>
    </w:p>
    <w:p>
      <w:pPr>
        <w:spacing w:after="0" w:line="187" w:lineRule="exact"/>
        <w:rPr>
          <w:sz w:val="20"/>
          <w:szCs w:val="20"/>
          <w:color w:val="auto"/>
        </w:rPr>
      </w:pPr>
    </w:p>
    <w:p>
      <w:pPr>
        <w:jc w:val="both"/>
        <w:ind w:firstLine="814"/>
        <w:spacing w:after="0" w:line="27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Transfer, Transfer Date, and Shipping Terms; Storage</w:t>
      </w:r>
      <w:r>
        <w:rPr>
          <w:rFonts w:ascii="Arial" w:cs="Arial" w:eastAsia="Arial" w:hAnsi="Arial"/>
          <w:sz w:val="19"/>
          <w:szCs w:val="19"/>
          <w:color w:val="auto"/>
        </w:rPr>
        <w:t>. Unless otherwise set forth on the applicable Purchase Order, shipment of Bulk Product shall be made EXW (Incoterms 2020) at the applicable Facility(ies) (“</w:t>
      </w:r>
      <w:r>
        <w:rPr>
          <w:rFonts w:ascii="Arial" w:cs="Arial" w:eastAsia="Arial" w:hAnsi="Arial"/>
          <w:sz w:val="19"/>
          <w:szCs w:val="19"/>
          <w:b w:val="1"/>
          <w:bCs w:val="1"/>
          <w:color w:val="auto"/>
        </w:rPr>
        <w:t>Transfer</w:t>
      </w:r>
      <w:r>
        <w:rPr>
          <w:rFonts w:ascii="Arial" w:cs="Arial" w:eastAsia="Arial" w:hAnsi="Arial"/>
          <w:sz w:val="19"/>
          <w:szCs w:val="19"/>
          <w:color w:val="auto"/>
        </w:rPr>
        <w:t>”), [*] (“</w:t>
      </w:r>
      <w:r>
        <w:rPr>
          <w:rFonts w:ascii="Arial" w:cs="Arial" w:eastAsia="Arial" w:hAnsi="Arial"/>
          <w:sz w:val="19"/>
          <w:szCs w:val="19"/>
          <w:b w:val="1"/>
          <w:bCs w:val="1"/>
          <w:color w:val="auto"/>
        </w:rPr>
        <w:t>Transfer Date</w:t>
      </w:r>
      <w:r>
        <w:rPr>
          <w:rFonts w:ascii="Arial" w:cs="Arial" w:eastAsia="Arial" w:hAnsi="Arial"/>
          <w:sz w:val="19"/>
          <w:szCs w:val="19"/>
          <w:color w:val="auto"/>
        </w:rPr>
        <w:t>”), and thereafter FibroGen will not be responsible for the Bulk Product including for insurance, transport fee, and any risks associated with transit/customs delays, storage and handling. FibroGen or its subcontractor may as a convenience assist Astellas in physically loading the Bulk Product onto the relevant Astellas carrier. Astellas shall bear the costs of such carrier, including the costs of insurance of the shipment, and all customs, import formalities, import duties, sales taxes and other governmental charges related to the importation and sales of Bulk Product and Finished Product. FibroGen or its agent shall Transfer each shipment of Bulk Product by the confirmed Transfer Date.</w:t>
      </w:r>
    </w:p>
    <w:p>
      <w:pPr>
        <w:spacing w:after="0" w:line="157"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Storage.</w:t>
      </w:r>
      <w:r>
        <w:rPr>
          <w:rFonts w:ascii="Arial" w:cs="Arial" w:eastAsia="Arial" w:hAnsi="Arial"/>
          <w:sz w:val="22"/>
          <w:szCs w:val="22"/>
          <w:color w:val="auto"/>
        </w:rPr>
        <w:t xml:space="preserve"> If Astellas fails to take possession of Bulk Product on any scheduled Transfer Date [*], FibroGen shall, through its manufacturer, store such Bulk Product (in accordance with the</w:t>
      </w:r>
    </w:p>
    <w:p>
      <w:pPr>
        <w:spacing w:after="0" w:line="398"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jc w:val="both"/>
        <w:spacing w:after="0"/>
        <w:rPr>
          <w:sz w:val="20"/>
          <w:szCs w:val="20"/>
          <w:color w:val="auto"/>
        </w:rPr>
      </w:pPr>
      <w:r>
        <w:rPr>
          <w:rFonts w:ascii="Arial" w:cs="Arial" w:eastAsia="Arial" w:hAnsi="Arial"/>
          <w:sz w:val="22"/>
          <w:szCs w:val="22"/>
          <w:color w:val="auto"/>
        </w:rPr>
        <w:t>Specifications and Applicable Laws) and have the right to invoice Astellas monthly following such scheduled Transfer for any reasonable administration, handling and storage costs actually incurred by FibroGen as pass-through cost. Storage costs shall be approximately [*].</w:t>
      </w:r>
    </w:p>
    <w:p>
      <w:pPr>
        <w:spacing w:after="0" w:line="186"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5.6 If FibroGen requires Astellas to return any packaging materials to FibroGen, that fact must be clearly stated on the delivery note accompanying the relevant shipment of Bulk Product, and any such returns of Bulk Product shall be at FibroGen’s sole cost and expense.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INVOICING</w:t>
      </w:r>
    </w:p>
    <w:p>
      <w:pPr>
        <w:spacing w:after="0" w:line="188" w:lineRule="exact"/>
        <w:rPr>
          <w:sz w:val="20"/>
          <w:szCs w:val="20"/>
          <w:color w:val="auto"/>
        </w:rPr>
      </w:pPr>
    </w:p>
    <w:p>
      <w:pPr>
        <w:jc w:val="both"/>
        <w:ind w:firstLine="814"/>
        <w:spacing w:after="0" w:line="248"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Payments for Transfer</w:t>
      </w:r>
      <w:r>
        <w:rPr>
          <w:rFonts w:ascii="Arial" w:cs="Arial" w:eastAsia="Arial" w:hAnsi="Arial"/>
          <w:sz w:val="21"/>
          <w:szCs w:val="21"/>
          <w:color w:val="auto"/>
        </w:rPr>
        <w:t>. Pursuant to the “</w:t>
      </w:r>
      <w:r>
        <w:rPr>
          <w:rFonts w:ascii="Arial" w:cs="Arial" w:eastAsia="Arial" w:hAnsi="Arial"/>
          <w:sz w:val="21"/>
          <w:szCs w:val="21"/>
          <w:b w:val="1"/>
          <w:bCs w:val="1"/>
          <w:i w:val="1"/>
          <w:iCs w:val="1"/>
          <w:color w:val="auto"/>
        </w:rPr>
        <w:t>Manufacturing &amp; Supply</w:t>
      </w:r>
      <w:r>
        <w:rPr>
          <w:rFonts w:ascii="Arial" w:cs="Arial" w:eastAsia="Arial" w:hAnsi="Arial"/>
          <w:sz w:val="21"/>
          <w:szCs w:val="21"/>
          <w:color w:val="auto"/>
        </w:rPr>
        <w:t>” section as set forth on pages 19-20 of the EU Collaboration Agreement, and the “</w:t>
      </w:r>
      <w:r>
        <w:rPr>
          <w:rFonts w:ascii="Arial" w:cs="Arial" w:eastAsia="Arial" w:hAnsi="Arial"/>
          <w:sz w:val="21"/>
          <w:szCs w:val="21"/>
          <w:b w:val="1"/>
          <w:bCs w:val="1"/>
          <w:i w:val="1"/>
          <w:iCs w:val="1"/>
          <w:color w:val="auto"/>
        </w:rPr>
        <w:t>Cost of Supply; Transfer Price Payments</w:t>
      </w:r>
      <w:r>
        <w:rPr>
          <w:rFonts w:ascii="Arial" w:cs="Arial" w:eastAsia="Arial" w:hAnsi="Arial"/>
          <w:sz w:val="21"/>
          <w:szCs w:val="21"/>
          <w:color w:val="auto"/>
        </w:rPr>
        <w:t>” sections as further set out on pages 20– 22 of the EU Collaboration Agreement, FibroGen will supply to Astellas (or its designated Affiliate) Bulk Product for commercial use, and Astellas will pay FibroGen at a Transfer price equal to [*] of annual Net Sales up to $[*] USD per Calendar Year in the Territory, and [*] on annual Net Sales above $[*] USD per Calendar Year in the Territory, as further set forth below. All invoices, credit notes and other payments hereunder shall be in U.S. Dollars (USD).</w:t>
      </w:r>
    </w:p>
    <w:p>
      <w:pPr>
        <w:spacing w:after="0" w:line="177"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Estimated Payments</w:t>
      </w:r>
      <w:r>
        <w:rPr>
          <w:rFonts w:ascii="Arial" w:cs="Arial" w:eastAsia="Arial" w:hAnsi="Arial"/>
          <w:sz w:val="22"/>
          <w:szCs w:val="22"/>
          <w:color w:val="auto"/>
        </w:rPr>
        <w:t xml:space="preserve">. Within [*] of each Delivery Year of supply of Bulk Product used for commercial purposes, as set forth in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Astellas will provide the Preliminary Price Per Tablet. For the avoidance of doubt, in the first Delivery Year, Astellas shall only be required to provide the Preliminary Price Per Tablet [*].</w:t>
      </w:r>
    </w:p>
    <w:p>
      <w:pPr>
        <w:spacing w:after="0" w:line="186" w:lineRule="exact"/>
        <w:rPr>
          <w:sz w:val="20"/>
          <w:szCs w:val="20"/>
          <w:color w:val="auto"/>
        </w:rPr>
      </w:pPr>
    </w:p>
    <w:p>
      <w:pPr>
        <w:jc w:val="both"/>
        <w:ind w:firstLine="814"/>
        <w:spacing w:after="0" w:line="23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Invoicing</w:t>
      </w:r>
      <w:r>
        <w:rPr>
          <w:rFonts w:ascii="Arial" w:cs="Arial" w:eastAsia="Arial" w:hAnsi="Arial"/>
          <w:sz w:val="22"/>
          <w:szCs w:val="22"/>
          <w:color w:val="auto"/>
        </w:rPr>
        <w:t>. FibroGen will invoice Astellas upon Transfer of each shipment of Bulk Product [*]. Astellas will pay FibroGen within [*] after its receipt of such invoice. [*]. For the avoidance of doubt, Astellas will pay any undisputed invoices received from FibroGen within [*] and any credit notes from FibroGen will be applied against future product invoices or paid within [*] by FibroGen if there are no invoices available to apply against.</w:t>
      </w:r>
    </w:p>
    <w:p>
      <w:pPr>
        <w:spacing w:after="0" w:line="185"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Annual Determination for Fully Burdened Costs and Reconciliation</w:t>
      </w:r>
      <w:r>
        <w:rPr>
          <w:rFonts w:ascii="Arial" w:cs="Arial" w:eastAsia="Arial" w:hAnsi="Arial"/>
          <w:sz w:val="22"/>
          <w:szCs w:val="22"/>
          <w:color w:val="auto"/>
        </w:rPr>
        <w:t>. Within [*], FibroGen will provide the estimated costs basis for calculation of the Fully Burdened Cost to be applied in the following Delivery Year (“</w:t>
      </w:r>
      <w:r>
        <w:rPr>
          <w:rFonts w:ascii="Arial" w:cs="Arial" w:eastAsia="Arial" w:hAnsi="Arial"/>
          <w:sz w:val="22"/>
          <w:szCs w:val="22"/>
          <w:b w:val="1"/>
          <w:bCs w:val="1"/>
          <w:color w:val="auto"/>
        </w:rPr>
        <w:t>Estimated Fully</w:t>
      </w:r>
      <w:r>
        <w:rPr>
          <w:rFonts w:ascii="Arial" w:cs="Arial" w:eastAsia="Arial" w:hAnsi="Arial"/>
          <w:sz w:val="22"/>
          <w:szCs w:val="22"/>
          <w:color w:val="auto"/>
        </w:rPr>
        <w:t xml:space="preserve"> </w:t>
      </w:r>
      <w:r>
        <w:rPr>
          <w:rFonts w:ascii="Arial" w:cs="Arial" w:eastAsia="Arial" w:hAnsi="Arial"/>
          <w:sz w:val="22"/>
          <w:szCs w:val="22"/>
          <w:b w:val="1"/>
          <w:bCs w:val="1"/>
          <w:color w:val="auto"/>
        </w:rPr>
        <w:t>Burdened Costs Basis</w:t>
      </w:r>
      <w:r>
        <w:rPr>
          <w:rFonts w:ascii="Arial" w:cs="Arial" w:eastAsia="Arial" w:hAnsi="Arial"/>
          <w:sz w:val="22"/>
          <w:szCs w:val="22"/>
          <w:color w:val="auto"/>
        </w:rPr>
        <w:t>”); and [*], FibroGen will reconcile the Estimated Fully Burdened Costs Basis with the actual amount of</w:t>
      </w:r>
      <w:r>
        <w:rPr>
          <w:rFonts w:ascii="Arial" w:cs="Arial" w:eastAsia="Arial" w:hAnsi="Arial"/>
          <w:sz w:val="22"/>
          <w:szCs w:val="22"/>
          <w:b w:val="1"/>
          <w:bCs w:val="1"/>
          <w:color w:val="auto"/>
        </w:rPr>
        <w:t xml:space="preserve"> </w:t>
      </w:r>
      <w:r>
        <w:rPr>
          <w:rFonts w:ascii="Arial" w:cs="Arial" w:eastAsia="Arial" w:hAnsi="Arial"/>
          <w:sz w:val="22"/>
          <w:szCs w:val="22"/>
          <w:color w:val="auto"/>
        </w:rPr>
        <w:t>costs incurred in that Delivery Year (</w:t>
      </w:r>
      <w:r>
        <w:rPr>
          <w:rFonts w:ascii="Arial" w:cs="Arial" w:eastAsia="Arial" w:hAnsi="Arial"/>
          <w:sz w:val="22"/>
          <w:szCs w:val="22"/>
          <w:b w:val="1"/>
          <w:bCs w:val="1"/>
          <w:color w:val="auto"/>
        </w:rPr>
        <w:t>“Actual Costs for Fully Burdened Costs</w:t>
      </w:r>
      <w:r>
        <w:rPr>
          <w:rFonts w:ascii="Arial" w:cs="Arial" w:eastAsia="Arial" w:hAnsi="Arial"/>
          <w:sz w:val="22"/>
          <w:szCs w:val="22"/>
          <w:color w:val="auto"/>
        </w:rPr>
        <w:t>”) and provide such Actual Costs for Fully Burdened Costs to Astellas. [*]</w:t>
      </w:r>
    </w:p>
    <w:p>
      <w:pPr>
        <w:spacing w:after="0" w:line="187" w:lineRule="exact"/>
        <w:rPr>
          <w:sz w:val="20"/>
          <w:szCs w:val="20"/>
          <w:color w:val="auto"/>
        </w:rPr>
      </w:pPr>
    </w:p>
    <w:p>
      <w:pPr>
        <w:jc w:val="both"/>
        <w:ind w:firstLine="814"/>
        <w:spacing w:after="0" w:line="252"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Actual Price Per Tablet and Preliminary Price Per Tablet Reconciliation and Payments.</w:t>
      </w:r>
      <w:r>
        <w:rPr>
          <w:rFonts w:ascii="Arial" w:cs="Arial" w:eastAsia="Arial" w:hAnsi="Arial"/>
          <w:sz w:val="21"/>
          <w:szCs w:val="21"/>
          <w:color w:val="auto"/>
        </w:rPr>
        <w:t xml:space="preserve"> Within [*], Astellas will calculate the Actual Price Per Tablet, as further described in Exhibit B. [*] For the avoidance of doubt, Astellas will pay any undisputed invoices received from FibroGen within [*] and any credit notes from FibroGen will be applied against future product invoices or paid within [*] by FibroGen if there are no invoices available to apply against.</w:t>
      </w:r>
    </w:p>
    <w:p>
      <w:pPr>
        <w:spacing w:after="0" w:line="397"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jc w:val="both"/>
        <w:ind w:firstLine="814"/>
        <w:spacing w:after="0" w:line="328"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Pass-through costs</w:t>
      </w:r>
      <w:r>
        <w:rPr>
          <w:rFonts w:ascii="Arial" w:cs="Arial" w:eastAsia="Arial" w:hAnsi="Arial"/>
          <w:sz w:val="19"/>
          <w:szCs w:val="19"/>
          <w:color w:val="auto"/>
        </w:rPr>
        <w:t>. Pass through costs described in Section 4.3 shall be invoiced separately. In the event of ad hoc invoices, Astellas will pay FibroGen within [*] after its receipt of such invoice quoting an Astellas purchase order number.</w:t>
      </w:r>
    </w:p>
    <w:p>
      <w:pPr>
        <w:spacing w:after="0" w:line="105" w:lineRule="exact"/>
        <w:rPr>
          <w:sz w:val="20"/>
          <w:szCs w:val="20"/>
          <w:color w:val="auto"/>
        </w:rPr>
      </w:pPr>
    </w:p>
    <w:p>
      <w:pPr>
        <w:jc w:val="both"/>
        <w:ind w:firstLine="814"/>
        <w:spacing w:after="0" w:line="282"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Reporting and Audit Rights</w:t>
      </w:r>
      <w:r>
        <w:rPr>
          <w:rFonts w:ascii="Arial" w:cs="Arial" w:eastAsia="Arial" w:hAnsi="Arial"/>
          <w:sz w:val="19"/>
          <w:szCs w:val="19"/>
          <w:color w:val="auto"/>
        </w:rPr>
        <w:t>. FibroGen shall provide all such evidence as Astellas may reasonably request in order to verify invoices submitted by FibroGen. In addition, FibroGen shall, on request, allow Astellas to inspect and take copies of (or extracts from) all relevant records and materials of FibroGen relating to the supply of the Bulk Products, including for the avoidance of doubt, the Fully Burdened Costs, as may be reasonably required in order to verify such matters in accordance with the relevant provisions concerning “</w:t>
      </w:r>
      <w:r>
        <w:rPr>
          <w:rFonts w:ascii="Arial" w:cs="Arial" w:eastAsia="Arial" w:hAnsi="Arial"/>
          <w:sz w:val="19"/>
          <w:szCs w:val="19"/>
          <w:b w:val="1"/>
          <w:bCs w:val="1"/>
          <w:i w:val="1"/>
          <w:iCs w:val="1"/>
          <w:color w:val="auto"/>
        </w:rPr>
        <w:t>Reporting and Audit Rights</w:t>
      </w:r>
      <w:r>
        <w:rPr>
          <w:rFonts w:ascii="Arial" w:cs="Arial" w:eastAsia="Arial" w:hAnsi="Arial"/>
          <w:sz w:val="19"/>
          <w:szCs w:val="19"/>
          <w:color w:val="auto"/>
        </w:rPr>
        <w:t>” on pages 23-24 of the EU Collaboration Agreement.</w:t>
      </w:r>
    </w:p>
    <w:p>
      <w:pPr>
        <w:spacing w:after="0" w:line="147"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Quarterly Reporting</w:t>
      </w:r>
      <w:r>
        <w:rPr>
          <w:rFonts w:ascii="Arial" w:cs="Arial" w:eastAsia="Arial" w:hAnsi="Arial"/>
          <w:sz w:val="22"/>
          <w:szCs w:val="22"/>
          <w:color w:val="auto"/>
        </w:rPr>
        <w:t>. Within [*], Astellas shall report to FibroGen its aggregate Net Sales and the number of tablets sold of Finished Product [*] in the Territory. [*]. Within [*] following the end of each Calendar Year, Astellas shall report to FibroGen an updated estimate of the quarterly report provided above. [*].</w:t>
      </w:r>
    </w:p>
    <w:p>
      <w:pPr>
        <w:spacing w:after="0" w:line="186"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Currency</w:t>
      </w:r>
      <w:r>
        <w:rPr>
          <w:rFonts w:ascii="Arial" w:cs="Arial" w:eastAsia="Arial" w:hAnsi="Arial"/>
          <w:sz w:val="22"/>
          <w:szCs w:val="22"/>
          <w:color w:val="auto"/>
        </w:rPr>
        <w:t>. The aggregate Net Sales provided by Astellas to FibroGen shall be provided in EUR. All currency exchanges shall be performed in good faith according to standard operating procedures. The Fully Burdened Cost will be provided to Astellas by FibroGen in USD. [*].</w:t>
      </w:r>
    </w:p>
    <w:p>
      <w:pPr>
        <w:spacing w:after="0" w:line="186" w:lineRule="exact"/>
        <w:rPr>
          <w:sz w:val="20"/>
          <w:szCs w:val="20"/>
          <w:color w:val="auto"/>
        </w:rPr>
      </w:pPr>
    </w:p>
    <w:p>
      <w:pPr>
        <w:jc w:val="both"/>
        <w:ind w:firstLine="814"/>
        <w:spacing w:after="0" w:line="297"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Astellas Manufacture</w:t>
      </w:r>
      <w:r>
        <w:rPr>
          <w:rFonts w:ascii="Arial" w:cs="Arial" w:eastAsia="Arial" w:hAnsi="Arial"/>
          <w:sz w:val="19"/>
          <w:szCs w:val="19"/>
          <w:color w:val="auto"/>
        </w:rPr>
        <w:t>. Terms pertaining to (a) in the event Astellas manufactures Bulk Product/Finished Product; (b) in the event both Parties manufacture; and (c) determination of royalty reduction rates are set out in the “Cost of Supply; Transfer Price Payments” sections as further set out on pages 20– 22 of the EU Collaboration Agreement.</w:t>
      </w:r>
    </w:p>
    <w:p>
      <w:pPr>
        <w:spacing w:after="0" w:line="134"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Purchase Order Reference</w:t>
      </w:r>
      <w:r>
        <w:rPr>
          <w:rFonts w:ascii="Arial" w:cs="Arial" w:eastAsia="Arial" w:hAnsi="Arial"/>
          <w:sz w:val="22"/>
          <w:szCs w:val="22"/>
          <w:color w:val="auto"/>
        </w:rPr>
        <w:t>. Invoices provided by either Party shall reference the relevant purchase order number provided by the Party receiving such invoice.</w:t>
      </w:r>
    </w:p>
    <w:p>
      <w:pPr>
        <w:spacing w:after="0" w:line="175" w:lineRule="exact"/>
        <w:rPr>
          <w:sz w:val="20"/>
          <w:szCs w:val="20"/>
          <w:color w:val="auto"/>
        </w:rPr>
      </w:pPr>
    </w:p>
    <w:p>
      <w:pPr>
        <w:jc w:val="both"/>
        <w:ind w:firstLine="814"/>
        <w:spacing w:after="0" w:line="297"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Validation Batch Development Costs</w:t>
      </w:r>
      <w:r>
        <w:rPr>
          <w:rFonts w:ascii="Arial" w:cs="Arial" w:eastAsia="Arial" w:hAnsi="Arial"/>
          <w:sz w:val="19"/>
          <w:szCs w:val="19"/>
          <w:color w:val="auto"/>
        </w:rPr>
        <w:t>. For the avoidance of doubt, Astellas Japan has, prior to the signing of this Agreement, already paid to FibroGen certain sums for the development costs for the EU validation batches and upon payment pursuant to Section 6.13 below, FibroGen will reimburse Astellas Japan for such costs agreed upon both Parties.</w:t>
      </w:r>
    </w:p>
    <w:p>
      <w:pPr>
        <w:spacing w:after="0" w:line="134"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Validation Batch Delivery</w:t>
      </w:r>
      <w:r>
        <w:rPr>
          <w:rFonts w:ascii="Arial" w:cs="Arial" w:eastAsia="Arial" w:hAnsi="Arial"/>
          <w:sz w:val="22"/>
          <w:szCs w:val="22"/>
          <w:color w:val="auto"/>
        </w:rPr>
        <w:t>. The Parties agree that Astellas will raise a Purchase Order for the delivery of the EU validation batches manufactured by FibroGen. Prior to the exchange of Bulk Product, Astellas will deliver a Purchase Order, and FibroGen shall issue an invoice with the shipment, Astellas shall pay for such validation batches pursuant to Sections 6.1 (Payments for Transfer), 6.2 (Estimated Payments), 6.3 (Invoicing), and 6.5 (Actual Price Per Tablet and Preliminary Price Per Tablet Reconciliation and Payments).</w:t>
      </w:r>
    </w:p>
    <w:p>
      <w:pPr>
        <w:spacing w:after="0" w:line="187" w:lineRule="exact"/>
        <w:rPr>
          <w:sz w:val="20"/>
          <w:szCs w:val="20"/>
          <w:color w:val="auto"/>
        </w:rPr>
      </w:pPr>
    </w:p>
    <w:p>
      <w:pPr>
        <w:jc w:val="both"/>
        <w:ind w:firstLine="814"/>
        <w:spacing w:after="0" w:line="257" w:lineRule="auto"/>
        <w:rPr>
          <w:sz w:val="20"/>
          <w:szCs w:val="20"/>
          <w:color w:val="auto"/>
        </w:rPr>
      </w:pPr>
      <w:r>
        <w:rPr>
          <w:rFonts w:ascii="Arial" w:cs="Arial" w:eastAsia="Arial" w:hAnsi="Arial"/>
          <w:sz w:val="21"/>
          <w:szCs w:val="21"/>
          <w:color w:val="auto"/>
        </w:rPr>
        <w:t xml:space="preserve">6.14 </w:t>
      </w:r>
      <w:r>
        <w:rPr>
          <w:rFonts w:ascii="Arial" w:cs="Arial" w:eastAsia="Arial" w:hAnsi="Arial"/>
          <w:sz w:val="21"/>
          <w:szCs w:val="21"/>
          <w:u w:val="single" w:color="auto"/>
          <w:color w:val="auto"/>
        </w:rPr>
        <w:t>Adjustment for Generic Entry</w:t>
      </w:r>
      <w:r>
        <w:rPr>
          <w:rFonts w:ascii="Arial" w:cs="Arial" w:eastAsia="Arial" w:hAnsi="Arial"/>
          <w:sz w:val="21"/>
          <w:szCs w:val="21"/>
          <w:color w:val="auto"/>
        </w:rPr>
        <w:t>. The Transfer price payments set forth under this Agreement will be adjusted, and, in certain circumstances, FibroGen shall have the right to renegotiate or terminate this Agreement as set forth on page 21 of the EU Collaboration Agreement under the “Cost of Supply; Transfer Price Payments” section.</w:t>
      </w:r>
    </w:p>
    <w:p>
      <w:pPr>
        <w:spacing w:after="0" w:line="392"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RESPONSIBILITIES AND INDEMNITY</w:t>
      </w:r>
    </w:p>
    <w:p>
      <w:pPr>
        <w:spacing w:after="0" w:line="188" w:lineRule="exact"/>
        <w:rPr>
          <w:sz w:val="20"/>
          <w:szCs w:val="20"/>
          <w:color w:val="auto"/>
        </w:rPr>
      </w:pPr>
    </w:p>
    <w:p>
      <w:pPr>
        <w:jc w:val="both"/>
        <w:ind w:firstLine="814"/>
        <w:spacing w:after="0" w:line="23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Mutual Assistance</w:t>
      </w:r>
      <w:r>
        <w:rPr>
          <w:rFonts w:ascii="Arial" w:cs="Arial" w:eastAsia="Arial" w:hAnsi="Arial"/>
          <w:sz w:val="22"/>
          <w:szCs w:val="22"/>
          <w:color w:val="auto"/>
        </w:rPr>
        <w:t>. FibroGen and Astellas shall reasonably work together with respect to any audits, disputes or requests for information with respect to Taxes in connection with or as a result of this Agreement or to enable each Party to accurately determine its own Tax liability. This commitment shall include the provision of all relevant information, documents and reasonable support and it shall survive the termination of this Agreement.</w:t>
      </w:r>
    </w:p>
    <w:p>
      <w:pPr>
        <w:spacing w:after="0" w:line="185"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 xml:space="preserve">Own Taxes </w:t>
      </w:r>
      <w:r>
        <w:rPr>
          <w:rFonts w:ascii="Arial" w:cs="Arial" w:eastAsia="Arial" w:hAnsi="Arial"/>
          <w:sz w:val="19"/>
          <w:szCs w:val="19"/>
          <w:color w:val="auto"/>
        </w:rPr>
        <w:t>Each Party shall be responsible for Tax based on, imposed on or calculated by reference to:</w:t>
      </w:r>
    </w:p>
    <w:p>
      <w:pPr>
        <w:spacing w:after="0" w:line="206" w:lineRule="exact"/>
        <w:rPr>
          <w:sz w:val="20"/>
          <w:szCs w:val="20"/>
          <w:color w:val="auto"/>
        </w:rPr>
      </w:pPr>
    </w:p>
    <w:p>
      <w:pPr>
        <w:ind w:firstLine="1635"/>
        <w:spacing w:after="0" w:line="250" w:lineRule="auto"/>
        <w:tabs>
          <w:tab w:leader="none" w:pos="251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net income or any profits or gains received or receivable (including any sum deemed to be received or receivable) by that Party;</w:t>
      </w:r>
    </w:p>
    <w:p>
      <w:pPr>
        <w:spacing w:after="0" w:line="174" w:lineRule="exact"/>
        <w:rPr>
          <w:rFonts w:ascii="Arial" w:cs="Arial" w:eastAsia="Arial" w:hAnsi="Arial"/>
          <w:sz w:val="22"/>
          <w:szCs w:val="22"/>
          <w:color w:val="auto"/>
        </w:rPr>
      </w:pPr>
    </w:p>
    <w:p>
      <w:pPr>
        <w:ind w:left="2540" w:hanging="905"/>
        <w:spacing w:after="0"/>
        <w:tabs>
          <w:tab w:leader="none" w:pos="25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employees employed by that Party;</w:t>
      </w:r>
    </w:p>
    <w:p>
      <w:pPr>
        <w:spacing w:after="0" w:line="206" w:lineRule="exact"/>
        <w:rPr>
          <w:rFonts w:ascii="Arial" w:cs="Arial" w:eastAsia="Arial" w:hAnsi="Arial"/>
          <w:sz w:val="22"/>
          <w:szCs w:val="22"/>
          <w:color w:val="auto"/>
        </w:rPr>
      </w:pPr>
    </w:p>
    <w:p>
      <w:pPr>
        <w:ind w:left="2520" w:hanging="885"/>
        <w:spacing w:after="0"/>
        <w:tabs>
          <w:tab w:leader="none" w:pos="25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assets or property owned or leased by that Party;</w:t>
      </w:r>
    </w:p>
    <w:p>
      <w:pPr>
        <w:spacing w:after="0" w:line="206" w:lineRule="exact"/>
        <w:rPr>
          <w:rFonts w:ascii="Arial" w:cs="Arial" w:eastAsia="Arial" w:hAnsi="Arial"/>
          <w:sz w:val="22"/>
          <w:szCs w:val="22"/>
          <w:color w:val="auto"/>
        </w:rPr>
      </w:pPr>
    </w:p>
    <w:p>
      <w:pPr>
        <w:ind w:left="2540" w:hanging="905"/>
        <w:spacing w:after="0"/>
        <w:tabs>
          <w:tab w:leader="none" w:pos="25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gross income received or receivable (including any sum deemed to be received or receivable)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 Party;</w:t>
      </w:r>
    </w:p>
    <w:p>
      <w:pPr>
        <w:spacing w:after="0" w:line="188" w:lineRule="exact"/>
        <w:rPr>
          <w:rFonts w:ascii="Arial" w:cs="Arial" w:eastAsia="Arial" w:hAnsi="Arial"/>
          <w:sz w:val="19"/>
          <w:szCs w:val="19"/>
          <w:color w:val="auto"/>
        </w:rPr>
      </w:pPr>
    </w:p>
    <w:p>
      <w:pPr>
        <w:ind w:left="2520" w:hanging="885"/>
        <w:spacing w:after="0"/>
        <w:tabs>
          <w:tab w:leader="none" w:pos="25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its assets or its assets and liabilities; and</w:t>
      </w:r>
    </w:p>
    <w:p>
      <w:pPr>
        <w:spacing w:after="0" w:line="206" w:lineRule="exact"/>
        <w:rPr>
          <w:rFonts w:ascii="Arial" w:cs="Arial" w:eastAsia="Arial" w:hAnsi="Arial"/>
          <w:sz w:val="22"/>
          <w:szCs w:val="22"/>
          <w:color w:val="auto"/>
        </w:rPr>
      </w:pPr>
    </w:p>
    <w:p>
      <w:pPr>
        <w:ind w:left="2500" w:hanging="865"/>
        <w:spacing w:after="0"/>
        <w:tabs>
          <w:tab w:leader="none" w:pos="25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its (net) equity or share capital.</w:t>
      </w:r>
    </w:p>
    <w:p>
      <w:pPr>
        <w:spacing w:after="0" w:line="206" w:lineRule="exact"/>
        <w:rPr>
          <w:sz w:val="20"/>
          <w:szCs w:val="20"/>
          <w:color w:val="auto"/>
        </w:rPr>
      </w:pPr>
    </w:p>
    <w:p>
      <w:pPr>
        <w:ind w:left="220"/>
        <w:spacing w:after="0" w:line="250" w:lineRule="auto"/>
        <w:rPr>
          <w:sz w:val="20"/>
          <w:szCs w:val="20"/>
          <w:color w:val="auto"/>
        </w:rPr>
      </w:pPr>
      <w:r>
        <w:rPr>
          <w:rFonts w:ascii="Arial" w:cs="Arial" w:eastAsia="Arial" w:hAnsi="Arial"/>
          <w:sz w:val="22"/>
          <w:szCs w:val="22"/>
          <w:color w:val="auto"/>
        </w:rPr>
        <w:t>Each Party shall be responsible for Taxes incurred, imposed or calculated on transactions between and amongst that Party and members of its group in respect of this Agreement.</w:t>
      </w:r>
    </w:p>
    <w:p>
      <w:pPr>
        <w:spacing w:after="0" w:line="169"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Indirect Tax</w:t>
      </w:r>
      <w:r>
        <w:rPr>
          <w:rFonts w:ascii="Arial" w:cs="Arial" w:eastAsia="Arial" w:hAnsi="Arial"/>
          <w:sz w:val="22"/>
          <w:szCs w:val="22"/>
          <w:b w:val="1"/>
          <w:bCs w:val="1"/>
          <w:u w:val="single" w:color="auto"/>
          <w:color w:val="auto"/>
        </w:rPr>
        <w:t>.</w:t>
      </w:r>
      <w:r>
        <w:rPr>
          <w:rFonts w:ascii="Arial" w:cs="Arial" w:eastAsia="Arial" w:hAnsi="Arial"/>
          <w:sz w:val="22"/>
          <w:szCs w:val="22"/>
          <w:color w:val="auto"/>
        </w:rPr>
        <w:t xml:space="preserve"> All payments and credits to be made pursuant to the terms of this Agreement, are stated exclusive of Indirect Taxes. If any Indirect Taxes are chargeable in respect of such payments, the Party making the payment shall pay such Indirect Taxes at the applicable rate following the receipt where applicable of an Indirect Taxes invoice in the appropriate form issued. Each Party shall issue valid invoices for all amounts payable under this Agreement consistent with all applicable Laws and irrespective of whether such amounts may be netted for settlement purposes. The Parties shall cooperate in accordance with applicable law to minimize Indirect Taxes.</w:t>
      </w:r>
    </w:p>
    <w:p>
      <w:pPr>
        <w:spacing w:after="0" w:line="188"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Withholding Tax.</w:t>
      </w:r>
    </w:p>
    <w:p>
      <w:pPr>
        <w:spacing w:after="0" w:line="206" w:lineRule="exact"/>
        <w:rPr>
          <w:sz w:val="20"/>
          <w:szCs w:val="20"/>
          <w:color w:val="auto"/>
        </w:rPr>
      </w:pPr>
    </w:p>
    <w:p>
      <w:pPr>
        <w:jc w:val="both"/>
        <w:ind w:firstLine="1635"/>
        <w:spacing w:after="0" w:line="279" w:lineRule="auto"/>
        <w:tabs>
          <w:tab w:leader="none" w:pos="251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Astellas shall deduct or withhold from the payments any Taxes that it is required by applicable law to deduct or withhold. In determining the applicability of any Withholding Tax the provision of any relevant bilateral income tax treaties or regulatory instrument or document shall be taken into account. Astellas should use all reasonable efforts to obtain from FibroGen any Tax forms or appropriate governmental authorization that may be reasonably necessary in order for Astellas to not withhold tax or to withhold tax at a reduced rate under an applicable bilateral income tax treaty. Each Party shall provide the other with reasonable assistance to enable the recovery, as permitted by applicable</w:t>
      </w:r>
    </w:p>
    <w:p>
      <w:pPr>
        <w:spacing w:after="0" w:line="373"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6" w:name="page117"/>
    <w:bookmarkEnd w:id="116"/>
    <w:p>
      <w:pPr>
        <w:spacing w:after="0" w:line="250" w:lineRule="auto"/>
        <w:rPr>
          <w:sz w:val="20"/>
          <w:szCs w:val="20"/>
          <w:color w:val="auto"/>
        </w:rPr>
      </w:pPr>
      <w:r>
        <w:rPr>
          <w:rFonts w:ascii="Arial" w:cs="Arial" w:eastAsia="Arial" w:hAnsi="Arial"/>
          <w:sz w:val="22"/>
          <w:szCs w:val="22"/>
          <w:color w:val="auto"/>
        </w:rPr>
        <w:t>laws and regulations, of Withholding Taxes resulting from payments made under this Agreement, such recovery to be for the benefit of the Party bearing such Withholding Tax.</w:t>
      </w:r>
    </w:p>
    <w:p>
      <w:pPr>
        <w:spacing w:after="0" w:line="175" w:lineRule="exact"/>
        <w:rPr>
          <w:sz w:val="20"/>
          <w:szCs w:val="20"/>
          <w:color w:val="auto"/>
        </w:rPr>
      </w:pPr>
    </w:p>
    <w:p>
      <w:pPr>
        <w:jc w:val="both"/>
        <w:ind w:firstLine="1635"/>
        <w:spacing w:after="0" w:line="287" w:lineRule="auto"/>
        <w:tabs>
          <w:tab w:leader="none" w:pos="252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To the extent Astellas is required by applicable law or regulations concerning Withholding Taxes on any payment to FibroGen, Astellas shall pay the amounts of such Taxes to the proper Governmental Authority in a timely manner and promptly transmit to FibroGen an official tax certificate or other evidence of such withholding sufficient to enable FibroGen to claim such payment of such Taxes as soon as reasonably practicable (and in any event within [*]).</w:t>
      </w:r>
    </w:p>
    <w:p>
      <w:pPr>
        <w:spacing w:after="0" w:line="142" w:lineRule="exact"/>
        <w:rPr>
          <w:rFonts w:ascii="Arial" w:cs="Arial" w:eastAsia="Arial" w:hAnsi="Arial"/>
          <w:sz w:val="19"/>
          <w:szCs w:val="19"/>
          <w:color w:val="auto"/>
        </w:rPr>
      </w:pPr>
    </w:p>
    <w:p>
      <w:pPr>
        <w:jc w:val="both"/>
        <w:ind w:firstLine="1635"/>
        <w:spacing w:after="0" w:line="236" w:lineRule="auto"/>
        <w:tabs>
          <w:tab w:leader="none" w:pos="251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In the event that Astellas is required by applicable law or regulations to withhold taxes or make similar deductions when making a payment to FibroGen, the provisions set forth on page 23 of the EU Collaboration Agreement under the </w:t>
      </w:r>
      <w:r>
        <w:rPr>
          <w:rFonts w:ascii="Arial" w:cs="Arial" w:eastAsia="Arial" w:hAnsi="Arial"/>
          <w:sz w:val="22"/>
          <w:szCs w:val="22"/>
          <w:b w:val="1"/>
          <w:bCs w:val="1"/>
          <w:i w:val="1"/>
          <w:iCs w:val="1"/>
          <w:color w:val="auto"/>
        </w:rPr>
        <w:t>“Net Payment”</w:t>
      </w:r>
      <w:r>
        <w:rPr>
          <w:rFonts w:ascii="Arial" w:cs="Arial" w:eastAsia="Arial" w:hAnsi="Arial"/>
          <w:sz w:val="22"/>
          <w:szCs w:val="22"/>
          <w:color w:val="auto"/>
        </w:rPr>
        <w:t xml:space="preserve"> section shall apply. For the avoidance of doubt, references to “Upfront Payments and Milestone Payments” in the </w:t>
      </w:r>
      <w:r>
        <w:rPr>
          <w:rFonts w:ascii="Arial" w:cs="Arial" w:eastAsia="Arial" w:hAnsi="Arial"/>
          <w:sz w:val="22"/>
          <w:szCs w:val="22"/>
          <w:b w:val="1"/>
          <w:bCs w:val="1"/>
          <w:i w:val="1"/>
          <w:iCs w:val="1"/>
          <w:color w:val="auto"/>
        </w:rPr>
        <w:t>“Net Payment”</w:t>
      </w:r>
      <w:r>
        <w:rPr>
          <w:rFonts w:ascii="Arial" w:cs="Arial" w:eastAsia="Arial" w:hAnsi="Arial"/>
          <w:sz w:val="22"/>
          <w:szCs w:val="22"/>
          <w:color w:val="auto"/>
        </w:rPr>
        <w:t xml:space="preserve"> section of the EU Collaboration Agreement shall be understood to refer to the Transfer price when applied to this Agreement.</w:t>
      </w:r>
    </w:p>
    <w:p>
      <w:pPr>
        <w:spacing w:after="0" w:line="187"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7.5 The obligations contained in this Article 7 shall continue notwithstanding the completion or termination of the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OBLIGATIONS</w:t>
      </w:r>
    </w:p>
    <w:p>
      <w:pPr>
        <w:spacing w:after="0" w:line="188" w:lineRule="exact"/>
        <w:rPr>
          <w:sz w:val="20"/>
          <w:szCs w:val="20"/>
          <w:color w:val="auto"/>
        </w:rPr>
      </w:pPr>
    </w:p>
    <w:p>
      <w:pPr>
        <w:jc w:val="both"/>
        <w:ind w:firstLine="814"/>
        <w:spacing w:after="0" w:line="29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Regulatory Matters Generally</w:t>
      </w:r>
      <w:r>
        <w:rPr>
          <w:rFonts w:ascii="Arial" w:cs="Arial" w:eastAsia="Arial" w:hAnsi="Arial"/>
          <w:sz w:val="19"/>
          <w:szCs w:val="19"/>
          <w:color w:val="auto"/>
        </w:rPr>
        <w:t>. The Parties’ respective rights and obligations with respect to Regulatory Filings, communications with Regulatory Authorities, Finished Product recalls, and other regulatory matters relating to the Bulk Product and/or Finished Product (as applicable) are set forth in the EU Collaboration Agreement and/or the Quality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HAZARDS AND REPORTING</w:t>
      </w:r>
    </w:p>
    <w:p>
      <w:pPr>
        <w:spacing w:after="0" w:line="188"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Accident Reports/Adverse Event Reporting</w:t>
      </w:r>
      <w:r>
        <w:rPr>
          <w:rFonts w:ascii="Arial" w:cs="Arial" w:eastAsia="Arial" w:hAnsi="Arial"/>
          <w:sz w:val="22"/>
          <w:szCs w:val="22"/>
          <w:color w:val="auto"/>
        </w:rPr>
        <w:t>. Responsibilities with respect to pharmacovigilance and the reporting of adverse events and accident reports shall be set forth in a safety data exchange agreement to be agreed by the Parties prior to the first prescription of Finished Product by Astellas.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QUALITY ASSURANCE</w:t>
      </w:r>
    </w:p>
    <w:p>
      <w:pPr>
        <w:spacing w:after="0" w:line="188" w:lineRule="exact"/>
        <w:rPr>
          <w:sz w:val="20"/>
          <w:szCs w:val="20"/>
          <w:color w:val="auto"/>
        </w:rPr>
      </w:pPr>
    </w:p>
    <w:p>
      <w:pPr>
        <w:jc w:val="both"/>
        <w:ind w:firstLine="814"/>
        <w:spacing w:after="0" w:line="246"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Quality Agreement</w:t>
      </w:r>
      <w:r>
        <w:rPr>
          <w:rFonts w:ascii="Arial" w:cs="Arial" w:eastAsia="Arial" w:hAnsi="Arial"/>
          <w:sz w:val="21"/>
          <w:szCs w:val="21"/>
          <w:color w:val="auto"/>
        </w:rPr>
        <w:t>. Not later than [*] Purchase Order for Bulk Product placed by Astellas, the Parties will enter into a quality agreement governing the tasks and the division of responsibilities of the Parties with respect to the manufacture, supply, release and quality assurance of Bulk Product(s) (the “Quality Agreement” or ''QA''), such QA may be amended by written agreement of the Parties from time to time. The Quality Agreement shall set forth the responsibilities of the Parties with respect to release, quality assurance, notification obligations and procedures related to document retention, audit and inspection rights, and similar matters with respect to the manufacture of Bulk Product including Finished Product recalls, returned goods, and authorization for Finished Product recalls</w:t>
      </w:r>
    </w:p>
    <w:p>
      <w:pPr>
        <w:spacing w:after="0" w:line="200" w:lineRule="exact"/>
        <w:rPr>
          <w:sz w:val="20"/>
          <w:szCs w:val="20"/>
          <w:color w:val="auto"/>
        </w:rPr>
      </w:pPr>
    </w:p>
    <w:p>
      <w:pPr>
        <w:spacing w:after="0" w:line="207"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jc w:val="both"/>
        <w:spacing w:after="0" w:line="282" w:lineRule="auto"/>
        <w:rPr>
          <w:sz w:val="20"/>
          <w:szCs w:val="20"/>
          <w:color w:val="auto"/>
        </w:rPr>
      </w:pPr>
      <w:r>
        <w:rPr>
          <w:rFonts w:ascii="Arial" w:cs="Arial" w:eastAsia="Arial" w:hAnsi="Arial"/>
          <w:sz w:val="19"/>
          <w:szCs w:val="19"/>
          <w:color w:val="auto"/>
        </w:rPr>
        <w:t>(“Quality Matters”). The Parties agree that the Quality Agreement shall be amended prior to the inclusion of Finished Product intended to be manufactured for markets other than Territory. Astellas agrees to provide FibroGen with notification at least [*] prior to Astellas’ filing of Regulatory Filings (including marketing authorization applications) in such other markets. As set forth in Section 20.8 hereof, in the event of any conflict between this Agreement and the QA relating to Quality Matters, the terms of the QA shall prevail with respect to such Quality Matters, for all other matters this Agreement shall take precedence.</w:t>
      </w:r>
    </w:p>
    <w:p>
      <w:pPr>
        <w:spacing w:after="0" w:line="147" w:lineRule="exact"/>
        <w:rPr>
          <w:sz w:val="20"/>
          <w:szCs w:val="20"/>
          <w:color w:val="auto"/>
        </w:rPr>
      </w:pPr>
    </w:p>
    <w:p>
      <w:pPr>
        <w:ind w:left="1700" w:hanging="878"/>
        <w:spacing w:after="0"/>
        <w:tabs>
          <w:tab w:leader="none" w:pos="17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Cost of Changes.</w:t>
      </w:r>
    </w:p>
    <w:p>
      <w:pPr>
        <w:spacing w:after="0" w:line="206" w:lineRule="exact"/>
        <w:rPr>
          <w:rFonts w:ascii="Arial" w:cs="Arial" w:eastAsia="Arial" w:hAnsi="Arial"/>
          <w:sz w:val="22"/>
          <w:szCs w:val="22"/>
          <w:color w:val="auto"/>
        </w:rPr>
      </w:pPr>
    </w:p>
    <w:p>
      <w:pPr>
        <w:ind w:left="2040" w:hanging="412"/>
        <w:spacing w:after="0"/>
        <w:tabs>
          <w:tab w:leader="none" w:pos="204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40" w:hanging="412"/>
        <w:spacing w:after="0"/>
        <w:tabs>
          <w:tab w:leader="none" w:pos="204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In the event Astellas requests a change or adjustment of the Specifications and/or any aspect of manufacture, including the facilities, equipment, processes, Raw Materials, vendors, Subcontractors or record keeping procedures, the Parties shall discuss such changes [*].</w:t>
      </w:r>
    </w:p>
    <w:p>
      <w:pPr>
        <w:spacing w:after="0" w:line="186" w:lineRule="exact"/>
        <w:rPr>
          <w:rFonts w:ascii="Arial" w:cs="Arial" w:eastAsia="Arial" w:hAnsi="Arial"/>
          <w:sz w:val="22"/>
          <w:szCs w:val="22"/>
          <w:color w:val="auto"/>
        </w:rPr>
      </w:pPr>
    </w:p>
    <w:p>
      <w:pPr>
        <w:ind w:left="2040" w:hanging="412"/>
        <w:spacing w:after="0"/>
        <w:tabs>
          <w:tab w:leader="none" w:pos="204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14"/>
        <w:spacing w:after="0" w:line="28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Responsibility for Quality Assurance and Quality Control</w:t>
      </w:r>
      <w:r>
        <w:rPr>
          <w:rFonts w:ascii="Arial" w:cs="Arial" w:eastAsia="Arial" w:hAnsi="Arial"/>
          <w:sz w:val="19"/>
          <w:szCs w:val="19"/>
          <w:color w:val="auto"/>
        </w:rPr>
        <w:t>. Responsibility for quality assurance and quality control of Bulk Product and Finished Product (as applicable) shall be allocated between Astellas and FibroGen as set forth in the Quality Agreement. For the avoidance of doubt, FibroGen shall be solely responsible for the costs and expenses of quality assurance and quality control of the Bulk Product during the Manufacturing Processes and prior to Transfer.</w:t>
      </w:r>
    </w:p>
    <w:p>
      <w:pPr>
        <w:spacing w:after="0" w:line="143"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 xml:space="preserve">Audits.  </w:t>
      </w:r>
      <w:r>
        <w:rPr>
          <w:rFonts w:ascii="Arial" w:cs="Arial" w:eastAsia="Arial" w:hAnsi="Arial"/>
          <w:sz w:val="19"/>
          <w:szCs w:val="19"/>
          <w:color w:val="auto"/>
        </w:rPr>
        <w:t>Astellas shall carry out audits pursuant to the Quality Agreement.</w:t>
      </w:r>
    </w:p>
    <w:p>
      <w:pPr>
        <w:spacing w:after="0" w:line="206"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10.4 FibroGen shall ensure that all Bulk Products are packaged in accordance with the Specifications and any other agreed written instructions including, for the avoidance of doubt the Bulk Packaging Requirements.</w:t>
      </w:r>
    </w:p>
    <w:p>
      <w:pPr>
        <w:spacing w:after="0" w:line="175"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10.5 FibroGen shall comply with all applicable laws, enactments, orders, rules and regulations relating to the manufacture, packing, packaging, marking, storage, handling, transportation and Transfer of the Bulk Products.</w:t>
      </w:r>
    </w:p>
    <w:p>
      <w:pPr>
        <w:spacing w:after="0" w:line="175"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10.6 If, following an inspection, Astellas considers that the Bulk Products are not or are not likely to be as warranted under Section 12.3, Astellas shall inform FibroGen in writing and FibroGen shall take such reasonable action as is necessary to ensure that the Bulk Products are or will be as warranted under Section 12.3. [*]</w:t>
      </w:r>
    </w:p>
    <w:p>
      <w:pPr>
        <w:spacing w:after="0" w:line="200" w:lineRule="exact"/>
        <w:rPr>
          <w:sz w:val="20"/>
          <w:szCs w:val="20"/>
          <w:color w:val="auto"/>
        </w:rPr>
      </w:pPr>
    </w:p>
    <w:p>
      <w:pPr>
        <w:spacing w:after="0" w:line="209"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ARTICLE 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OWNERSHIP OF INTELLECTUAL PROPERTY</w:t>
      </w:r>
    </w:p>
    <w:p>
      <w:pPr>
        <w:jc w:val="center"/>
        <w:spacing w:after="0"/>
        <w:rPr>
          <w:sz w:val="20"/>
          <w:szCs w:val="20"/>
          <w:color w:val="auto"/>
        </w:rPr>
      </w:pPr>
      <w:r>
        <w:rPr>
          <w:rFonts w:ascii="Arial" w:cs="Arial" w:eastAsia="Arial" w:hAnsi="Arial"/>
          <w:sz w:val="22"/>
          <w:szCs w:val="22"/>
          <w:b w:val="1"/>
          <w:bCs w:val="1"/>
          <w:color w:val="auto"/>
        </w:rPr>
        <w:t>AND MATERIALS</w:t>
      </w:r>
    </w:p>
    <w:p>
      <w:pPr>
        <w:spacing w:after="0" w:line="188"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This Agreement shall not affect the ownership of any Intellectual Property owned by or licensed to either Party or any rights granted in the EU Collaboration Agreement with respect to such Intellectual Property. Any Intellectual Property rights developed, conceived, generated or derived by either Party under this Agreement shall be owned in accordance with the relevant provisions concerning “</w:t>
      </w:r>
      <w:r>
        <w:rPr>
          <w:rFonts w:ascii="Arial" w:cs="Arial" w:eastAsia="Arial" w:hAnsi="Arial"/>
          <w:sz w:val="22"/>
          <w:szCs w:val="22"/>
          <w:b w:val="1"/>
          <w:bCs w:val="1"/>
          <w:i w:val="1"/>
          <w:iCs w:val="1"/>
          <w:color w:val="auto"/>
        </w:rPr>
        <w:t>Intellectual Property Rights</w:t>
      </w:r>
      <w:r>
        <w:rPr>
          <w:rFonts w:ascii="Arial" w:cs="Arial" w:eastAsia="Arial" w:hAnsi="Arial"/>
          <w:sz w:val="22"/>
          <w:szCs w:val="22"/>
          <w:color w:val="auto"/>
        </w:rPr>
        <w:t>” on pages 24-28 in the EU Collaboration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Astellas</w:t>
      </w:r>
      <w:r>
        <w:rPr>
          <w:rFonts w:ascii="Arial" w:cs="Arial" w:eastAsia="Arial" w:hAnsi="Arial"/>
          <w:sz w:val="19"/>
          <w:szCs w:val="19"/>
          <w:color w:val="auto"/>
        </w:rPr>
        <w:t>. Astellas hereby represents and warrants to FibroGen that, as of the Effective Date:</w:t>
      </w:r>
    </w:p>
    <w:p>
      <w:pPr>
        <w:spacing w:after="0" w:line="206" w:lineRule="exact"/>
        <w:rPr>
          <w:sz w:val="20"/>
          <w:szCs w:val="20"/>
          <w:color w:val="auto"/>
        </w:rPr>
      </w:pPr>
    </w:p>
    <w:p>
      <w:pPr>
        <w:jc w:val="both"/>
        <w:ind w:firstLine="1635"/>
        <w:spacing w:after="0"/>
        <w:tabs>
          <w:tab w:leader="none" w:pos="2515"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Power and Authority</w:t>
      </w:r>
      <w:r>
        <w:rPr>
          <w:rFonts w:ascii="Arial" w:cs="Arial" w:eastAsia="Arial" w:hAnsi="Arial"/>
          <w:sz w:val="22"/>
          <w:szCs w:val="22"/>
          <w:color w:val="auto"/>
        </w:rPr>
        <w:t>. Astellas is duly formed and validly existing under the laws of its jurisdiction of formation and has all requisite corporate power and authority to execute and enter into this Agreement and to perform its obligations hereunder.</w:t>
      </w:r>
    </w:p>
    <w:p>
      <w:pPr>
        <w:spacing w:after="0" w:line="186" w:lineRule="exact"/>
        <w:rPr>
          <w:rFonts w:ascii="Arial" w:cs="Arial" w:eastAsia="Arial" w:hAnsi="Arial"/>
          <w:sz w:val="22"/>
          <w:szCs w:val="22"/>
          <w:color w:val="auto"/>
        </w:rPr>
      </w:pPr>
    </w:p>
    <w:p>
      <w:pPr>
        <w:jc w:val="both"/>
        <w:ind w:firstLine="1635"/>
        <w:spacing w:after="0" w:line="287" w:lineRule="auto"/>
        <w:tabs>
          <w:tab w:leader="none" w:pos="252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Execution, Delivery and Performance of the Agreement</w:t>
      </w:r>
      <w:r>
        <w:rPr>
          <w:rFonts w:ascii="Arial" w:cs="Arial" w:eastAsia="Arial" w:hAnsi="Arial"/>
          <w:sz w:val="19"/>
          <w:szCs w:val="19"/>
          <w:color w:val="auto"/>
        </w:rPr>
        <w:t>. Astellas has taken all necessary corporate action on its part to authorize the execution and delivery of this Agreement and the performance of its obligations under this Agreement. This Agreement has been duly executed and delivered on behalf of Astellas, and constitutes a legal, valid, binding obligation, enforceable against Astellas and its successors and assigns in accordance with its terms and conditions.</w:t>
      </w:r>
    </w:p>
    <w:p>
      <w:pPr>
        <w:spacing w:after="0" w:line="143"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FibroGen</w:t>
      </w:r>
      <w:r>
        <w:rPr>
          <w:rFonts w:ascii="Arial" w:cs="Arial" w:eastAsia="Arial" w:hAnsi="Arial"/>
          <w:sz w:val="19"/>
          <w:szCs w:val="19"/>
          <w:color w:val="auto"/>
        </w:rPr>
        <w:t>. FibroGen hereby represents and warrants to Astellas that, as of the Effective Date:</w:t>
      </w:r>
    </w:p>
    <w:p>
      <w:pPr>
        <w:spacing w:after="0" w:line="206" w:lineRule="exact"/>
        <w:rPr>
          <w:sz w:val="20"/>
          <w:szCs w:val="20"/>
          <w:color w:val="auto"/>
        </w:rPr>
      </w:pPr>
    </w:p>
    <w:p>
      <w:pPr>
        <w:jc w:val="both"/>
        <w:ind w:firstLine="1635"/>
        <w:spacing w:after="0"/>
        <w:tabs>
          <w:tab w:leader="none" w:pos="2515"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Power and Authority</w:t>
      </w:r>
      <w:r>
        <w:rPr>
          <w:rFonts w:ascii="Arial" w:cs="Arial" w:eastAsia="Arial" w:hAnsi="Arial"/>
          <w:sz w:val="22"/>
          <w:szCs w:val="22"/>
          <w:color w:val="auto"/>
        </w:rPr>
        <w:t>. As of the Effective Date, FibroGen is duly formed and validly existing under the laws of its jurisdiction of formation and has all requisite corporate power and authority to execute and enter into this Agreement and to perform its obligations hereunder.</w:t>
      </w:r>
    </w:p>
    <w:p>
      <w:pPr>
        <w:spacing w:after="0" w:line="186" w:lineRule="exact"/>
        <w:rPr>
          <w:rFonts w:ascii="Arial" w:cs="Arial" w:eastAsia="Arial" w:hAnsi="Arial"/>
          <w:sz w:val="22"/>
          <w:szCs w:val="22"/>
          <w:color w:val="auto"/>
        </w:rPr>
      </w:pPr>
    </w:p>
    <w:p>
      <w:pPr>
        <w:jc w:val="both"/>
        <w:ind w:firstLine="1635"/>
        <w:spacing w:after="0" w:line="277" w:lineRule="auto"/>
        <w:tabs>
          <w:tab w:leader="none" w:pos="2527"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Execution, Delivery and Performance of Agreement</w:t>
      </w:r>
      <w:r>
        <w:rPr>
          <w:rFonts w:ascii="Arial" w:cs="Arial" w:eastAsia="Arial" w:hAnsi="Arial"/>
          <w:sz w:val="19"/>
          <w:szCs w:val="19"/>
          <w:color w:val="auto"/>
        </w:rPr>
        <w:t>. FibroGen has taken all necessary corporate action on its part to authorize the execution and delivery of this Agreement and the performance of its obligations under this Agreement. This Agreement has been duly executed and delivered on behalf of FibroGen, and constitutes a legal, valid, binding obligation, enforceable against FibroGen in accordance with its terms. The execution, delivery and performance of this Agreement does not breach, conflict with, violate, contravene or constitute a default under any contracts, arrangements or commitments to which FibroGen is a party or by which it is bound nor does the execution, delivery and performance of this Agreement by FibroGen violate any order, law or regulation of any court or Regulatory Authority having authority over it.</w:t>
      </w:r>
    </w:p>
    <w:p>
      <w:pPr>
        <w:spacing w:after="0" w:line="152" w:lineRule="exact"/>
        <w:rPr>
          <w:sz w:val="20"/>
          <w:szCs w:val="20"/>
          <w:color w:val="auto"/>
        </w:rPr>
      </w:pPr>
    </w:p>
    <w:p>
      <w:pPr>
        <w:ind w:firstLine="814"/>
        <w:spacing w:after="0" w:line="250"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Bulk Product Warranty</w:t>
      </w:r>
      <w:r>
        <w:rPr>
          <w:rFonts w:ascii="Arial" w:cs="Arial" w:eastAsia="Arial" w:hAnsi="Arial"/>
          <w:sz w:val="22"/>
          <w:szCs w:val="22"/>
          <w:color w:val="auto"/>
        </w:rPr>
        <w:t>. FibroGen hereby represents and warrants to Astellas that at time of Transfer each Batch of Bulk Product: (a) will have been manufactured and analyzed in conformance</w:t>
      </w:r>
    </w:p>
    <w:p>
      <w:pPr>
        <w:spacing w:after="0" w:line="398"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p>
      <w:pPr>
        <w:spacing w:after="0" w:line="328" w:lineRule="auto"/>
        <w:rPr>
          <w:sz w:val="20"/>
          <w:szCs w:val="20"/>
          <w:color w:val="auto"/>
        </w:rPr>
      </w:pPr>
      <w:r>
        <w:rPr>
          <w:rFonts w:ascii="Arial" w:cs="Arial" w:eastAsia="Arial" w:hAnsi="Arial"/>
          <w:sz w:val="19"/>
          <w:szCs w:val="19"/>
          <w:color w:val="auto"/>
        </w:rPr>
        <w:t>with the Quality Agreement, the Specifications and cGMPs; (b) will be transferred free and clear of any liens or encumbrances of any kind to the extent arising through or as a result of the acts or omissions of FibroGen; and (c) comply with Applicable Laws.</w:t>
      </w:r>
    </w:p>
    <w:p>
      <w:pPr>
        <w:spacing w:after="0" w:line="105"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Anti-Corruption</w:t>
      </w:r>
      <w:r>
        <w:rPr>
          <w:rFonts w:ascii="Arial" w:cs="Arial" w:eastAsia="Arial" w:hAnsi="Arial"/>
          <w:sz w:val="19"/>
          <w:szCs w:val="19"/>
          <w:color w:val="auto"/>
        </w:rPr>
        <w:t>. Each Party represents, warrants and covenants to the other Party that:</w:t>
      </w:r>
    </w:p>
    <w:p>
      <w:pPr>
        <w:spacing w:after="0" w:line="206" w:lineRule="exact"/>
        <w:rPr>
          <w:sz w:val="20"/>
          <w:szCs w:val="20"/>
          <w:color w:val="auto"/>
        </w:rPr>
      </w:pPr>
    </w:p>
    <w:p>
      <w:pPr>
        <w:jc w:val="both"/>
        <w:ind w:firstLine="1635"/>
        <w:spacing w:after="0" w:line="269" w:lineRule="auto"/>
        <w:tabs>
          <w:tab w:leader="none" w:pos="251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neither it nor its Affiliates or any of its or their directors, officers, employees, agents, partners or owners/shareholders shall directly or indirectly offer, promise, give or authorise the giving of any financial or other advantage, or anything else of value to any official or employee of any government, government department or agency, enterprise owned in whole or in part by any government or government department or agency, public international organisation, political party, public (governmental) hospital or other healthcare institution, pharmacy or formulary or any other organisation that may prescribe, administer, recommend, purchase, pay for, reimburse, authorise, approve or supply a medicine or medical device or any other product or service sold by Astellas or manufactured by FibroGen, in connection with this Agreement (the persons covered by this provision are referred to in this Agreement as “</w:t>
      </w:r>
      <w:r>
        <w:rPr>
          <w:rFonts w:ascii="Arial" w:cs="Arial" w:eastAsia="Arial" w:hAnsi="Arial"/>
          <w:sz w:val="19"/>
          <w:szCs w:val="19"/>
          <w:b w:val="1"/>
          <w:bCs w:val="1"/>
          <w:i w:val="1"/>
          <w:iCs w:val="1"/>
          <w:color w:val="auto"/>
        </w:rPr>
        <w:t>Government Officials</w:t>
      </w:r>
      <w:r>
        <w:rPr>
          <w:rFonts w:ascii="Arial" w:cs="Arial" w:eastAsia="Arial" w:hAnsi="Arial"/>
          <w:sz w:val="19"/>
          <w:szCs w:val="19"/>
          <w:color w:val="auto"/>
        </w:rPr>
        <w:t>”) or to any other person or entity at the request of or with the assent or acquiescence of a Government Official, for the purpose of (a) securing any an improper advantage for such Party or</w:t>
      </w:r>
    </w:p>
    <w:p>
      <w:pPr>
        <w:spacing w:after="0" w:line="1" w:lineRule="exact"/>
        <w:rPr>
          <w:rFonts w:ascii="Arial" w:cs="Arial" w:eastAsia="Arial" w:hAnsi="Arial"/>
          <w:sz w:val="19"/>
          <w:szCs w:val="19"/>
          <w:color w:val="auto"/>
        </w:rPr>
      </w:pPr>
    </w:p>
    <w:p>
      <w:pPr>
        <w:jc w:val="both"/>
        <w:ind w:firstLine="8"/>
        <w:spacing w:after="0" w:line="234" w:lineRule="auto"/>
        <w:tabs>
          <w:tab w:leader="none" w:pos="32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influencing any act or decision by a Government Official in his or her official capacity, in each case in order to assist such Party in obtaining or retaining business for or with, or directing business to, any person in connection with the activities contemplated by this Agreement;</w:t>
      </w:r>
    </w:p>
    <w:p>
      <w:pPr>
        <w:spacing w:after="0" w:line="187" w:lineRule="exact"/>
        <w:rPr>
          <w:rFonts w:ascii="Arial" w:cs="Arial" w:eastAsia="Arial" w:hAnsi="Arial"/>
          <w:sz w:val="22"/>
          <w:szCs w:val="22"/>
          <w:color w:val="auto"/>
        </w:rPr>
      </w:pPr>
    </w:p>
    <w:p>
      <w:pPr>
        <w:jc w:val="both"/>
        <w:ind w:firstLine="1635"/>
        <w:spacing w:after="0" w:line="235" w:lineRule="auto"/>
        <w:tabs>
          <w:tab w:leader="none" w:pos="2527" w:val="left"/>
        </w:tabs>
        <w:numPr>
          <w:ilvl w:val="1"/>
          <w:numId w:val="112"/>
        </w:numPr>
        <w:rPr>
          <w:rFonts w:ascii="Arial" w:cs="Arial" w:eastAsia="Arial" w:hAnsi="Arial"/>
          <w:sz w:val="22"/>
          <w:szCs w:val="22"/>
          <w:color w:val="auto"/>
        </w:rPr>
      </w:pPr>
      <w:r>
        <w:rPr>
          <w:rFonts w:ascii="Arial" w:cs="Arial" w:eastAsia="Arial" w:hAnsi="Arial"/>
          <w:sz w:val="22"/>
          <w:szCs w:val="22"/>
          <w:color w:val="auto"/>
        </w:rPr>
        <w:t>neither Party nor its Affiliates or any of its or their directors, officers, employees, agents, partners or owners/shareholders shall directly or indirectly offer, promise, give or authorise the giving of any financial or other advantage, or anything else of value to any person including an officer, employee, agent, or representative of another company or organization to induce such person or another person to breach a duty to his or her employer or improperly perform any work related activity or reward such person or another person for breaching a duty to his or her employer or improperly performing any work related activity;</w:t>
      </w:r>
    </w:p>
    <w:p>
      <w:pPr>
        <w:spacing w:after="0" w:line="187" w:lineRule="exact"/>
        <w:rPr>
          <w:rFonts w:ascii="Arial" w:cs="Arial" w:eastAsia="Arial" w:hAnsi="Arial"/>
          <w:sz w:val="22"/>
          <w:szCs w:val="22"/>
          <w:color w:val="auto"/>
        </w:rPr>
      </w:pPr>
    </w:p>
    <w:p>
      <w:pPr>
        <w:jc w:val="both"/>
        <w:ind w:firstLine="1635"/>
        <w:spacing w:after="0" w:line="238" w:lineRule="auto"/>
        <w:tabs>
          <w:tab w:leader="none" w:pos="251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neither Party nor its Affiliates or any of its or their directors, officers, employees, agents, partners or owners/shareholders (i) has made prior to the date of this Agreement any payment, authorisation, promise or gift as described in Sections 12.4 (a) or 12.4 (b) above, (ii) is a Government Official or (iii) will become a Government Official without prior written notice to the other Party;</w:t>
      </w:r>
    </w:p>
    <w:p>
      <w:pPr>
        <w:spacing w:after="0" w:line="184" w:lineRule="exact"/>
        <w:rPr>
          <w:rFonts w:ascii="Arial" w:cs="Arial" w:eastAsia="Arial" w:hAnsi="Arial"/>
          <w:sz w:val="22"/>
          <w:szCs w:val="22"/>
          <w:color w:val="auto"/>
        </w:rPr>
      </w:pPr>
    </w:p>
    <w:p>
      <w:pPr>
        <w:ind w:firstLine="1635"/>
        <w:spacing w:after="0" w:line="250" w:lineRule="auto"/>
        <w:tabs>
          <w:tab w:leader="none" w:pos="2527"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to each Party’s knowledge, no Government Official will own directly or indirectly without prior written notice to and approval by the other Party any shares or other beneficial interest in it or its Affiliates.</w:t>
      </w:r>
    </w:p>
    <w:p>
      <w:pPr>
        <w:spacing w:after="0" w:line="174" w:lineRule="exact"/>
        <w:rPr>
          <w:rFonts w:ascii="Arial" w:cs="Arial" w:eastAsia="Arial" w:hAnsi="Arial"/>
          <w:sz w:val="22"/>
          <w:szCs w:val="22"/>
          <w:color w:val="auto"/>
        </w:rPr>
      </w:pPr>
    </w:p>
    <w:p>
      <w:pPr>
        <w:ind w:left="2520" w:hanging="885"/>
        <w:spacing w:after="0"/>
        <w:tabs>
          <w:tab w:leader="none" w:pos="252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Each Party shall ensure that its Affiliates and its subcontractors comply with its obligation under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w:t>
      </w:r>
    </w:p>
    <w:p>
      <w:pPr>
        <w:spacing w:after="0" w:line="188" w:lineRule="exact"/>
        <w:rPr>
          <w:rFonts w:ascii="Arial" w:cs="Arial" w:eastAsia="Arial" w:hAnsi="Arial"/>
          <w:sz w:val="19"/>
          <w:szCs w:val="19"/>
          <w:color w:val="auto"/>
        </w:rPr>
      </w:pPr>
    </w:p>
    <w:p>
      <w:pPr>
        <w:jc w:val="both"/>
        <w:ind w:firstLine="1635"/>
        <w:spacing w:after="0"/>
        <w:tabs>
          <w:tab w:leader="none" w:pos="257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Each Party shall at all times maintain true, accurate, complete and current books and records in relation to all of its activities under this Agreement during the term and for a period of no less than four (4) years following expiration or termination of this Agreement.</w:t>
      </w:r>
    </w:p>
    <w:p>
      <w:pPr>
        <w:spacing w:after="0" w:line="200" w:lineRule="exact"/>
        <w:rPr>
          <w:sz w:val="20"/>
          <w:szCs w:val="20"/>
          <w:color w:val="auto"/>
        </w:rPr>
      </w:pPr>
    </w:p>
    <w:p>
      <w:pPr>
        <w:spacing w:after="0" w:line="209"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ind w:left="220" w:right="20"/>
        <w:spacing w:after="0" w:line="250" w:lineRule="auto"/>
        <w:rPr>
          <w:sz w:val="20"/>
          <w:szCs w:val="20"/>
          <w:color w:val="auto"/>
        </w:rPr>
      </w:pPr>
      <w:r>
        <w:rPr>
          <w:rFonts w:ascii="Arial" w:cs="Arial" w:eastAsia="Arial" w:hAnsi="Arial"/>
          <w:sz w:val="22"/>
          <w:szCs w:val="22"/>
          <w:color w:val="auto"/>
        </w:rPr>
        <w:t>Notwithstanding any other provision of this Agreement, either Party is entitled to terminate this Agreement pursuant to Section 18.2(a) if the other Party is in breach of this Section 12.4.</w:t>
      </w:r>
    </w:p>
    <w:p>
      <w:pPr>
        <w:spacing w:after="0" w:line="175" w:lineRule="exact"/>
        <w:rPr>
          <w:sz w:val="20"/>
          <w:szCs w:val="20"/>
          <w:color w:val="auto"/>
        </w:rPr>
      </w:pPr>
    </w:p>
    <w:p>
      <w:pPr>
        <w:jc w:val="both"/>
        <w:ind w:firstLine="814"/>
        <w:spacing w:after="0" w:line="234"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EXPRESSLY SET FORTH IN THIS AGREEMENT, NEITHER PARTY MAKES NO AND EXPRESSLY DISCLAIMS ANY REPRESENTATIONS OR WARRANTIES, EXPRESS, IMPLIED, STATUTORY OF OTHERWISE WITH RESPECT TO THE PRODUCTS OR CONCERNING THE SUBJECT MATTER OF THIS AGREEMENT, INCLUDING WITHOUT LIMITATION ANY IMPLIED WARRANTIES OF MERCHANTABILITY OR FITNESS FOR A PARTICULAR PURPOSE, VALIDITY OF FIBROGEN TECHNOLOGY, PATENTED OR UNPATENTED, AND NONINFRINGEMENT OF THE INTELLECTUAL PROPERTY RIGHTS OF THIRD PARTIES, ARE HEREBY SPECIFICALLY EXCLUDED AND DISCLAIMED.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88" w:lineRule="exact"/>
        <w:rPr>
          <w:sz w:val="20"/>
          <w:szCs w:val="20"/>
          <w:color w:val="auto"/>
        </w:rPr>
      </w:pPr>
    </w:p>
    <w:p>
      <w:pPr>
        <w:jc w:val="both"/>
        <w:ind w:firstLine="814"/>
        <w:spacing w:after="0" w:line="273"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Indemnification by Astellas</w:t>
      </w:r>
      <w:r>
        <w:rPr>
          <w:rFonts w:ascii="Arial" w:cs="Arial" w:eastAsia="Arial" w:hAnsi="Arial"/>
          <w:sz w:val="19"/>
          <w:szCs w:val="19"/>
          <w:color w:val="auto"/>
        </w:rPr>
        <w:t>. Subject to Section 13.2 and ARTICLE 14, Astellas shall indemnify, defend and hold FibroGen, and FibroGen’s directors, officers, employees and agents (the “</w:t>
      </w:r>
      <w:r>
        <w:rPr>
          <w:rFonts w:ascii="Arial" w:cs="Arial" w:eastAsia="Arial" w:hAnsi="Arial"/>
          <w:sz w:val="19"/>
          <w:szCs w:val="19"/>
          <w:b w:val="1"/>
          <w:bCs w:val="1"/>
          <w:color w:val="auto"/>
        </w:rPr>
        <w:t>FibroGen Indemnitee(s</w:t>
      </w:r>
      <w:r>
        <w:rPr>
          <w:rFonts w:ascii="Arial" w:cs="Arial" w:eastAsia="Arial" w:hAnsi="Arial"/>
          <w:sz w:val="19"/>
          <w:szCs w:val="19"/>
          <w:color w:val="auto"/>
        </w:rPr>
        <w:t>)”) harmless from and against all losses, damages, liabilities, settlements, penalties, fines, costs and expenses (including, without limitation, reasonable attorneys’ fees and expenses) (collectively, the “Losses”) incurred by FibroGen Indemnitees to the extent such Losses arise out of or result from any claim, lawsuit or other action or threat by a Third Party arising out of Astellas’ gross negligence, willful misconduct, failure to comply with applicable law, or material breach of this Agreement (including all representations, warranties and covenants set forth herein), the Quality Agreement and/or any Purchase Orders hereunder that result from a willful act or omission by an Astellas Indemnitee, except to the extent any such Loss arises out of or results from a FibroGen Indemnitee’s gross negligence, willful misconduct, or breach of this Agreement (including all representations, warranties and covenants set forth herein), the Quality Agreement and/or any Purchase Orders hereunder.</w:t>
      </w:r>
    </w:p>
    <w:p>
      <w:pPr>
        <w:spacing w:after="0" w:line="161" w:lineRule="exact"/>
        <w:rPr>
          <w:sz w:val="20"/>
          <w:szCs w:val="20"/>
          <w:color w:val="auto"/>
        </w:rPr>
      </w:pPr>
    </w:p>
    <w:p>
      <w:pPr>
        <w:jc w:val="both"/>
        <w:ind w:firstLine="814"/>
        <w:spacing w:after="0" w:line="270"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Indemnification by FibroGen</w:t>
      </w:r>
      <w:r>
        <w:rPr>
          <w:rFonts w:ascii="Arial" w:cs="Arial" w:eastAsia="Arial" w:hAnsi="Arial"/>
          <w:sz w:val="19"/>
          <w:szCs w:val="19"/>
          <w:color w:val="auto"/>
        </w:rPr>
        <w:t>. Subject to Section 13.1 and ARTICLE 14, FibroGen shall indemnify, defend and hold Astellas, and Astellas’ directors, officers, employees and agents (the “</w:t>
      </w:r>
      <w:r>
        <w:rPr>
          <w:rFonts w:ascii="Arial" w:cs="Arial" w:eastAsia="Arial" w:hAnsi="Arial"/>
          <w:sz w:val="19"/>
          <w:szCs w:val="19"/>
          <w:b w:val="1"/>
          <w:bCs w:val="1"/>
          <w:color w:val="auto"/>
        </w:rPr>
        <w:t>Astellas Indemnitee(s</w:t>
      </w:r>
      <w:r>
        <w:rPr>
          <w:rFonts w:ascii="Arial" w:cs="Arial" w:eastAsia="Arial" w:hAnsi="Arial"/>
          <w:sz w:val="19"/>
          <w:szCs w:val="19"/>
          <w:color w:val="auto"/>
        </w:rPr>
        <w:t>)”) harmless from and against all Losses incurred by Astellas Indemnitees to the extent such Losses: arise out of or result from any claim, lawsuit or other action or threat by a Third Party arising out of (a) the gross negligence, willful misconduct, failure to comply with applicable law, or material breach of this Agreement (including, all representations, warranties and covenants set forth herein) the Quality Agreement and/or any Purchase Orders hereunder that result from a willful act or omission by a FibroGen Indemnitee,</w:t>
      </w:r>
    </w:p>
    <w:p>
      <w:pPr>
        <w:spacing w:after="0" w:line="1" w:lineRule="exact"/>
        <w:rPr>
          <w:sz w:val="20"/>
          <w:szCs w:val="20"/>
          <w:color w:val="auto"/>
        </w:rPr>
      </w:pPr>
    </w:p>
    <w:p>
      <w:pPr>
        <w:jc w:val="both"/>
        <w:ind w:firstLine="8"/>
        <w:spacing w:after="0" w:line="234" w:lineRule="auto"/>
        <w:tabs>
          <w:tab w:leader="none" w:pos="30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in each case except to the extent any such Loss arises out of or results from an Astellas Indemnitee’s gross negligence, willful misconduct, or breach of this Agreement (including all representations, warranties and covenants set forth herein), the Quality Agreement and/or any Purchase Orders hereunder</w:t>
      </w:r>
      <w:r>
        <w:rPr>
          <w:rFonts w:ascii="Arial" w:cs="Arial" w:eastAsia="Arial" w:hAnsi="Arial"/>
          <w:sz w:val="22"/>
          <w:szCs w:val="22"/>
          <w:u w:val="single" w:color="auto"/>
          <w:color w:val="auto"/>
        </w:rPr>
        <w:t>.</w:t>
      </w:r>
    </w:p>
    <w:p>
      <w:pPr>
        <w:spacing w:after="0" w:line="187"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Indemnification Procedures.</w:t>
      </w:r>
    </w:p>
    <w:p>
      <w:pPr>
        <w:spacing w:after="0" w:line="200" w:lineRule="exact"/>
        <w:rPr>
          <w:sz w:val="20"/>
          <w:szCs w:val="20"/>
          <w:color w:val="auto"/>
        </w:rPr>
      </w:pPr>
    </w:p>
    <w:p>
      <w:pPr>
        <w:ind w:right="20" w:firstLine="1635"/>
        <w:spacing w:after="0" w:line="280" w:lineRule="auto"/>
        <w:tabs>
          <w:tab w:leader="none" w:pos="2515"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Identification of Indemnitor and Indemnitee</w:t>
      </w:r>
      <w:r>
        <w:rPr>
          <w:rFonts w:ascii="Arial" w:cs="Arial" w:eastAsia="Arial" w:hAnsi="Arial"/>
          <w:sz w:val="21"/>
          <w:szCs w:val="21"/>
          <w:color w:val="auto"/>
        </w:rPr>
        <w:t>. An “</w:t>
      </w:r>
      <w:r>
        <w:rPr>
          <w:rFonts w:ascii="Arial" w:cs="Arial" w:eastAsia="Arial" w:hAnsi="Arial"/>
          <w:sz w:val="21"/>
          <w:szCs w:val="21"/>
          <w:b w:val="1"/>
          <w:bCs w:val="1"/>
          <w:color w:val="auto"/>
        </w:rPr>
        <w:t>Indemnitor</w:t>
      </w:r>
      <w:r>
        <w:rPr>
          <w:rFonts w:ascii="Arial" w:cs="Arial" w:eastAsia="Arial" w:hAnsi="Arial"/>
          <w:sz w:val="21"/>
          <w:szCs w:val="21"/>
          <w:color w:val="auto"/>
        </w:rPr>
        <w:t>” means the indemnifying Party. An “</w:t>
      </w:r>
      <w:r>
        <w:rPr>
          <w:rFonts w:ascii="Arial" w:cs="Arial" w:eastAsia="Arial" w:hAnsi="Arial"/>
          <w:sz w:val="21"/>
          <w:szCs w:val="21"/>
          <w:b w:val="1"/>
          <w:bCs w:val="1"/>
          <w:color w:val="auto"/>
        </w:rPr>
        <w:t>Indemnitee</w:t>
      </w:r>
      <w:r>
        <w:rPr>
          <w:rFonts w:ascii="Arial" w:cs="Arial" w:eastAsia="Arial" w:hAnsi="Arial"/>
          <w:sz w:val="21"/>
          <w:szCs w:val="21"/>
          <w:color w:val="auto"/>
        </w:rPr>
        <w:t>” means the indemnified Party and their respective directors, officers, employees and agents.</w:t>
      </w:r>
    </w:p>
    <w:p>
      <w:pPr>
        <w:spacing w:after="0" w:line="368"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jc w:val="both"/>
        <w:ind w:firstLine="1635"/>
        <w:spacing w:after="0" w:line="272" w:lineRule="auto"/>
        <w:tabs>
          <w:tab w:leader="none" w:pos="2527"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 An Indemnitee which intends to claim indemnification under Section 13.1 or Section 13.2 hereof shall promptly notify the Indemnitor in writing of any claim, lawsuit or other action in respect of which the Indemnitee or any of their respective directors, officers, employees and agents intend to claim such indemnification. The Indemnitee shall permit, and shall cause their respective directors, officers, employees and agents to permit, the Indemnitor, at its discretion, to settle any such claim, lawsuit or other action and agrees to the complete control of such defense or settlement by the Indemnitor; provided, however, that such settlement shall not adversely affect the Indemnitee’s rights under this Agreement or impose any obligations on the Indemnitee in addition to those set forth herein. Indemnitor shall not settle any claim that does not fully and unconditionally release the Indemnitee. No such claim, lawsuit or other action shall be settled without the prior written consent of the Indemnitor and the Indemnitor shall not be responsible for any legal fees or other costs incurred other than as provided herein. The Indemnitee and their respective directors, officers, employees and agents shall cooperate fully with the Indemnitor and its legal representatives in the investigation and defense of any claim, lawsuit or other action covered by this indemnification, all at the reasonable expense of the Indemnitor. The Indemnitee shall have the right, but not the obligation, to be represented by counsel of its own selection and expense.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 OF LIABILITY</w:t>
      </w:r>
    </w:p>
    <w:p>
      <w:pPr>
        <w:spacing w:after="0" w:line="188" w:lineRule="exact"/>
        <w:rPr>
          <w:sz w:val="20"/>
          <w:szCs w:val="20"/>
          <w:color w:val="auto"/>
        </w:rPr>
      </w:pPr>
    </w:p>
    <w:p>
      <w:pPr>
        <w:jc w:val="both"/>
        <w:ind w:firstLine="814"/>
        <w:spacing w:after="0" w:line="249"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Disclaimer of Consequential Damages</w:t>
      </w:r>
      <w:r>
        <w:rPr>
          <w:rFonts w:ascii="Arial" w:cs="Arial" w:eastAsia="Arial" w:hAnsi="Arial"/>
          <w:sz w:val="21"/>
          <w:szCs w:val="21"/>
          <w:color w:val="auto"/>
        </w:rPr>
        <w:t>. IN NO EVENT SHALL EITHER PARTY BE LIABLE TO THE OTHER PARTY FOR ANY CONSEQUENTIAL, INCIDENTAL, INDIRECT, PUNITIVE OR EXEMPLARY DAMAGES (INCLUDING, WITHOUT LIMITATION, LOST PROFITS, LOSS OF BUSINESS OR LOSS OF GOODWILL) SUFFERED OR INCURRED BY SUCH OTHER PARTY OR ITS AFFILIATES IN CONNECTION WITH THIS AGREEMENT, WHETHER IN CONTRACT OR IN TORT, EVEN IF ADVISED OF THE POSSIBILITY OF SUCH DAMAGES.</w:t>
      </w:r>
    </w:p>
    <w:p>
      <w:pPr>
        <w:spacing w:after="0" w:line="178" w:lineRule="exact"/>
        <w:rPr>
          <w:sz w:val="20"/>
          <w:szCs w:val="20"/>
          <w:color w:val="auto"/>
        </w:rPr>
      </w:pPr>
    </w:p>
    <w:p>
      <w:pPr>
        <w:jc w:val="both"/>
        <w:ind w:firstLine="814"/>
        <w:spacing w:after="0" w:line="252" w:lineRule="auto"/>
        <w:rPr>
          <w:sz w:val="20"/>
          <w:szCs w:val="20"/>
          <w:color w:val="auto"/>
        </w:rPr>
      </w:pPr>
      <w:r>
        <w:rPr>
          <w:rFonts w:ascii="Arial" w:cs="Arial" w:eastAsia="Arial" w:hAnsi="Arial"/>
          <w:sz w:val="21"/>
          <w:szCs w:val="21"/>
          <w:color w:val="auto"/>
        </w:rPr>
        <w:t>14.2 Subject to Section 14.1, each Party’s total liability arising under or in connection with this Agreement, whether arising in contract, tort (including negligence) or restitution, or for breach of statutory duty or misrepresentation, or otherwise, shall be limited to [*]. For the avoidance of doubt, in the [*], the limit on each Party’s liability shall be limited to [*]. Such limits set out in this Section 14.2 apply except to the extent arising out of: [*]</w:t>
      </w:r>
    </w:p>
    <w:p>
      <w:pPr>
        <w:spacing w:after="0" w:line="174"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For clarity, this Section 14.2 does not limit either Parties’ liabilities under the EU Collaboration Agreement (or any other agreement between the Parties) and does not limit Astellas’ obligation to pay undisputed amounts due under ARTICLE 6 (Payments; Invoicing).</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15</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INSURANCE</w:t>
      </w:r>
    </w:p>
    <w:p>
      <w:pPr>
        <w:spacing w:after="0" w:line="188"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Insurance</w:t>
      </w:r>
      <w:r>
        <w:rPr>
          <w:rFonts w:ascii="Arial" w:cs="Arial" w:eastAsia="Arial" w:hAnsi="Arial"/>
          <w:sz w:val="22"/>
          <w:szCs w:val="22"/>
          <w:color w:val="auto"/>
        </w:rPr>
        <w:t>. During the term and [*], FibroGen shall maintain, at its own cost and expense, in force the following insurance policies with reputable insurance companies against the liability referred to in this Agreement. In the event that any of the required polices of insurance are written on a claims</w:t>
      </w:r>
    </w:p>
    <w:p>
      <w:pPr>
        <w:spacing w:after="0" w:line="200" w:lineRule="exact"/>
        <w:rPr>
          <w:sz w:val="20"/>
          <w:szCs w:val="20"/>
          <w:color w:val="auto"/>
        </w:rPr>
      </w:pPr>
    </w:p>
    <w:p>
      <w:pPr>
        <w:spacing w:after="0" w:line="209"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2" w:name="page123"/>
    <w:bookmarkEnd w:id="122"/>
    <w:p>
      <w:pPr>
        <w:ind w:right="20"/>
        <w:spacing w:after="0" w:line="250" w:lineRule="auto"/>
        <w:rPr>
          <w:sz w:val="20"/>
          <w:szCs w:val="20"/>
          <w:color w:val="auto"/>
        </w:rPr>
      </w:pPr>
      <w:r>
        <w:rPr>
          <w:rFonts w:ascii="Arial" w:cs="Arial" w:eastAsia="Arial" w:hAnsi="Arial"/>
          <w:sz w:val="22"/>
          <w:szCs w:val="22"/>
          <w:color w:val="auto"/>
        </w:rPr>
        <w:t>made basis, then such policies shall be maintained during the term of this Agreement and for [*] following the expiration or termination of this Agreement:</w:t>
      </w:r>
    </w:p>
    <w:p>
      <w:pPr>
        <w:spacing w:after="0" w:line="175" w:lineRule="exact"/>
        <w:rPr>
          <w:sz w:val="20"/>
          <w:szCs w:val="20"/>
          <w:color w:val="auto"/>
        </w:rPr>
      </w:pPr>
    </w:p>
    <w:p>
      <w:pPr>
        <w:ind w:left="2520" w:hanging="885"/>
        <w:spacing w:after="0"/>
        <w:tabs>
          <w:tab w:leader="none" w:pos="252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Products and Completed Operations Liability Insurance with a per occurrence limit of not less than</w:t>
      </w:r>
    </w:p>
    <w:p>
      <w:pPr>
        <w:spacing w:after="0" w:line="42" w:lineRule="exact"/>
        <w:rPr>
          <w:rFonts w:ascii="Arial" w:cs="Arial" w:eastAsia="Arial" w:hAnsi="Arial"/>
          <w:sz w:val="19"/>
          <w:szCs w:val="19"/>
          <w:color w:val="auto"/>
        </w:rPr>
      </w:pPr>
    </w:p>
    <w:p>
      <w:pPr>
        <w:ind w:left="320" w:hanging="312"/>
        <w:spacing w:after="0"/>
        <w:tabs>
          <w:tab w:leader="none" w:pos="3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per occurrence and [*] in the aggregate.</w:t>
      </w:r>
    </w:p>
    <w:p>
      <w:pPr>
        <w:spacing w:after="0" w:line="188" w:lineRule="exact"/>
        <w:rPr>
          <w:rFonts w:ascii="Arial" w:cs="Arial" w:eastAsia="Arial" w:hAnsi="Arial"/>
          <w:sz w:val="22"/>
          <w:szCs w:val="22"/>
          <w:color w:val="auto"/>
        </w:rPr>
      </w:pPr>
    </w:p>
    <w:p>
      <w:pPr>
        <w:ind w:right="20" w:firstLine="1635"/>
        <w:spacing w:after="0" w:line="250" w:lineRule="auto"/>
        <w:tabs>
          <w:tab w:leader="none" w:pos="2527" w:val="left"/>
        </w:tabs>
        <w:numPr>
          <w:ilvl w:val="1"/>
          <w:numId w:val="120"/>
        </w:numPr>
        <w:rPr>
          <w:rFonts w:ascii="Arial" w:cs="Arial" w:eastAsia="Arial" w:hAnsi="Arial"/>
          <w:sz w:val="22"/>
          <w:szCs w:val="22"/>
          <w:color w:val="auto"/>
        </w:rPr>
      </w:pPr>
      <w:r>
        <w:rPr>
          <w:rFonts w:ascii="Arial" w:cs="Arial" w:eastAsia="Arial" w:hAnsi="Arial"/>
          <w:sz w:val="22"/>
          <w:szCs w:val="22"/>
          <w:color w:val="auto"/>
        </w:rPr>
        <w:t>Commercial General Liability Insurance for not less than [*] per occurrence and [*] in the aggregate (plus a [*] excess umbrella) for claims arising from any single event.</w:t>
      </w:r>
    </w:p>
    <w:p>
      <w:pPr>
        <w:spacing w:after="0" w:line="175"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15.2 On Astellas’ written request, FibroGen shall provide Astellas with copies of the insurance policy certificates and details of the cover provided.</w:t>
      </w:r>
    </w:p>
    <w:p>
      <w:pPr>
        <w:spacing w:after="0" w:line="175"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15.4 FibroGen shall notify Astellas if any policy is (or will be) cancelled or its terms are (or will be) subject to any material change.</w:t>
      </w:r>
    </w:p>
    <w:p>
      <w:pPr>
        <w:spacing w:after="0" w:line="175"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814"/>
        <w:spacing w:after="0" w:line="238" w:lineRule="auto"/>
        <w:rPr>
          <w:sz w:val="20"/>
          <w:szCs w:val="20"/>
          <w:color w:val="auto"/>
        </w:rPr>
      </w:pPr>
      <w:r>
        <w:rPr>
          <w:rFonts w:ascii="Arial" w:cs="Arial" w:eastAsia="Arial" w:hAnsi="Arial"/>
          <w:sz w:val="22"/>
          <w:szCs w:val="22"/>
          <w:color w:val="auto"/>
        </w:rPr>
        <w:t>15.6 If FibroGen fails or is unable to maintain insurance in accordance with Section 15.1 or fails to provide evidence that it has paid the current year’s premiums in accordance with Section 15.2, Astellas may so far as it is able, purchase such alternative insurance covers as it deems to be reasonably necessary and shall be entitled to recover all reasonable costs and expenses it incurs in doing so from FibroGen.</w:t>
      </w:r>
    </w:p>
    <w:p>
      <w:pPr>
        <w:spacing w:after="0" w:line="185"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For the avoidance of doubt, Astellas shall self-insure itself for the purposes of this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8" w:lineRule="exact"/>
        <w:rPr>
          <w:sz w:val="20"/>
          <w:szCs w:val="20"/>
          <w:color w:val="auto"/>
        </w:rPr>
      </w:pPr>
    </w:p>
    <w:p>
      <w:pPr>
        <w:jc w:val="both"/>
        <w:ind w:firstLine="814"/>
        <w:spacing w:after="0" w:line="238" w:lineRule="auto"/>
        <w:rPr>
          <w:sz w:val="20"/>
          <w:szCs w:val="20"/>
          <w:color w:val="auto"/>
        </w:rPr>
      </w:pPr>
      <w:r>
        <w:rPr>
          <w:rFonts w:ascii="Arial" w:cs="Arial" w:eastAsia="Arial" w:hAnsi="Arial"/>
          <w:sz w:val="22"/>
          <w:szCs w:val="22"/>
          <w:color w:val="auto"/>
        </w:rPr>
        <w:t>16.1 The Parties acknowledge that they expect to exchange certain Confidential Information in the course of, and for the purpose of, the Parties’ respective performance under this Agreement. Any such Confidential Information is shared subject to the terms and conditions of this Article 16 and to the exceptions set forth in the definition of such term in Section 1.15 of this Agreement.</w:t>
      </w:r>
    </w:p>
    <w:p>
      <w:pPr>
        <w:spacing w:after="0" w:line="185"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16.2 Each Party receiving Confidential Information from the other Party under this Agreement expressly acknowledges the other Party’s sole legal title to such Confidential Information.</w:t>
      </w:r>
    </w:p>
    <w:p>
      <w:pPr>
        <w:spacing w:after="0" w:line="175"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Each Party agrees:</w:t>
      </w:r>
    </w:p>
    <w:p>
      <w:pPr>
        <w:spacing w:after="0" w:line="206" w:lineRule="exact"/>
        <w:rPr>
          <w:sz w:val="20"/>
          <w:szCs w:val="20"/>
          <w:color w:val="auto"/>
        </w:rPr>
      </w:pPr>
    </w:p>
    <w:p>
      <w:pPr>
        <w:ind w:right="20" w:firstLine="1635"/>
        <w:spacing w:after="0" w:line="250" w:lineRule="auto"/>
        <w:tabs>
          <w:tab w:leader="none" w:pos="251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hold in strict confidence all such Confidential Information and not to disclose it to any Third Party without the prior written consent of the disclosing party;</w:t>
      </w:r>
    </w:p>
    <w:p>
      <w:pPr>
        <w:spacing w:after="0" w:line="174" w:lineRule="exact"/>
        <w:rPr>
          <w:rFonts w:ascii="Arial" w:cs="Arial" w:eastAsia="Arial" w:hAnsi="Arial"/>
          <w:sz w:val="22"/>
          <w:szCs w:val="22"/>
          <w:color w:val="auto"/>
        </w:rPr>
      </w:pPr>
    </w:p>
    <w:p>
      <w:pPr>
        <w:ind w:firstLine="1635"/>
        <w:spacing w:after="0" w:line="250" w:lineRule="auto"/>
        <w:tabs>
          <w:tab w:leader="none" w:pos="252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solely use such Confidential Information for exercising its rights and/or performing its obligations under this Agreement (the “</w:t>
      </w:r>
      <w:r>
        <w:rPr>
          <w:rFonts w:ascii="Arial" w:cs="Arial" w:eastAsia="Arial" w:hAnsi="Arial"/>
          <w:sz w:val="22"/>
          <w:szCs w:val="22"/>
          <w:b w:val="1"/>
          <w:bCs w:val="1"/>
          <w:color w:val="auto"/>
        </w:rPr>
        <w:t>Purpose</w:t>
      </w:r>
      <w:r>
        <w:rPr>
          <w:rFonts w:ascii="Arial" w:cs="Arial" w:eastAsia="Arial" w:hAnsi="Arial"/>
          <w:sz w:val="22"/>
          <w:szCs w:val="22"/>
          <w:color w:val="auto"/>
        </w:rPr>
        <w:t>”);</w:t>
      </w:r>
    </w:p>
    <w:p>
      <w:pPr>
        <w:spacing w:after="0" w:line="398"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3" w:name="page124"/>
    <w:bookmarkEnd w:id="123"/>
    <w:p>
      <w:pPr>
        <w:jc w:val="both"/>
        <w:ind w:right="20" w:firstLine="1635"/>
        <w:spacing w:after="0"/>
        <w:tabs>
          <w:tab w:leader="none" w:pos="251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to take all reasonable precautions necessary or prudent to prevent material in its possession or control that contains or refers to such Confidential Information and from being lost, discovered, used, intercepted or copied by any Third Party; and</w:t>
      </w:r>
    </w:p>
    <w:p>
      <w:pPr>
        <w:spacing w:after="0" w:line="186" w:lineRule="exact"/>
        <w:rPr>
          <w:rFonts w:ascii="Arial" w:cs="Arial" w:eastAsia="Arial" w:hAnsi="Arial"/>
          <w:sz w:val="22"/>
          <w:szCs w:val="22"/>
          <w:color w:val="auto"/>
        </w:rPr>
      </w:pPr>
    </w:p>
    <w:p>
      <w:pPr>
        <w:jc w:val="both"/>
        <w:ind w:firstLine="1635"/>
        <w:spacing w:after="0" w:line="277" w:lineRule="auto"/>
        <w:tabs>
          <w:tab w:leader="none" w:pos="252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to disclose such Confidential Information only to such of its directors, officers, and employees, and those of its Affiliates and external consultants, on a "need to know" basis, who are required by their duties to have knowledge of the Confidential Information for the Purpose, on the condition that each such person (x) is informed that the disclosed information is confidential and is subject to the terms of confidentiality of this Agreement; and (y) has agreed in writing to be bound by similar obligations of confidentiality and restrictions of use as those set forth herein and not to disclose the Confidential Information to any person or to use such information except for the Purpose. It is understood that the receiving Party shall be liable for any breach by each such person of the obligations of confidentiality and restrictions of use hereunder.</w:t>
      </w:r>
    </w:p>
    <w:p>
      <w:pPr>
        <w:spacing w:after="0" w:line="152"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2"/>
          <w:szCs w:val="22"/>
          <w:color w:val="auto"/>
        </w:rPr>
        <w:t>16.4 Notwithstanding the foregoing, a Party shall be entitled to disclose Confidential Information to the extent required by applicable law or court order provided that, to the extent permissible under applicable law or order, such Party furnishes the other Party with written notice that the Confidential Information is proposed to be disclosed sufficiently in advance of the proposed disclosure so as to provide the other Party with reasonable opportunity to seek to prevent the disclosure of or to obtain a protective order for the Confidential Information.</w:t>
      </w:r>
    </w:p>
    <w:p>
      <w:pPr>
        <w:spacing w:after="0" w:line="187" w:lineRule="exact"/>
        <w:rPr>
          <w:sz w:val="20"/>
          <w:szCs w:val="20"/>
          <w:color w:val="auto"/>
        </w:rPr>
      </w:pPr>
    </w:p>
    <w:p>
      <w:pPr>
        <w:jc w:val="both"/>
        <w:ind w:firstLine="814"/>
        <w:spacing w:after="0" w:line="249" w:lineRule="auto"/>
        <w:rPr>
          <w:sz w:val="20"/>
          <w:szCs w:val="20"/>
          <w:color w:val="auto"/>
        </w:rPr>
      </w:pPr>
      <w:r>
        <w:rPr>
          <w:rFonts w:ascii="Arial" w:cs="Arial" w:eastAsia="Arial" w:hAnsi="Arial"/>
          <w:sz w:val="21"/>
          <w:szCs w:val="21"/>
          <w:color w:val="auto"/>
        </w:rPr>
        <w:t>16.5 Upon expiration or termination for any reason whatsoever of this Agreement, each Party shall, at the other Party’s option, return or destruct and confirm the destruction in writing all Confidential Information of the other Party, except that one (1) copy of such Confidential Information may be kept by the receiving Party in its confidential files for compliance with its regulatory requirements and applicable laws only. Return or destruction of the Confidential Information shall not release either Party of its ongoing obligations of confidentiality and use hereunder.</w:t>
      </w:r>
    </w:p>
    <w:p>
      <w:pPr>
        <w:spacing w:after="0" w:line="178"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16.6 The terms of this Agreement shall be considered Confidential Information of both Parties and any press release or other disclosure with respect to the execution of this Agreement and/or any activities pursued hereunder shall be subject to both Parties’ mutual agreement.</w:t>
      </w:r>
    </w:p>
    <w:p>
      <w:pPr>
        <w:spacing w:after="0" w:line="186"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16.7 The Parties obligations of confidentiality and restricted use under this Article 16 shall survive the expiration or termination for any reason whatsoever of this Agreement and shall remain in effect for a period of [*] following the expiration or termination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PRESS RELEASES; USE OF NAMES</w:t>
      </w:r>
    </w:p>
    <w:p>
      <w:pPr>
        <w:spacing w:after="0" w:line="188"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 xml:space="preserve">17.1 </w:t>
      </w:r>
      <w:r>
        <w:rPr>
          <w:rFonts w:ascii="Arial" w:cs="Arial" w:eastAsia="Arial" w:hAnsi="Arial"/>
          <w:sz w:val="22"/>
          <w:szCs w:val="22"/>
          <w:u w:val="single" w:color="auto"/>
          <w:color w:val="auto"/>
        </w:rPr>
        <w:t>Press Releases</w:t>
      </w:r>
      <w:r>
        <w:rPr>
          <w:rFonts w:ascii="Arial" w:cs="Arial" w:eastAsia="Arial" w:hAnsi="Arial"/>
          <w:sz w:val="22"/>
          <w:szCs w:val="22"/>
          <w:color w:val="auto"/>
        </w:rPr>
        <w:t>. Neither Party shall issue nor disclose any press release, publicity or other form of public written disclosure related to this Agreement and/or Manufacturing Services for Astellas without receiving the other Party’s prior written consent, which consent shall not be unreasonably withheld.</w:t>
      </w:r>
    </w:p>
    <w:p>
      <w:pPr>
        <w:spacing w:after="0" w:line="186" w:lineRule="exact"/>
        <w:rPr>
          <w:sz w:val="20"/>
          <w:szCs w:val="20"/>
          <w:color w:val="auto"/>
        </w:rPr>
      </w:pPr>
    </w:p>
    <w:p>
      <w:pPr>
        <w:jc w:val="both"/>
        <w:ind w:right="20" w:firstLine="814"/>
        <w:spacing w:after="0" w:line="250" w:lineRule="auto"/>
        <w:rPr>
          <w:sz w:val="20"/>
          <w:szCs w:val="20"/>
          <w:color w:val="auto"/>
        </w:rPr>
      </w:pPr>
      <w:r>
        <w:rPr>
          <w:rFonts w:ascii="Arial" w:cs="Arial" w:eastAsia="Arial" w:hAnsi="Arial"/>
          <w:sz w:val="22"/>
          <w:szCs w:val="22"/>
          <w:color w:val="auto"/>
        </w:rPr>
        <w:t>17.2 Use of Names. Neither Party shall make use of the name of the other Party nor any Affiliate of the other Party, nor any of their respective officers, directors, employees, or agents, in any</w:t>
      </w:r>
    </w:p>
    <w:p>
      <w:pPr>
        <w:spacing w:after="0" w:line="398"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4" w:name="page125"/>
    <w:bookmarkEnd w:id="124"/>
    <w:p>
      <w:pPr>
        <w:jc w:val="both"/>
        <w:ind w:right="20"/>
        <w:spacing w:after="0" w:line="250" w:lineRule="auto"/>
        <w:rPr>
          <w:sz w:val="20"/>
          <w:szCs w:val="20"/>
          <w:color w:val="auto"/>
        </w:rPr>
      </w:pPr>
      <w:r>
        <w:rPr>
          <w:rFonts w:ascii="Arial" w:cs="Arial" w:eastAsia="Arial" w:hAnsi="Arial"/>
          <w:sz w:val="22"/>
          <w:szCs w:val="22"/>
          <w:color w:val="auto"/>
        </w:rPr>
        <w:t>advertising or promotional material, or otherwise, in connection with this Agreement or any related agreements, without the prior written consent of such other Party, which consent shall not be unreasonably withheld.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TERMINATION</w:t>
      </w:r>
    </w:p>
    <w:p>
      <w:pPr>
        <w:spacing w:after="0" w:line="188" w:lineRule="exact"/>
        <w:rPr>
          <w:sz w:val="20"/>
          <w:szCs w:val="20"/>
          <w:color w:val="auto"/>
        </w:rPr>
      </w:pPr>
    </w:p>
    <w:p>
      <w:pPr>
        <w:jc w:val="both"/>
        <w:ind w:firstLine="814"/>
        <w:spacing w:after="0" w:line="271" w:lineRule="auto"/>
        <w:rPr>
          <w:sz w:val="20"/>
          <w:szCs w:val="20"/>
          <w:color w:val="auto"/>
        </w:rPr>
      </w:pPr>
      <w:r>
        <w:rPr>
          <w:rFonts w:ascii="Arial" w:cs="Arial" w:eastAsia="Arial" w:hAnsi="Arial"/>
          <w:sz w:val="19"/>
          <w:szCs w:val="19"/>
          <w:color w:val="auto"/>
        </w:rPr>
        <w:t xml:space="preserve">18.1 </w:t>
      </w:r>
      <w:r>
        <w:rPr>
          <w:rFonts w:ascii="Arial" w:cs="Arial" w:eastAsia="Arial" w:hAnsi="Arial"/>
          <w:sz w:val="19"/>
          <w:szCs w:val="19"/>
          <w:u w:val="single" w:color="auto"/>
          <w:color w:val="auto"/>
        </w:rPr>
        <w:t>Term</w:t>
      </w:r>
      <w:r>
        <w:rPr>
          <w:rFonts w:ascii="Arial" w:cs="Arial" w:eastAsia="Arial" w:hAnsi="Arial"/>
          <w:sz w:val="19"/>
          <w:szCs w:val="19"/>
          <w:color w:val="auto"/>
        </w:rPr>
        <w:t>. Unless sooner terminated pursuant to Section 18.2 or extended by the mutual written agreement of the Parties, the term of this Agreement shall commence on the Effective Date and shall continue until expiration or cancellation of the EU Collaboration Agreement, except to the extent the EU Collaboration Agreement specifically requires this Agreement to continue. In addition, in the event that, pursuant to the EU Collaboration Agreement, Astellas determines to manufacture Bulk Product for the Territory, whether directly or through Affiliates or Third Parties, Astellas shall provide FibroGen with not less than [*] prior written notice, or such other notice as reasonably required to comply with FibroGen’s obligations to Third Party manufacturers, provided, however, that in the case of FibroGen’s material failure to supply Astellas’ commercial requirements set forth under the binding Forecast(s) under this Agreement, Astellas may initiate the process of taking over manufacturing its own requirements after reasonable notice to FibroGen and a reasonable opportunity to cure. In the event that Astellas determines to manufacture Bulk Products for the Territory hereunder, FibroGen shall provide to Astellas such information (including know-how, processes, procedures, formulas and protocols), consultation and assistance as is reasonably necessary for Astellas and/or its contract manufacturer to set and implement manufacturing operations for the Bulk Product and to manufacture Bulk Products for the Territory (at Astellas’ expense unless resulting from FibroGen’s material and uncured breach of its manufacture and supply obligations under this Agreement, provided, that, a Force Majeure Event shall not be considered a material breach of the obligation to supply under this Agreement).</w:t>
      </w:r>
    </w:p>
    <w:p>
      <w:pPr>
        <w:spacing w:after="0" w:line="160"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as follows:</w:t>
      </w:r>
    </w:p>
    <w:p>
      <w:pPr>
        <w:spacing w:after="0" w:line="206" w:lineRule="exact"/>
        <w:rPr>
          <w:sz w:val="20"/>
          <w:szCs w:val="20"/>
          <w:color w:val="auto"/>
        </w:rPr>
      </w:pPr>
    </w:p>
    <w:p>
      <w:pPr>
        <w:jc w:val="both"/>
        <w:ind w:firstLine="1635"/>
        <w:spacing w:after="0" w:line="238" w:lineRule="auto"/>
        <w:tabs>
          <w:tab w:leader="none" w:pos="251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Material Breach</w:t>
      </w:r>
      <w:r>
        <w:rPr>
          <w:rFonts w:ascii="Arial" w:cs="Arial" w:eastAsia="Arial" w:hAnsi="Arial"/>
          <w:sz w:val="22"/>
          <w:szCs w:val="22"/>
          <w:color w:val="auto"/>
        </w:rPr>
        <w:t>. Either Party may terminate this Agreement upon written notice to the other Party, for any material breach of this Agreement, Purchase Order, or Quality Agreement by the other Party, if such breach is not cured within [*] after the breaching Party receives written notice of such breach from the non-breaching Party. Such termination shall be effective upon expiration of such cure period.</w:t>
      </w:r>
    </w:p>
    <w:p>
      <w:pPr>
        <w:spacing w:after="0" w:line="184" w:lineRule="exact"/>
        <w:rPr>
          <w:rFonts w:ascii="Arial" w:cs="Arial" w:eastAsia="Arial" w:hAnsi="Arial"/>
          <w:sz w:val="22"/>
          <w:szCs w:val="22"/>
          <w:color w:val="auto"/>
        </w:rPr>
      </w:pPr>
    </w:p>
    <w:p>
      <w:pPr>
        <w:jc w:val="both"/>
        <w:ind w:firstLine="1635"/>
        <w:spacing w:after="0" w:line="277" w:lineRule="auto"/>
        <w:tabs>
          <w:tab w:leader="none" w:pos="2527"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Insolvency</w:t>
      </w:r>
      <w:r>
        <w:rPr>
          <w:rFonts w:ascii="Arial" w:cs="Arial" w:eastAsia="Arial" w:hAnsi="Arial"/>
          <w:sz w:val="19"/>
          <w:szCs w:val="19"/>
          <w:color w:val="auto"/>
        </w:rPr>
        <w:t>. Either Party may terminate this Agreement upon notice to the other Party, upon (a) the dissolution, termination of existence, liquidation or business failure of the other Party; the appointment of a custodian or receiver for the other Party who has not been terminated or dismissed within [*] of such appointment; or (c) the institution by the other Party of any proceeding under national, federal or state bankruptcy, reorganization, receivership or other similar laws affecting the rights of creditors generally or the making by such Party of a composition or any assignment for the benefit of creditors under any national, federal or state bankruptcy, reorganization, receivership or other similar law affecting the rights of creditors generally, which proceeding is not finally dismissed within [*] of filing.</w:t>
      </w:r>
    </w:p>
    <w:p>
      <w:pPr>
        <w:spacing w:after="0" w:line="375"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jc w:val="both"/>
        <w:ind w:firstLine="814"/>
        <w:spacing w:after="0" w:line="250" w:lineRule="auto"/>
        <w:rPr>
          <w:sz w:val="20"/>
          <w:szCs w:val="20"/>
          <w:color w:val="auto"/>
        </w:rPr>
      </w:pPr>
      <w:r>
        <w:rPr>
          <w:rFonts w:ascii="Arial" w:cs="Arial" w:eastAsia="Arial" w:hAnsi="Arial"/>
          <w:sz w:val="22"/>
          <w:szCs w:val="22"/>
          <w:color w:val="auto"/>
        </w:rPr>
        <w:t xml:space="preserve">18.3 </w:t>
      </w:r>
      <w:r>
        <w:rPr>
          <w:rFonts w:ascii="Arial" w:cs="Arial" w:eastAsia="Arial" w:hAnsi="Arial"/>
          <w:sz w:val="22"/>
          <w:szCs w:val="22"/>
          <w:u w:val="single" w:color="auto"/>
          <w:color w:val="auto"/>
        </w:rPr>
        <w:t>Cumulative Remedies</w:t>
      </w:r>
      <w:r>
        <w:rPr>
          <w:rFonts w:ascii="Arial" w:cs="Arial" w:eastAsia="Arial" w:hAnsi="Arial"/>
          <w:sz w:val="22"/>
          <w:szCs w:val="22"/>
          <w:color w:val="auto"/>
        </w:rPr>
        <w:t>. Any right to terminate this Agreement shall be in addition to and not in lieu of all other rights or remedies that the Party giving notice of termination may have at law or in equity or otherwise.</w:t>
      </w:r>
    </w:p>
    <w:p>
      <w:pPr>
        <w:spacing w:after="0" w:line="175"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u w:val="single" w:color="auto"/>
          <w:color w:val="auto"/>
        </w:rPr>
        <w:t>Consequences of Termination</w:t>
      </w:r>
      <w:r>
        <w:rPr>
          <w:rFonts w:ascii="Arial" w:cs="Arial" w:eastAsia="Arial" w:hAnsi="Arial"/>
          <w:sz w:val="19"/>
          <w:szCs w:val="19"/>
          <w:color w:val="auto"/>
        </w:rPr>
        <w:t>.</w:t>
      </w:r>
    </w:p>
    <w:p>
      <w:pPr>
        <w:spacing w:after="0" w:line="206" w:lineRule="exact"/>
        <w:rPr>
          <w:sz w:val="20"/>
          <w:szCs w:val="20"/>
          <w:color w:val="auto"/>
        </w:rPr>
      </w:pPr>
    </w:p>
    <w:p>
      <w:pPr>
        <w:jc w:val="both"/>
        <w:ind w:firstLine="1627"/>
        <w:spacing w:after="0" w:line="245" w:lineRule="auto"/>
        <w:rPr>
          <w:sz w:val="20"/>
          <w:szCs w:val="20"/>
          <w:color w:val="auto"/>
        </w:rPr>
      </w:pPr>
      <w:r>
        <w:rPr>
          <w:rFonts w:ascii="Arial" w:cs="Arial" w:eastAsia="Arial" w:hAnsi="Arial"/>
          <w:sz w:val="21"/>
          <w:szCs w:val="21"/>
          <w:color w:val="auto"/>
        </w:rPr>
        <w:t xml:space="preserve">18.4.1 </w:t>
      </w:r>
      <w:r>
        <w:rPr>
          <w:rFonts w:ascii="Arial" w:cs="Arial" w:eastAsia="Arial" w:hAnsi="Arial"/>
          <w:sz w:val="21"/>
          <w:szCs w:val="21"/>
          <w:u w:val="single" w:color="auto"/>
          <w:color w:val="auto"/>
        </w:rPr>
        <w:t>Generally.</w:t>
      </w:r>
      <w:r>
        <w:rPr>
          <w:rFonts w:ascii="Arial" w:cs="Arial" w:eastAsia="Arial" w:hAnsi="Arial"/>
          <w:sz w:val="21"/>
          <w:szCs w:val="21"/>
          <w:color w:val="auto"/>
        </w:rPr>
        <w:t xml:space="preserve"> If Astellas terminates this Agreement pursuant to Section 18.1or either Party terminates in accordance with Section 18.2, FibroGen shall use [*] to wind-down all Manufacturing Services applicable to the terminated Purchase Order, or the Agreement generally, in accordance with its responsibilities under applicable laws, and [*]. Notwithstanding the foregoing, and except for costs specifically related to a breach by FibroGen in the event of termination by Astellas pursuant to Section 18.2, [*]. FibroGen shall promptly deliver or shall procure the delivery to Astellas of all Bulk Product and Astellas property (including for the avoidance of doubt, any non-Astellas property required for Astellas to meet its cGMP and other regulatory obligations and those listed in the Quality Agreement), including all Confidential Information belonging to Astellas, then in FibroGen’s possession or control and all copies of the same, whatever their state of development at that time, and all materials and information reasonably required by Astellas to complete and/or related to such Products and shall certify in writing to Astellas that the same has been done.</w:t>
      </w:r>
    </w:p>
    <w:p>
      <w:pPr>
        <w:spacing w:after="0" w:line="181" w:lineRule="exact"/>
        <w:rPr>
          <w:sz w:val="20"/>
          <w:szCs w:val="20"/>
          <w:color w:val="auto"/>
        </w:rPr>
      </w:pPr>
    </w:p>
    <w:p>
      <w:pPr>
        <w:jc w:val="both"/>
        <w:ind w:firstLine="1627"/>
        <w:spacing w:after="0" w:line="236" w:lineRule="auto"/>
        <w:rPr>
          <w:sz w:val="20"/>
          <w:szCs w:val="20"/>
          <w:color w:val="auto"/>
        </w:rPr>
      </w:pPr>
      <w:r>
        <w:rPr>
          <w:rFonts w:ascii="Arial" w:cs="Arial" w:eastAsia="Arial" w:hAnsi="Arial"/>
          <w:sz w:val="22"/>
          <w:szCs w:val="22"/>
          <w:color w:val="auto"/>
        </w:rPr>
        <w:t xml:space="preserve">18.4.2 </w:t>
      </w:r>
      <w:r>
        <w:rPr>
          <w:rFonts w:ascii="Arial" w:cs="Arial" w:eastAsia="Arial" w:hAnsi="Arial"/>
          <w:sz w:val="22"/>
          <w:szCs w:val="22"/>
          <w:u w:val="single" w:color="auto"/>
          <w:color w:val="auto"/>
        </w:rPr>
        <w:t>Accrued Rights</w:t>
      </w:r>
      <w:r>
        <w:rPr>
          <w:rFonts w:ascii="Arial" w:cs="Arial" w:eastAsia="Arial" w:hAnsi="Arial"/>
          <w:sz w:val="22"/>
          <w:szCs w:val="22"/>
          <w:color w:val="auto"/>
        </w:rPr>
        <w:t>. Except as otherwise expressly set forth herein, any termination or expiration of this Agreement shall be without prejudice to any right which shall have accrued to the benefit of either Party and shall not relieve either Party of any obligation which has accrued prior to the effective date of such termination or expiration, which obligations shall remain in full force and effect for the period provided therein or, if no period is provided therein, then such obligations shall remain in full force and effect indefinitely.</w:t>
      </w:r>
    </w:p>
    <w:p>
      <w:pPr>
        <w:spacing w:after="0" w:line="187"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color w:val="auto"/>
        </w:rPr>
        <w:t xml:space="preserve">Surviving </w:t>
      </w:r>
      <w:r>
        <w:rPr>
          <w:rFonts w:ascii="Arial" w:cs="Arial" w:eastAsia="Arial" w:hAnsi="Arial"/>
          <w:sz w:val="19"/>
          <w:szCs w:val="19"/>
          <w:u w:val="single" w:color="auto"/>
          <w:color w:val="auto"/>
        </w:rPr>
        <w:t>Rights</w:t>
      </w:r>
      <w:r>
        <w:rPr>
          <w:rFonts w:ascii="Arial" w:cs="Arial" w:eastAsia="Arial" w:hAnsi="Arial"/>
          <w:sz w:val="19"/>
          <w:szCs w:val="19"/>
          <w:color w:val="auto"/>
        </w:rPr>
        <w:t>. Article 1; Article 4; Article 5; Sections 7.1, 8.1, and 9.1;and Articles 10, 11, 12, 13, 14,</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15, 16, and 17 and the rights and obligations contained therein shall survive the termination or expiration of this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FORCE MAJEURE</w:t>
      </w:r>
    </w:p>
    <w:p>
      <w:pPr>
        <w:spacing w:after="0" w:line="188" w:lineRule="exact"/>
        <w:rPr>
          <w:sz w:val="20"/>
          <w:szCs w:val="20"/>
          <w:color w:val="auto"/>
        </w:rPr>
      </w:pPr>
    </w:p>
    <w:p>
      <w:pPr>
        <w:jc w:val="both"/>
        <w:ind w:firstLine="814"/>
        <w:spacing w:after="0" w:line="274" w:lineRule="auto"/>
        <w:rPr>
          <w:sz w:val="20"/>
          <w:szCs w:val="20"/>
          <w:color w:val="auto"/>
        </w:rPr>
      </w:pPr>
      <w:r>
        <w:rPr>
          <w:rFonts w:ascii="Arial" w:cs="Arial" w:eastAsia="Arial" w:hAnsi="Arial"/>
          <w:sz w:val="19"/>
          <w:szCs w:val="19"/>
          <w:color w:val="auto"/>
        </w:rPr>
        <w:t xml:space="preserve">19.1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Party shall be liable hereunder for any failure in performance if such delay or failure is caused by fire, flood, pandemic, explosion, storm, acts of God, acts of any government or government agency or other causes beyond such party’s reasonable control, provided that, upon the occurrence of any event of force majeure, (a) the Party whose performance is thereby affected shall promptly notify the other Party of the force majeure event and the circumstances so surrounding and of the expected duration thereof and shall take all reasonable steps to mitigate such delay or failure to perform and (b) if the delay or failure to perform continues for more than [*], the Parties will in good faith confer about adjustments to address the force majeure event and work towards amicable resolution, then the unaffected Party may terminate this Agreement upon [*] prior written notice to the affected Party. Upon cessation of such force majeure event, the affected Party shall promptly resume performance under this Agreement as soon as it is possible for the Party to do so.</w:t>
      </w:r>
    </w:p>
    <w:p>
      <w:pPr>
        <w:spacing w:after="0" w:line="381"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ARTICLE 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jc w:val="both"/>
        <w:ind w:firstLine="814"/>
        <w:spacing w:after="0" w:line="282"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under this Agreement by any Party shall be in writing and shall be (a) delivered personally, (b) sent by registered mail, return receipt requested, postage prepaid, or (c) sent by an internationally-recognized courier service guaranteeing reasonable international delivery timeframes, charges prepaid, to the addresses of the other Party set forth below, or at such other addresses as may from time to time be furnished by similar notice by any Party. The effective date of any notice under this Agreement shall be the date of receipt by the receiving Party.</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22"/>
          <w:szCs w:val="22"/>
          <w:u w:val="single" w:color="auto"/>
          <w:color w:val="auto"/>
        </w:rPr>
        <w:t>If to FibroGen</w:t>
      </w:r>
      <w:r>
        <w:rPr>
          <w:rFonts w:ascii="Arial" w:cs="Arial" w:eastAsia="Arial" w:hAnsi="Arial"/>
          <w:sz w:val="22"/>
          <w:szCs w:val="22"/>
          <w:color w:val="auto"/>
        </w:rPr>
        <w:t>:</w:t>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FibroGen, Inc.</w:t>
      </w:r>
    </w:p>
    <w:p>
      <w:pPr>
        <w:ind w:left="1640"/>
        <w:spacing w:after="0" w:line="238" w:lineRule="auto"/>
        <w:rPr>
          <w:sz w:val="20"/>
          <w:szCs w:val="20"/>
          <w:color w:val="auto"/>
        </w:rPr>
      </w:pPr>
      <w:r>
        <w:rPr>
          <w:rFonts w:ascii="Arial" w:cs="Arial" w:eastAsia="Arial" w:hAnsi="Arial"/>
          <w:sz w:val="22"/>
          <w:szCs w:val="22"/>
          <w:color w:val="auto"/>
        </w:rPr>
        <w:t>409 Illinois Street</w:t>
      </w:r>
    </w:p>
    <w:p>
      <w:pPr>
        <w:ind w:left="1640"/>
        <w:spacing w:after="0" w:line="230" w:lineRule="auto"/>
        <w:rPr>
          <w:sz w:val="20"/>
          <w:szCs w:val="20"/>
          <w:color w:val="auto"/>
        </w:rPr>
      </w:pPr>
      <w:r>
        <w:rPr>
          <w:rFonts w:ascii="Arial" w:cs="Arial" w:eastAsia="Arial" w:hAnsi="Arial"/>
          <w:sz w:val="22"/>
          <w:szCs w:val="22"/>
          <w:color w:val="auto"/>
        </w:rPr>
        <w:t>San Francisco, California 94158</w:t>
      </w:r>
    </w:p>
    <w:p>
      <w:pPr>
        <w:ind w:left="1640"/>
        <w:spacing w:after="0" w:line="231" w:lineRule="auto"/>
        <w:rPr>
          <w:sz w:val="20"/>
          <w:szCs w:val="20"/>
          <w:color w:val="auto"/>
        </w:rPr>
      </w:pPr>
      <w:r>
        <w:rPr>
          <w:rFonts w:ascii="Arial" w:cs="Arial" w:eastAsia="Arial" w:hAnsi="Arial"/>
          <w:sz w:val="22"/>
          <w:szCs w:val="22"/>
          <w:color w:val="auto"/>
        </w:rPr>
        <w:t>United States of America</w:t>
      </w:r>
    </w:p>
    <w:p>
      <w:pPr>
        <w:ind w:left="1640"/>
        <w:spacing w:after="0"/>
        <w:rPr>
          <w:sz w:val="20"/>
          <w:szCs w:val="20"/>
          <w:color w:val="auto"/>
        </w:rPr>
      </w:pPr>
      <w:r>
        <w:rPr>
          <w:rFonts w:ascii="Arial" w:cs="Arial" w:eastAsia="Arial" w:hAnsi="Arial"/>
          <w:sz w:val="22"/>
          <w:szCs w:val="22"/>
          <w:color w:val="auto"/>
        </w:rPr>
        <w:t>Attn: Legal Department</w:t>
      </w:r>
    </w:p>
    <w:p>
      <w:pPr>
        <w:spacing w:after="0" w:line="200" w:lineRule="exact"/>
        <w:rPr>
          <w:sz w:val="20"/>
          <w:szCs w:val="20"/>
          <w:color w:val="auto"/>
        </w:rPr>
      </w:pPr>
    </w:p>
    <w:p>
      <w:pPr>
        <w:spacing w:after="0" w:line="258" w:lineRule="exact"/>
        <w:rPr>
          <w:sz w:val="20"/>
          <w:szCs w:val="20"/>
          <w:color w:val="auto"/>
        </w:rPr>
      </w:pPr>
    </w:p>
    <w:p>
      <w:pPr>
        <w:ind w:left="1640"/>
        <w:spacing w:after="0"/>
        <w:rPr>
          <w:sz w:val="20"/>
          <w:szCs w:val="20"/>
          <w:color w:val="auto"/>
        </w:rPr>
      </w:pPr>
      <w:r>
        <w:rPr>
          <w:rFonts w:ascii="Arial" w:cs="Arial" w:eastAsia="Arial" w:hAnsi="Arial"/>
          <w:sz w:val="22"/>
          <w:szCs w:val="22"/>
          <w:u w:val="single" w:color="auto"/>
          <w:color w:val="auto"/>
        </w:rPr>
        <w:t>If to Astellas</w:t>
      </w:r>
      <w:r>
        <w:rPr>
          <w:rFonts w:ascii="Arial" w:cs="Arial" w:eastAsia="Arial" w:hAnsi="Arial"/>
          <w:sz w:val="22"/>
          <w:szCs w:val="22"/>
          <w:color w:val="auto"/>
        </w:rPr>
        <w:t>:</w:t>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Astellas Pharma Europe Limited</w:t>
      </w:r>
    </w:p>
    <w:p>
      <w:pPr>
        <w:ind w:left="1640"/>
        <w:spacing w:after="0" w:line="238" w:lineRule="auto"/>
        <w:rPr>
          <w:sz w:val="20"/>
          <w:szCs w:val="20"/>
          <w:color w:val="auto"/>
        </w:rPr>
      </w:pPr>
      <w:r>
        <w:rPr>
          <w:rFonts w:ascii="Arial" w:cs="Arial" w:eastAsia="Arial" w:hAnsi="Arial"/>
          <w:sz w:val="22"/>
          <w:szCs w:val="22"/>
          <w:color w:val="auto"/>
        </w:rPr>
        <w:t>300 Dashwood Lang Road</w:t>
      </w:r>
    </w:p>
    <w:p>
      <w:pPr>
        <w:ind w:left="1640"/>
        <w:spacing w:after="0" w:line="230" w:lineRule="auto"/>
        <w:rPr>
          <w:sz w:val="20"/>
          <w:szCs w:val="20"/>
          <w:color w:val="auto"/>
        </w:rPr>
      </w:pPr>
      <w:r>
        <w:rPr>
          <w:rFonts w:ascii="Arial" w:cs="Arial" w:eastAsia="Arial" w:hAnsi="Arial"/>
          <w:sz w:val="22"/>
          <w:szCs w:val="22"/>
          <w:color w:val="auto"/>
        </w:rPr>
        <w:t>Bourne Business Park</w:t>
      </w:r>
    </w:p>
    <w:p>
      <w:pPr>
        <w:ind w:left="1640"/>
        <w:spacing w:after="0" w:line="231" w:lineRule="auto"/>
        <w:rPr>
          <w:sz w:val="20"/>
          <w:szCs w:val="20"/>
          <w:color w:val="auto"/>
        </w:rPr>
      </w:pPr>
      <w:r>
        <w:rPr>
          <w:rFonts w:ascii="Arial" w:cs="Arial" w:eastAsia="Arial" w:hAnsi="Arial"/>
          <w:sz w:val="22"/>
          <w:szCs w:val="22"/>
          <w:color w:val="auto"/>
        </w:rPr>
        <w:t>Addlestone</w:t>
      </w:r>
    </w:p>
    <w:p>
      <w:pPr>
        <w:ind w:left="1640"/>
        <w:spacing w:after="0" w:line="230" w:lineRule="auto"/>
        <w:rPr>
          <w:sz w:val="20"/>
          <w:szCs w:val="20"/>
          <w:color w:val="auto"/>
        </w:rPr>
      </w:pPr>
      <w:r>
        <w:rPr>
          <w:rFonts w:ascii="Arial" w:cs="Arial" w:eastAsia="Arial" w:hAnsi="Arial"/>
          <w:sz w:val="22"/>
          <w:szCs w:val="22"/>
          <w:color w:val="auto"/>
        </w:rPr>
        <w:t>Surrey</w:t>
      </w:r>
    </w:p>
    <w:p>
      <w:pPr>
        <w:ind w:left="1640"/>
        <w:spacing w:after="0" w:line="231" w:lineRule="auto"/>
        <w:rPr>
          <w:sz w:val="20"/>
          <w:szCs w:val="20"/>
          <w:color w:val="auto"/>
        </w:rPr>
      </w:pPr>
      <w:r>
        <w:rPr>
          <w:rFonts w:ascii="Arial" w:cs="Arial" w:eastAsia="Arial" w:hAnsi="Arial"/>
          <w:sz w:val="22"/>
          <w:szCs w:val="22"/>
          <w:color w:val="auto"/>
        </w:rPr>
        <w:t>KT15 2NX United Kingdom</w:t>
      </w:r>
    </w:p>
    <w:p>
      <w:pPr>
        <w:ind w:left="1640"/>
        <w:spacing w:after="0"/>
        <w:rPr>
          <w:sz w:val="20"/>
          <w:szCs w:val="20"/>
          <w:color w:val="auto"/>
        </w:rPr>
      </w:pPr>
      <w:r>
        <w:rPr>
          <w:rFonts w:ascii="Arial" w:cs="Arial" w:eastAsia="Arial" w:hAnsi="Arial"/>
          <w:sz w:val="22"/>
          <w:szCs w:val="22"/>
          <w:color w:val="auto"/>
        </w:rPr>
        <w:t>Attn: Legal Department and Director of Global CMM</w:t>
      </w:r>
    </w:p>
    <w:p>
      <w:pPr>
        <w:spacing w:after="0" w:line="215" w:lineRule="exact"/>
        <w:rPr>
          <w:sz w:val="20"/>
          <w:szCs w:val="20"/>
          <w:color w:val="auto"/>
        </w:rPr>
      </w:pPr>
    </w:p>
    <w:p>
      <w:pPr>
        <w:jc w:val="both"/>
        <w:ind w:firstLine="814"/>
        <w:spacing w:after="0" w:line="257"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Governing Law; Dispute Resolution</w:t>
      </w:r>
      <w:r>
        <w:rPr>
          <w:rFonts w:ascii="Arial" w:cs="Arial" w:eastAsia="Arial" w:hAnsi="Arial"/>
          <w:sz w:val="21"/>
          <w:szCs w:val="21"/>
          <w:color w:val="auto"/>
        </w:rPr>
        <w:t>. This Agreement shall be governed by, construed and interpreted in accordance with the governing law provisions set forth in the EU Collaboration Agreement. The Parties shall negotiate in good faith and use Reasonable Efforts to settle any dispute in accordance with the EU Collaboration Agreement.</w:t>
      </w:r>
    </w:p>
    <w:p>
      <w:pPr>
        <w:spacing w:after="0" w:line="169" w:lineRule="exact"/>
        <w:rPr>
          <w:sz w:val="20"/>
          <w:szCs w:val="20"/>
          <w:color w:val="auto"/>
        </w:rPr>
      </w:pPr>
    </w:p>
    <w:p>
      <w:pPr>
        <w:jc w:val="both"/>
        <w:ind w:firstLine="814"/>
        <w:spacing w:after="0" w:line="250"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Headings</w:t>
      </w:r>
      <w:r>
        <w:rPr>
          <w:rFonts w:ascii="Arial" w:cs="Arial" w:eastAsia="Arial" w:hAnsi="Arial"/>
          <w:sz w:val="22"/>
          <w:szCs w:val="22"/>
          <w:color w:val="auto"/>
        </w:rPr>
        <w:t>. All headings in this Agreement are for convenience of reference only and shall not affect the interpretation of this Agreement.</w:t>
      </w:r>
    </w:p>
    <w:p>
      <w:pPr>
        <w:spacing w:after="0" w:line="175" w:lineRule="exact"/>
        <w:rPr>
          <w:sz w:val="20"/>
          <w:szCs w:val="20"/>
          <w:color w:val="auto"/>
        </w:rPr>
      </w:pPr>
    </w:p>
    <w:p>
      <w:pPr>
        <w:jc w:val="both"/>
        <w:ind w:firstLine="814"/>
        <w:spacing w:after="0" w:line="279"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u w:val="single" w:color="auto"/>
          <w:color w:val="auto"/>
        </w:rPr>
        <w:t>Assignment</w:t>
      </w:r>
      <w:r>
        <w:rPr>
          <w:rFonts w:ascii="Arial" w:cs="Arial" w:eastAsia="Arial" w:hAnsi="Arial"/>
          <w:sz w:val="19"/>
          <w:szCs w:val="19"/>
          <w:color w:val="auto"/>
        </w:rPr>
        <w:t>. Neither Party may assign or transfer the Agreement or any rights or obligations hereunder without the prior written consent of the other Party, except that a Party may make such an assignment without the other Party’s consent to such Party’s Affiliate or to a successor to all or substantially all of the assets or business of such Party to which this Agreement pertains, whether by asset sale, stock sale, merger, acquisition, or otherwise. Any permitted successor or assignee of rights and/or obligations hereunder shall, in a writing to the other Party, expressly assume performance of such rights and/or obligations. Any purported assignment that is not in conformance with this Section 20.4</w:t>
      </w:r>
    </w:p>
    <w:p>
      <w:pPr>
        <w:spacing w:after="0" w:line="373"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7" w:name="page128"/>
    <w:bookmarkEnd w:id="127"/>
    <w:p>
      <w:pPr>
        <w:jc w:val="both"/>
        <w:spacing w:after="0" w:line="250" w:lineRule="auto"/>
        <w:rPr>
          <w:sz w:val="20"/>
          <w:szCs w:val="20"/>
          <w:color w:val="auto"/>
        </w:rPr>
      </w:pPr>
      <w:r>
        <w:rPr>
          <w:rFonts w:ascii="Arial" w:cs="Arial" w:eastAsia="Arial" w:hAnsi="Arial"/>
          <w:sz w:val="22"/>
          <w:szCs w:val="22"/>
          <w:color w:val="auto"/>
        </w:rPr>
        <w:t>shall be null, void and of no legal effect. Subject to the foregoing, this Agreement shall be binding upon and inure to the benefit of the successors and assigns of the Parties.</w:t>
      </w:r>
    </w:p>
    <w:p>
      <w:pPr>
        <w:spacing w:after="0" w:line="175" w:lineRule="exact"/>
        <w:rPr>
          <w:sz w:val="20"/>
          <w:szCs w:val="20"/>
          <w:color w:val="auto"/>
        </w:rPr>
      </w:pPr>
    </w:p>
    <w:p>
      <w:pPr>
        <w:jc w:val="both"/>
        <w:ind w:firstLine="814"/>
        <w:spacing w:after="0" w:line="238" w:lineRule="auto"/>
        <w:rPr>
          <w:sz w:val="20"/>
          <w:szCs w:val="20"/>
          <w:color w:val="auto"/>
        </w:rPr>
      </w:pPr>
      <w:r>
        <w:rPr>
          <w:rFonts w:ascii="Arial" w:cs="Arial" w:eastAsia="Arial" w:hAnsi="Arial"/>
          <w:sz w:val="22"/>
          <w:szCs w:val="22"/>
          <w:color w:val="auto"/>
        </w:rPr>
        <w:t xml:space="preserve">20.5 </w:t>
      </w: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In the event of a Change of Control of FibroGen, FibroGen shall give written notice to Astellas of such Change of Control and provide Astellas with all reasonably necessary information [*]. After such Change of Control notice, Astellas shall have [*] to decide (and notify FibroGen of its decision) whether to terminate this Agreement, with such termination to be a minimum of [*]. [*].</w:t>
      </w:r>
    </w:p>
    <w:p>
      <w:pPr>
        <w:spacing w:after="0" w:line="185" w:lineRule="exact"/>
        <w:rPr>
          <w:sz w:val="20"/>
          <w:szCs w:val="20"/>
          <w:color w:val="auto"/>
        </w:rPr>
      </w:pPr>
    </w:p>
    <w:p>
      <w:pPr>
        <w:jc w:val="both"/>
        <w:ind w:firstLine="814"/>
        <w:spacing w:after="0" w:line="249" w:lineRule="auto"/>
        <w:rPr>
          <w:sz w:val="20"/>
          <w:szCs w:val="20"/>
          <w:color w:val="auto"/>
        </w:rPr>
      </w:pPr>
      <w:r>
        <w:rPr>
          <w:rFonts w:ascii="Arial" w:cs="Arial" w:eastAsia="Arial" w:hAnsi="Arial"/>
          <w:sz w:val="21"/>
          <w:szCs w:val="21"/>
          <w:color w:val="auto"/>
        </w:rPr>
        <w:t xml:space="preserve">20.6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part of this Agreement shall be found to be invalid or unenforceable under applicable law in any jurisdiction, such part shall be ineffective only to the extent of such invalidity or unenforceability in such jurisdiction, without in any way affecting the remaining parts of this Agreement in that jurisdiction or the validity or enforceability of the Agreement as a whole in any other jurisdiction. In addition, the part that is ineffective shall be reformed in a mutually agreeable manner so as to as nearly approximate the intent of the Parties as possible.</w:t>
      </w:r>
    </w:p>
    <w:p>
      <w:pPr>
        <w:spacing w:after="0" w:line="178" w:lineRule="exact"/>
        <w:rPr>
          <w:sz w:val="20"/>
          <w:szCs w:val="20"/>
          <w:color w:val="auto"/>
        </w:rPr>
      </w:pPr>
    </w:p>
    <w:p>
      <w:pPr>
        <w:jc w:val="both"/>
        <w:ind w:firstLine="814"/>
        <w:spacing w:after="0" w:line="238" w:lineRule="auto"/>
        <w:rPr>
          <w:sz w:val="20"/>
          <w:szCs w:val="20"/>
          <w:color w:val="auto"/>
        </w:rPr>
      </w:pPr>
      <w:r>
        <w:rPr>
          <w:rFonts w:ascii="Arial" w:cs="Arial" w:eastAsia="Arial" w:hAnsi="Arial"/>
          <w:sz w:val="22"/>
          <w:szCs w:val="22"/>
          <w:color w:val="auto"/>
        </w:rPr>
        <w:t xml:space="preserve">20.7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Each of the Parties is an independent contractor and nothing herein contained shall be deemed to constitute the relationship of partners, joint venturers, nor of principal and agent between the Parties. Neither Party shall at any time enter into, incur, or hold itself out to Third Parties as having authority to enter into or incur, on behalf of the other Party, any commitment, expense, or liability whatsoever.</w:t>
      </w:r>
    </w:p>
    <w:p>
      <w:pPr>
        <w:spacing w:after="0" w:line="185" w:lineRule="exact"/>
        <w:rPr>
          <w:sz w:val="20"/>
          <w:szCs w:val="20"/>
          <w:color w:val="auto"/>
        </w:rPr>
      </w:pPr>
    </w:p>
    <w:p>
      <w:pPr>
        <w:jc w:val="both"/>
        <w:ind w:firstLine="814"/>
        <w:spacing w:after="0" w:line="246" w:lineRule="auto"/>
        <w:rPr>
          <w:sz w:val="20"/>
          <w:szCs w:val="20"/>
          <w:color w:val="auto"/>
        </w:rPr>
      </w:pPr>
      <w:r>
        <w:rPr>
          <w:rFonts w:ascii="Arial" w:cs="Arial" w:eastAsia="Arial" w:hAnsi="Arial"/>
          <w:sz w:val="21"/>
          <w:szCs w:val="21"/>
          <w:color w:val="auto"/>
        </w:rPr>
        <w:t xml:space="preserve">20.8 </w:t>
      </w:r>
      <w:r>
        <w:rPr>
          <w:rFonts w:ascii="Arial" w:cs="Arial" w:eastAsia="Arial" w:hAnsi="Arial"/>
          <w:sz w:val="21"/>
          <w:szCs w:val="21"/>
          <w:u w:val="single" w:color="auto"/>
          <w:color w:val="auto"/>
        </w:rPr>
        <w:t>Conflict</w:t>
      </w:r>
      <w:r>
        <w:rPr>
          <w:rFonts w:ascii="Arial" w:cs="Arial" w:eastAsia="Arial" w:hAnsi="Arial"/>
          <w:sz w:val="21"/>
          <w:szCs w:val="21"/>
          <w:color w:val="auto"/>
        </w:rPr>
        <w:t>. This Agreement is subject to the EU Collaboration Agreement. In the event of conflict between this Agreement and the EU Collaboration Agreement, the EU Collaboration Agreement shall govern. The terms and conditions of the body of this Agreement shall prevail in the event of a conflict between or among the provisions of the body of this Agreement and any Purchase Order or the Quality Agreement. Notwithstanding the foregoing, the Quality Agreement shall control with respect to Quality Matters as defined in Section 10.1 hereto. If there is any material conflict between a Purchase Order or an Order Acceptance and the terms and conditions of this Agreement, this Agreement prevails and such conflicting terms are rejected and of no effect, unless the Parties mutually agree otherwise in writing in a separate document or such wording is specifically stated in the Purchase Order as an amendment to this Agreement.</w:t>
      </w:r>
    </w:p>
    <w:p>
      <w:pPr>
        <w:spacing w:after="0" w:line="180" w:lineRule="exact"/>
        <w:rPr>
          <w:sz w:val="20"/>
          <w:szCs w:val="20"/>
          <w:color w:val="auto"/>
        </w:rPr>
      </w:pPr>
    </w:p>
    <w:p>
      <w:pPr>
        <w:jc w:val="both"/>
        <w:ind w:firstLine="814"/>
        <w:spacing w:after="0"/>
        <w:rPr>
          <w:sz w:val="20"/>
          <w:szCs w:val="20"/>
          <w:color w:val="auto"/>
        </w:rPr>
      </w:pPr>
      <w:r>
        <w:rPr>
          <w:rFonts w:ascii="Arial" w:cs="Arial" w:eastAsia="Arial" w:hAnsi="Arial"/>
          <w:sz w:val="22"/>
          <w:szCs w:val="22"/>
          <w:color w:val="auto"/>
        </w:rPr>
        <w:t xml:space="preserve">20.9 </w:t>
      </w:r>
      <w:r>
        <w:rPr>
          <w:rFonts w:ascii="Arial" w:cs="Arial" w:eastAsia="Arial" w:hAnsi="Arial"/>
          <w:sz w:val="22"/>
          <w:szCs w:val="22"/>
          <w:u w:val="single" w:color="auto"/>
          <w:color w:val="auto"/>
        </w:rPr>
        <w:t>Waiver</w:t>
      </w:r>
      <w:r>
        <w:rPr>
          <w:rFonts w:ascii="Arial" w:cs="Arial" w:eastAsia="Arial" w:hAnsi="Arial"/>
          <w:sz w:val="22"/>
          <w:szCs w:val="22"/>
          <w:color w:val="auto"/>
        </w:rPr>
        <w:t>. No waiver of any term, provision or condition of this Agreement whether by conduct or otherwise in any one or more instances shall be deemed to be or construed as a further or continuing waiver of any such term, provision or condition or of any other term, provision or condition of this Agreement.</w:t>
      </w:r>
    </w:p>
    <w:p>
      <w:pPr>
        <w:spacing w:after="0" w:line="186" w:lineRule="exact"/>
        <w:rPr>
          <w:sz w:val="20"/>
          <w:szCs w:val="20"/>
          <w:color w:val="auto"/>
        </w:rPr>
      </w:pPr>
    </w:p>
    <w:p>
      <w:pPr>
        <w:jc w:val="both"/>
        <w:ind w:firstLine="814"/>
        <w:spacing w:after="0" w:line="248" w:lineRule="auto"/>
        <w:rPr>
          <w:sz w:val="20"/>
          <w:szCs w:val="20"/>
          <w:color w:val="auto"/>
        </w:rPr>
      </w:pPr>
      <w:r>
        <w:rPr>
          <w:rFonts w:ascii="Arial" w:cs="Arial" w:eastAsia="Arial" w:hAnsi="Arial"/>
          <w:sz w:val="21"/>
          <w:szCs w:val="21"/>
          <w:color w:val="auto"/>
        </w:rPr>
        <w:t xml:space="preserve">20.10 </w:t>
      </w:r>
      <w:r>
        <w:rPr>
          <w:rFonts w:ascii="Arial" w:cs="Arial" w:eastAsia="Arial" w:hAnsi="Arial"/>
          <w:sz w:val="21"/>
          <w:szCs w:val="21"/>
          <w:u w:val="single" w:color="auto"/>
          <w:color w:val="auto"/>
        </w:rPr>
        <w:t>No Solicitation of Employees</w:t>
      </w:r>
      <w:r>
        <w:rPr>
          <w:rFonts w:ascii="Arial" w:cs="Arial" w:eastAsia="Arial" w:hAnsi="Arial"/>
          <w:sz w:val="21"/>
          <w:szCs w:val="21"/>
          <w:color w:val="auto"/>
        </w:rPr>
        <w:t>. During [*], each of the Parties agrees not to seek to induce or solicit any employee of the other Party or its Affiliates to discontinue his or her employment with the other Party or such Affiliate in order to become an employee or an independent contractor of the soliciting Party or its Affiliates; provided, however, that neither Party shall be in violation of this Section as a result of making a general solicitation for employees or independent contractors. For the avoidance of doubt, the publication of an advertisement, including without limitation advertisements posted on the internet or in trade journals, shall not constitute solicitation or inducement.</w:t>
      </w:r>
    </w:p>
    <w:p>
      <w:pPr>
        <w:spacing w:after="0" w:line="400"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jc w:val="both"/>
        <w:ind w:firstLine="814"/>
        <w:spacing w:after="0" w:line="249" w:lineRule="auto"/>
        <w:rPr>
          <w:sz w:val="20"/>
          <w:szCs w:val="20"/>
          <w:color w:val="auto"/>
        </w:rPr>
      </w:pPr>
      <w:r>
        <w:rPr>
          <w:rFonts w:ascii="Arial" w:cs="Arial" w:eastAsia="Arial" w:hAnsi="Arial"/>
          <w:sz w:val="21"/>
          <w:szCs w:val="21"/>
          <w:color w:val="auto"/>
        </w:rPr>
        <w:t xml:space="preserve">20.11 </w:t>
      </w:r>
      <w:r>
        <w:rPr>
          <w:rFonts w:ascii="Arial" w:cs="Arial" w:eastAsia="Arial" w:hAnsi="Arial"/>
          <w:sz w:val="21"/>
          <w:szCs w:val="21"/>
          <w:u w:val="single" w:color="auto"/>
          <w:color w:val="auto"/>
        </w:rPr>
        <w:t>Entirety; Amendments</w:t>
      </w:r>
      <w:r>
        <w:rPr>
          <w:rFonts w:ascii="Arial" w:cs="Arial" w:eastAsia="Arial" w:hAnsi="Arial"/>
          <w:sz w:val="21"/>
          <w:szCs w:val="21"/>
          <w:color w:val="auto"/>
        </w:rPr>
        <w:t>. This Agreement, including any ancillary documents attached hereto or referenced herein, constitutes the full understanding of the Parties and a complete and exclusive statement of the terms of their agreement with respect to the specific subject matter hereof except for the EU Collaboration Agreement, and no terms, conditions, understandings or agreements purporting to modify or vary the terms thereof shall be binding unless hereafter made in a written instrument referencing this Agreement and signed by each of the Parties.</w:t>
      </w:r>
    </w:p>
    <w:p>
      <w:pPr>
        <w:spacing w:after="0" w:line="178" w:lineRule="exact"/>
        <w:rPr>
          <w:sz w:val="20"/>
          <w:szCs w:val="20"/>
          <w:color w:val="auto"/>
        </w:rPr>
      </w:pPr>
    </w:p>
    <w:p>
      <w:pPr>
        <w:jc w:val="both"/>
        <w:ind w:firstLine="814"/>
        <w:spacing w:after="0" w:line="328" w:lineRule="auto"/>
        <w:rPr>
          <w:sz w:val="20"/>
          <w:szCs w:val="20"/>
          <w:color w:val="auto"/>
        </w:rPr>
      </w:pPr>
      <w:r>
        <w:rPr>
          <w:rFonts w:ascii="Arial" w:cs="Arial" w:eastAsia="Arial" w:hAnsi="Arial"/>
          <w:sz w:val="19"/>
          <w:szCs w:val="19"/>
          <w:color w:val="auto"/>
        </w:rPr>
        <w:t xml:space="preserve">20.12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and any amendment hereto may be executed in any number of counterparts, each of which shall for all purposes be deemed an original and all of which shall constitute the same instrument.</w:t>
      </w:r>
    </w:p>
    <w:p>
      <w:pPr>
        <w:spacing w:after="0" w:line="105" w:lineRule="exact"/>
        <w:rPr>
          <w:sz w:val="20"/>
          <w:szCs w:val="20"/>
          <w:color w:val="auto"/>
        </w:rPr>
      </w:pPr>
    </w:p>
    <w:p>
      <w:pPr>
        <w:jc w:val="both"/>
        <w:ind w:firstLine="814"/>
        <w:spacing w:after="0" w:line="246" w:lineRule="exact"/>
        <w:rPr>
          <w:sz w:val="20"/>
          <w:szCs w:val="20"/>
          <w:color w:val="auto"/>
        </w:rPr>
      </w:pPr>
      <w:r>
        <w:rPr>
          <w:rFonts w:ascii="Arial" w:cs="Arial" w:eastAsia="Arial" w:hAnsi="Arial"/>
          <w:sz w:val="19"/>
          <w:szCs w:val="19"/>
          <w:color w:val="auto"/>
        </w:rPr>
        <w:t xml:space="preserve">20.13 </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The Parties agree that execution of this Agreement shall be by e</w:t>
      </w:r>
      <w:r>
        <w:rPr>
          <w:rFonts w:ascii="MS PGothic" w:cs="MS PGothic" w:eastAsia="MS PGothic" w:hAnsi="MS PGothic"/>
          <w:sz w:val="19"/>
          <w:szCs w:val="19"/>
          <w:color w:val="auto"/>
        </w:rPr>
        <w:t>‑</w:t>
      </w:r>
      <w:r>
        <w:rPr>
          <w:rFonts w:ascii="Arial" w:cs="Arial" w:eastAsia="Arial" w:hAnsi="Arial"/>
          <w:sz w:val="19"/>
          <w:szCs w:val="19"/>
          <w:color w:val="auto"/>
        </w:rPr>
        <w:t>Signatures (as defined below), and when so executed, shall have the same legal force and effect as the exchange of original signatures. Pursuant to this Agreement, “</w:t>
      </w:r>
      <w:r>
        <w:rPr>
          <w:rFonts w:ascii="Arial" w:cs="Arial" w:eastAsia="Arial" w:hAnsi="Arial"/>
          <w:sz w:val="19"/>
          <w:szCs w:val="19"/>
          <w:b w:val="1"/>
          <w:bCs w:val="1"/>
          <w:color w:val="auto"/>
        </w:rPr>
        <w:t>e-Signatures</w:t>
      </w:r>
      <w:r>
        <w:rPr>
          <w:rFonts w:ascii="Arial" w:cs="Arial" w:eastAsia="Arial" w:hAnsi="Arial"/>
          <w:sz w:val="19"/>
          <w:szCs w:val="19"/>
          <w:color w:val="auto"/>
        </w:rPr>
        <w:t>” shall mean a signature that consists of one or more letters, characters, numbers or other symbols in digital form incorporated in, attached to or associated with the electronic document, that (a) is unique to the person making the signature; (b) the technology or process used to make the signature is under the sole control of the person making the signature; (c) the technology or process can be used to identify the person using the technology or process; and (d) the electronic signature can be linked with an electronic document in such a way that it can be used to determine whether the electronic document has been changed since the electronic signature was incorporated in, attached to or associated with the electronic document. For purposes of this Agreement, the Parties have agreed to execute via Docusign e-Signatures.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as of the Effective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gridSpan w:val="3"/>
          </w:tcPr>
          <w:p>
            <w:pPr>
              <w:ind w:left="860"/>
              <w:spacing w:after="0"/>
              <w:rPr>
                <w:sz w:val="20"/>
                <w:szCs w:val="20"/>
                <w:color w:val="auto"/>
              </w:rPr>
            </w:pPr>
            <w:r>
              <w:rPr>
                <w:rFonts w:ascii="Arial" w:cs="Arial" w:eastAsia="Arial" w:hAnsi="Arial"/>
                <w:sz w:val="22"/>
                <w:szCs w:val="22"/>
                <w:b w:val="1"/>
                <w:bCs w:val="1"/>
                <w:color w:val="auto"/>
              </w:rPr>
              <w:t>FIBROGEN, INC.</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gridSpan w:val="3"/>
          </w:tcPr>
          <w:p>
            <w:pPr>
              <w:ind w:left="180"/>
              <w:spacing w:after="0"/>
              <w:rPr>
                <w:sz w:val="20"/>
                <w:szCs w:val="20"/>
                <w:color w:val="auto"/>
              </w:rPr>
            </w:pPr>
            <w:r>
              <w:rPr>
                <w:rFonts w:ascii="Arial" w:cs="Arial" w:eastAsia="Arial" w:hAnsi="Arial"/>
                <w:sz w:val="22"/>
                <w:szCs w:val="22"/>
                <w:b w:val="1"/>
                <w:bCs w:val="1"/>
                <w:color w:val="auto"/>
              </w:rPr>
              <w:t>ASTELLAS PHARMA EUROPE LTD.</w:t>
            </w:r>
          </w:p>
        </w:tc>
      </w:tr>
      <w:tr>
        <w:trPr>
          <w:trHeight w:val="557"/>
        </w:trPr>
        <w:tc>
          <w:tcPr>
            <w:tcW w:w="3760" w:type="dxa"/>
            <w:vAlign w:val="bottom"/>
            <w:gridSpan w:val="3"/>
          </w:tcPr>
          <w:p>
            <w:pPr>
              <w:ind w:left="860"/>
              <w:spacing w:after="0"/>
              <w:rPr>
                <w:sz w:val="20"/>
                <w:szCs w:val="20"/>
                <w:color w:val="auto"/>
              </w:rPr>
            </w:pPr>
            <w:r>
              <w:rPr>
                <w:rFonts w:ascii="Arial" w:cs="Arial" w:eastAsia="Arial" w:hAnsi="Arial"/>
                <w:sz w:val="22"/>
                <w:szCs w:val="22"/>
                <w:color w:val="auto"/>
              </w:rPr>
              <w:t>By:   /s/ Michael Martinelli</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gridSpan w:val="3"/>
          </w:tcPr>
          <w:p>
            <w:pPr>
              <w:ind w:left="180"/>
              <w:spacing w:after="0"/>
              <w:rPr>
                <w:sz w:val="20"/>
                <w:szCs w:val="20"/>
                <w:color w:val="auto"/>
              </w:rPr>
            </w:pPr>
            <w:r>
              <w:rPr>
                <w:rFonts w:ascii="Arial" w:cs="Arial" w:eastAsia="Arial" w:hAnsi="Arial"/>
                <w:sz w:val="22"/>
                <w:szCs w:val="22"/>
                <w:color w:val="auto"/>
              </w:rPr>
              <w:t>By:   /s/ Adam Pearson</w:t>
            </w:r>
          </w:p>
        </w:tc>
      </w:tr>
      <w:tr>
        <w:trPr>
          <w:trHeight w:val="20"/>
        </w:trPr>
        <w:tc>
          <w:tcPr>
            <w:tcW w:w="144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45"/>
        </w:trPr>
        <w:tc>
          <w:tcPr>
            <w:tcW w:w="3760" w:type="dxa"/>
            <w:vAlign w:val="bottom"/>
            <w:gridSpan w:val="3"/>
          </w:tcPr>
          <w:p>
            <w:pPr>
              <w:ind w:left="860"/>
              <w:spacing w:after="0"/>
              <w:rPr>
                <w:sz w:val="20"/>
                <w:szCs w:val="20"/>
                <w:color w:val="auto"/>
              </w:rPr>
            </w:pPr>
            <w:r>
              <w:rPr>
                <w:rFonts w:ascii="Arial" w:cs="Arial" w:eastAsia="Arial" w:hAnsi="Arial"/>
                <w:sz w:val="22"/>
                <w:szCs w:val="22"/>
                <w:color w:val="auto"/>
                <w:w w:val="99"/>
              </w:rPr>
              <w:t>Name:Michael Martinelli, PhD</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gridSpan w:val="3"/>
          </w:tcPr>
          <w:p>
            <w:pPr>
              <w:ind w:left="180"/>
              <w:spacing w:after="0"/>
              <w:rPr>
                <w:sz w:val="20"/>
                <w:szCs w:val="20"/>
                <w:color w:val="auto"/>
              </w:rPr>
            </w:pPr>
            <w:r>
              <w:rPr>
                <w:rFonts w:ascii="Arial" w:cs="Arial" w:eastAsia="Arial" w:hAnsi="Arial"/>
                <w:sz w:val="22"/>
                <w:szCs w:val="22"/>
                <w:color w:val="auto"/>
              </w:rPr>
              <w:t>Name:Adam Pearson</w:t>
            </w: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23"/>
        </w:trPr>
        <w:tc>
          <w:tcPr>
            <w:tcW w:w="1960" w:type="dxa"/>
            <w:vAlign w:val="bottom"/>
            <w:gridSpan w:val="2"/>
          </w:tcPr>
          <w:p>
            <w:pPr>
              <w:ind w:left="860"/>
              <w:spacing w:after="0"/>
              <w:rPr>
                <w:sz w:val="20"/>
                <w:szCs w:val="20"/>
                <w:color w:val="auto"/>
              </w:rPr>
            </w:pPr>
            <w:r>
              <w:rPr>
                <w:rFonts w:ascii="Arial" w:cs="Arial" w:eastAsia="Arial" w:hAnsi="Arial"/>
                <w:sz w:val="22"/>
                <w:szCs w:val="22"/>
                <w:color w:val="auto"/>
              </w:rPr>
              <w:t>Title: VP,</w:t>
            </w:r>
          </w:p>
        </w:tc>
        <w:tc>
          <w:tcPr>
            <w:tcW w:w="1800" w:type="dxa"/>
            <w:vAlign w:val="bottom"/>
          </w:tcPr>
          <w:p>
            <w:pPr>
              <w:ind w:left="240"/>
              <w:spacing w:after="0"/>
              <w:rPr>
                <w:sz w:val="20"/>
                <w:szCs w:val="20"/>
                <w:color w:val="auto"/>
              </w:rPr>
            </w:pPr>
            <w:r>
              <w:rPr>
                <w:rFonts w:ascii="Arial" w:cs="Arial" w:eastAsia="Arial" w:hAnsi="Arial"/>
                <w:sz w:val="22"/>
                <w:szCs w:val="22"/>
                <w:color w:val="auto"/>
              </w:rPr>
              <w:t>Pharmaceutical</w:t>
            </w:r>
          </w:p>
        </w:tc>
        <w:tc>
          <w:tcPr>
            <w:tcW w:w="2140" w:type="dxa"/>
            <w:vAlign w:val="bottom"/>
            <w:gridSpan w:val="2"/>
          </w:tcPr>
          <w:p>
            <w:pPr>
              <w:jc w:val="right"/>
              <w:ind w:right="650"/>
              <w:spacing w:after="0"/>
              <w:rPr>
                <w:sz w:val="20"/>
                <w:szCs w:val="20"/>
                <w:color w:val="auto"/>
              </w:rPr>
            </w:pPr>
            <w:r>
              <w:rPr>
                <w:rFonts w:ascii="Arial" w:cs="Arial" w:eastAsia="Arial" w:hAnsi="Arial"/>
                <w:sz w:val="22"/>
                <w:szCs w:val="22"/>
                <w:color w:val="auto"/>
              </w:rPr>
              <w:t>Development</w:t>
            </w:r>
          </w:p>
        </w:tc>
        <w:tc>
          <w:tcPr>
            <w:tcW w:w="5340" w:type="dxa"/>
            <w:vAlign w:val="bottom"/>
            <w:gridSpan w:val="3"/>
          </w:tcPr>
          <w:p>
            <w:pPr>
              <w:ind w:left="180"/>
              <w:spacing w:after="0"/>
              <w:rPr>
                <w:sz w:val="20"/>
                <w:szCs w:val="20"/>
                <w:color w:val="auto"/>
              </w:rPr>
            </w:pPr>
            <w:r>
              <w:rPr>
                <w:rFonts w:ascii="Arial" w:cs="Arial" w:eastAsia="Arial" w:hAnsi="Arial"/>
                <w:sz w:val="22"/>
                <w:szCs w:val="22"/>
                <w:color w:val="auto"/>
              </w:rPr>
              <w:t>Title: SVP, Head of Corporate Planning</w:t>
            </w:r>
          </w:p>
        </w:tc>
      </w:tr>
      <w:tr>
        <w:trPr>
          <w:trHeight w:val="264"/>
        </w:trPr>
        <w:tc>
          <w:tcPr>
            <w:tcW w:w="5900" w:type="dxa"/>
            <w:vAlign w:val="bottom"/>
            <w:gridSpan w:val="5"/>
          </w:tcPr>
          <w:p>
            <w:pPr>
              <w:ind w:left="1440"/>
              <w:spacing w:after="0"/>
              <w:rPr>
                <w:sz w:val="20"/>
                <w:szCs w:val="20"/>
                <w:color w:val="auto"/>
              </w:rPr>
            </w:pPr>
            <w:r>
              <w:rPr>
                <w:rFonts w:ascii="Arial" w:cs="Arial" w:eastAsia="Arial" w:hAnsi="Arial"/>
                <w:sz w:val="22"/>
                <w:szCs w:val="22"/>
                <w:color w:val="auto"/>
              </w:rPr>
              <w:t>Manufacturing and Technical Operations</w:t>
            </w:r>
          </w:p>
        </w:tc>
        <w:tc>
          <w:tcPr>
            <w:tcW w:w="7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0"/>
        </w:trPr>
        <w:tc>
          <w:tcPr>
            <w:tcW w:w="144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45"/>
        </w:trPr>
        <w:tc>
          <w:tcPr>
            <w:tcW w:w="3760" w:type="dxa"/>
            <w:vAlign w:val="bottom"/>
            <w:gridSpan w:val="3"/>
          </w:tcPr>
          <w:p>
            <w:pPr>
              <w:ind w:left="860"/>
              <w:spacing w:after="0"/>
              <w:rPr>
                <w:sz w:val="20"/>
                <w:szCs w:val="20"/>
                <w:color w:val="auto"/>
              </w:rPr>
            </w:pPr>
            <w:r>
              <w:rPr>
                <w:rFonts w:ascii="Arial" w:cs="Arial" w:eastAsia="Arial" w:hAnsi="Arial"/>
                <w:sz w:val="22"/>
                <w:szCs w:val="22"/>
                <w:color w:val="auto"/>
              </w:rPr>
              <w:t>Date: 1/12/2021</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gridSpan w:val="3"/>
          </w:tcPr>
          <w:p>
            <w:pPr>
              <w:ind w:left="180"/>
              <w:spacing w:after="0"/>
              <w:rPr>
                <w:sz w:val="20"/>
                <w:szCs w:val="20"/>
                <w:color w:val="auto"/>
              </w:rPr>
            </w:pPr>
            <w:r>
              <w:rPr>
                <w:rFonts w:ascii="Arial" w:cs="Arial" w:eastAsia="Arial" w:hAnsi="Arial"/>
                <w:sz w:val="22"/>
                <w:szCs w:val="22"/>
                <w:color w:val="auto"/>
              </w:rPr>
              <w:t>Date: 1/13/2021</w:t>
            </w: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885"/>
        </w:trPr>
        <w:tc>
          <w:tcPr>
            <w:tcW w:w="1440" w:type="dxa"/>
            <w:vAlign w:val="bottom"/>
          </w:tcPr>
          <w:p>
            <w:pPr>
              <w:spacing w:after="0"/>
              <w:rPr>
                <w:sz w:val="20"/>
                <w:szCs w:val="20"/>
                <w:color w:val="auto"/>
              </w:rPr>
            </w:pPr>
            <w:r>
              <w:rPr>
                <w:rFonts w:ascii="Arial" w:cs="Arial" w:eastAsia="Arial" w:hAnsi="Arial"/>
                <w:sz w:val="18"/>
                <w:szCs w:val="18"/>
                <w:color w:val="auto"/>
              </w:rPr>
              <w:t>REF: 00033249.0</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24"/>
                <w:szCs w:val="24"/>
                <w:color w:val="auto"/>
              </w:rPr>
            </w:pPr>
          </w:p>
        </w:tc>
        <w:tc>
          <w:tcPr>
            <w:tcW w:w="4580" w:type="dxa"/>
            <w:vAlign w:val="bottom"/>
            <w:gridSpan w:val="2"/>
          </w:tcPr>
          <w:p>
            <w:pPr>
              <w:ind w:left="3680"/>
              <w:spacing w:after="0"/>
              <w:rPr>
                <w:sz w:val="20"/>
                <w:szCs w:val="20"/>
                <w:color w:val="auto"/>
              </w:rPr>
            </w:pPr>
            <w:r>
              <w:rPr>
                <w:rFonts w:ascii="Arial" w:cs="Arial" w:eastAsia="Arial" w:hAnsi="Arial"/>
                <w:sz w:val="18"/>
                <w:szCs w:val="18"/>
                <w:color w:val="auto"/>
                <w:w w:val="92"/>
              </w:rPr>
              <w:t>Confidential</w:t>
            </w:r>
          </w:p>
        </w:tc>
      </w:tr>
    </w:tbl>
    <w:p>
      <w:pPr>
        <w:spacing w:after="0" w:line="107" w:lineRule="exact"/>
        <w:rPr>
          <w:sz w:val="20"/>
          <w:szCs w:val="20"/>
          <w:color w:val="auto"/>
        </w:rPr>
      </w:pPr>
    </w:p>
    <w:p>
      <w:pPr>
        <w:ind w:right="220" w:firstLine="8"/>
        <w:spacing w:after="0" w:line="277"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0"/>
          <w:szCs w:val="20"/>
          <w:b w:val="1"/>
          <w:bCs w:val="1"/>
          <w:u w:val="single" w:color="auto"/>
          <w:color w:val="auto"/>
        </w:rPr>
        <w:t>E</w:t>
      </w:r>
      <w:r>
        <w:rPr>
          <w:rFonts w:ascii="Arial" w:cs="Arial" w:eastAsia="Arial" w:hAnsi="Arial"/>
          <w:sz w:val="13"/>
          <w:szCs w:val="13"/>
          <w:b w:val="1"/>
          <w:bCs w:val="1"/>
          <w:u w:val="single" w:color="auto"/>
          <w:color w:val="auto"/>
        </w:rPr>
        <w:t>XHIBIT</w:t>
      </w:r>
      <w:r>
        <w:rPr>
          <w:rFonts w:ascii="Arial" w:cs="Arial" w:eastAsia="Arial" w:hAnsi="Arial"/>
          <w:sz w:val="20"/>
          <w:szCs w:val="20"/>
          <w:b w:val="1"/>
          <w:bCs w:val="1"/>
          <w:u w:val="single" w:color="auto"/>
          <w:color w:val="auto"/>
        </w:rPr>
        <w:t xml:space="preserve">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Confidential</w:t>
      </w:r>
    </w:p>
    <w:p>
      <w:pPr>
        <w:spacing w:after="0" w:line="131" w:lineRule="exact"/>
        <w:rPr>
          <w:sz w:val="20"/>
          <w:szCs w:val="20"/>
          <w:color w:val="auto"/>
        </w:rPr>
      </w:pPr>
    </w:p>
    <w:p>
      <w:pPr>
        <w:ind w:right="220" w:firstLine="8"/>
        <w:spacing w:after="0" w:line="277"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Pricing Calculations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RODUCT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ECONCILIATION</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RACKING</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Reconciliation Example</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color w:val="000000"/>
        </w:rPr>
        <w:t>[</w:t>
      </w:r>
      <w:r>
        <w:rPr>
          <w:rFonts w:ascii="Arial" w:cs="Arial" w:eastAsia="Arial" w:hAnsi="Arial"/>
          <w:sz w:val="22"/>
          <w:szCs w:val="22"/>
          <w:i w:val="1"/>
          <w:iCs w:val="1"/>
          <w:color w:val="000000"/>
        </w:rPr>
        <w:t>*</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-160020</wp:posOffset>
            </wp:positionV>
            <wp:extent cx="6060440" cy="3463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060440" cy="3463290"/>
                    </a:xfrm>
                    <a:prstGeom prst="rect">
                      <a:avLst/>
                    </a:prstGeom>
                    <a:noFill/>
                  </pic:spPr>
                </pic:pic>
              </a:graphicData>
            </a:graphic>
          </wp:anchor>
        </w:drawing>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4"/>
              </w:rPr>
              <w:t>[*]</w:t>
            </w:r>
          </w:p>
        </w:tc>
        <w:tc>
          <w:tcPr>
            <w:tcW w:w="4380" w:type="dxa"/>
            <w:vAlign w:val="bottom"/>
          </w:tcPr>
          <w:p>
            <w:pPr>
              <w:spacing w:after="0"/>
              <w:rPr>
                <w:sz w:val="21"/>
                <w:szCs w:val="21"/>
                <w:color w:val="auto"/>
              </w:rPr>
            </w:pPr>
          </w:p>
        </w:tc>
        <w:tc>
          <w:tcPr>
            <w:tcW w:w="2800" w:type="dxa"/>
            <w:vAlign w:val="bottom"/>
          </w:tcPr>
          <w:p>
            <w:pPr>
              <w:jc w:val="right"/>
              <w:ind w:right="1432"/>
              <w:spacing w:after="0"/>
              <w:rPr>
                <w:sz w:val="20"/>
                <w:szCs w:val="20"/>
                <w:color w:val="auto"/>
              </w:rPr>
            </w:pPr>
            <w:r>
              <w:rPr>
                <w:rFonts w:ascii="Arial" w:cs="Arial" w:eastAsia="Arial" w:hAnsi="Arial"/>
                <w:sz w:val="22"/>
                <w:szCs w:val="22"/>
                <w:b w:val="1"/>
                <w:bCs w:val="1"/>
                <w:color w:val="auto"/>
              </w:rPr>
              <w:t>[*]</w:t>
            </w:r>
          </w:p>
        </w:tc>
        <w:tc>
          <w:tcPr>
            <w:tcW w:w="1900" w:type="dxa"/>
            <w:vAlign w:val="bottom"/>
          </w:tcPr>
          <w:p>
            <w:pPr>
              <w:jc w:val="right"/>
              <w:ind w:right="992"/>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jc w:val="right"/>
              <w:ind w:right="418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620" w:type="dxa"/>
            <w:vAlign w:val="bottom"/>
            <w:gridSpan w:val="2"/>
            <w:vMerge w:val="continue"/>
          </w:tcPr>
          <w:p>
            <w:pPr>
              <w:spacing w:after="0"/>
              <w:rPr>
                <w:sz w:val="18"/>
                <w:szCs w:val="18"/>
                <w:color w:val="auto"/>
              </w:rPr>
            </w:pPr>
          </w:p>
        </w:tc>
        <w:tc>
          <w:tcPr>
            <w:tcW w:w="280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w:t>
            </w:r>
          </w:p>
        </w:tc>
        <w:tc>
          <w:tcPr>
            <w:tcW w:w="190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620" w:type="dxa"/>
            <w:vAlign w:val="bottom"/>
            <w:gridSpan w:val="2"/>
          </w:tcPr>
          <w:p>
            <w:pPr>
              <w:jc w:val="right"/>
              <w:ind w:right="3980"/>
              <w:spacing w:after="0" w:line="243" w:lineRule="exact"/>
              <w:rPr>
                <w:sz w:val="20"/>
                <w:szCs w:val="20"/>
                <w:color w:val="auto"/>
              </w:rPr>
            </w:pPr>
            <w:r>
              <w:rPr>
                <w:rFonts w:ascii="Arial" w:cs="Arial" w:eastAsia="Arial" w:hAnsi="Arial"/>
                <w:sz w:val="22"/>
                <w:szCs w:val="22"/>
                <w:color w:val="auto"/>
              </w:rPr>
              <w:t>[*]</w:t>
            </w:r>
          </w:p>
        </w:tc>
        <w:tc>
          <w:tcPr>
            <w:tcW w:w="28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620" w:type="dxa"/>
            <w:vAlign w:val="bottom"/>
            <w:gridSpan w:val="2"/>
          </w:tcPr>
          <w:p>
            <w:pPr>
              <w:jc w:val="right"/>
              <w:ind w:right="3980"/>
              <w:spacing w:after="0" w:line="243" w:lineRule="exact"/>
              <w:rPr>
                <w:sz w:val="20"/>
                <w:szCs w:val="20"/>
                <w:color w:val="auto"/>
              </w:rPr>
            </w:pPr>
            <w:r>
              <w:rPr>
                <w:rFonts w:ascii="Arial" w:cs="Arial" w:eastAsia="Arial" w:hAnsi="Arial"/>
                <w:sz w:val="22"/>
                <w:szCs w:val="22"/>
                <w:color w:val="auto"/>
              </w:rPr>
              <w:t>[*]</w:t>
            </w:r>
          </w:p>
        </w:tc>
        <w:tc>
          <w:tcPr>
            <w:tcW w:w="28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620" w:type="dxa"/>
            <w:vAlign w:val="bottom"/>
            <w:gridSpan w:val="2"/>
          </w:tcPr>
          <w:p>
            <w:pPr>
              <w:jc w:val="right"/>
              <w:ind w:right="3980"/>
              <w:spacing w:after="0" w:line="243" w:lineRule="exact"/>
              <w:rPr>
                <w:sz w:val="20"/>
                <w:szCs w:val="20"/>
                <w:color w:val="auto"/>
              </w:rPr>
            </w:pPr>
            <w:r>
              <w:rPr>
                <w:rFonts w:ascii="Arial" w:cs="Arial" w:eastAsia="Arial" w:hAnsi="Arial"/>
                <w:sz w:val="22"/>
                <w:szCs w:val="22"/>
                <w:color w:val="auto"/>
              </w:rPr>
              <w:t>[*]</w:t>
            </w:r>
          </w:p>
        </w:tc>
        <w:tc>
          <w:tcPr>
            <w:tcW w:w="28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jc w:val="right"/>
              <w:ind w:right="418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4620" w:type="dxa"/>
            <w:vAlign w:val="bottom"/>
            <w:gridSpan w:val="2"/>
            <w:vMerge w:val="continue"/>
          </w:tcPr>
          <w:p>
            <w:pPr>
              <w:spacing w:after="0"/>
              <w:rPr>
                <w:sz w:val="23"/>
                <w:szCs w:val="23"/>
                <w:color w:val="auto"/>
              </w:rPr>
            </w:pPr>
          </w:p>
        </w:tc>
        <w:tc>
          <w:tcPr>
            <w:tcW w:w="2800" w:type="dxa"/>
            <w:vAlign w:val="bottom"/>
          </w:tcPr>
          <w:p>
            <w:pPr>
              <w:jc w:val="right"/>
              <w:ind w:right="432"/>
              <w:spacing w:after="0"/>
              <w:rPr>
                <w:sz w:val="20"/>
                <w:szCs w:val="20"/>
                <w:color w:val="auto"/>
              </w:rPr>
            </w:pPr>
            <w:r>
              <w:rPr>
                <w:rFonts w:ascii="Arial" w:cs="Arial" w:eastAsia="Arial" w:hAnsi="Arial"/>
                <w:sz w:val="22"/>
                <w:szCs w:val="22"/>
                <w:b w:val="1"/>
                <w:bCs w:val="1"/>
                <w:color w:val="auto"/>
              </w:rPr>
              <w:t>[*]</w:t>
            </w:r>
          </w:p>
        </w:tc>
        <w:tc>
          <w:tcPr>
            <w:tcW w:w="190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08"/>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4"/>
              </w:rPr>
              <w:t>[*]</w:t>
            </w:r>
          </w:p>
        </w:tc>
        <w:tc>
          <w:tcPr>
            <w:tcW w:w="4380" w:type="dxa"/>
            <w:vAlign w:val="bottom"/>
          </w:tcPr>
          <w:p>
            <w:pPr>
              <w:spacing w:after="0"/>
              <w:rPr>
                <w:sz w:val="24"/>
                <w:szCs w:val="24"/>
                <w:color w:val="auto"/>
              </w:rPr>
            </w:pPr>
          </w:p>
        </w:tc>
        <w:tc>
          <w:tcPr>
            <w:tcW w:w="2800" w:type="dxa"/>
            <w:vAlign w:val="bottom"/>
            <w:vMerge w:val="restart"/>
          </w:tcPr>
          <w:p>
            <w:pPr>
              <w:jc w:val="right"/>
              <w:ind w:right="432"/>
              <w:spacing w:after="0"/>
              <w:rPr>
                <w:sz w:val="20"/>
                <w:szCs w:val="20"/>
                <w:color w:val="auto"/>
              </w:rPr>
            </w:pPr>
            <w:r>
              <w:rPr>
                <w:rFonts w:ascii="Arial" w:cs="Arial" w:eastAsia="Arial" w:hAnsi="Arial"/>
                <w:sz w:val="22"/>
                <w:szCs w:val="22"/>
                <w:color w:val="auto"/>
              </w:rPr>
              <w:t>[*]</w:t>
            </w:r>
          </w:p>
        </w:tc>
        <w:tc>
          <w:tcPr>
            <w:tcW w:w="19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4620" w:type="dxa"/>
            <w:vAlign w:val="bottom"/>
            <w:gridSpan w:val="2"/>
          </w:tcPr>
          <w:p>
            <w:pPr>
              <w:jc w:val="right"/>
              <w:ind w:right="3980"/>
              <w:spacing w:after="0"/>
              <w:rPr>
                <w:sz w:val="20"/>
                <w:szCs w:val="20"/>
                <w:color w:val="auto"/>
              </w:rPr>
            </w:pPr>
            <w:r>
              <w:rPr>
                <w:rFonts w:ascii="Arial" w:cs="Arial" w:eastAsia="Arial" w:hAnsi="Arial"/>
                <w:sz w:val="22"/>
                <w:szCs w:val="22"/>
                <w:color w:val="auto"/>
              </w:rPr>
              <w:t>[*]</w:t>
            </w:r>
          </w:p>
        </w:tc>
        <w:tc>
          <w:tcPr>
            <w:tcW w:w="280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4620" w:type="dxa"/>
            <w:vAlign w:val="bottom"/>
            <w:gridSpan w:val="2"/>
          </w:tcPr>
          <w:p>
            <w:pPr>
              <w:jc w:val="right"/>
              <w:ind w:right="3980"/>
              <w:spacing w:after="0"/>
              <w:rPr>
                <w:sz w:val="20"/>
                <w:szCs w:val="20"/>
                <w:color w:val="auto"/>
              </w:rPr>
            </w:pPr>
            <w:r>
              <w:rPr>
                <w:rFonts w:ascii="Arial" w:cs="Arial" w:eastAsia="Arial" w:hAnsi="Arial"/>
                <w:sz w:val="22"/>
                <w:szCs w:val="22"/>
                <w:color w:val="auto"/>
              </w:rPr>
              <w:t>[*]</w:t>
            </w:r>
          </w:p>
        </w:tc>
        <w:tc>
          <w:tcPr>
            <w:tcW w:w="280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620" w:type="dxa"/>
            <w:vAlign w:val="bottom"/>
            <w:gridSpan w:val="2"/>
          </w:tcPr>
          <w:p>
            <w:pPr>
              <w:jc w:val="right"/>
              <w:ind w:right="3980"/>
              <w:spacing w:after="0" w:line="243" w:lineRule="exact"/>
              <w:rPr>
                <w:sz w:val="20"/>
                <w:szCs w:val="20"/>
                <w:color w:val="auto"/>
              </w:rPr>
            </w:pPr>
            <w:r>
              <w:rPr>
                <w:rFonts w:ascii="Arial" w:cs="Arial" w:eastAsia="Arial" w:hAnsi="Arial"/>
                <w:sz w:val="22"/>
                <w:szCs w:val="22"/>
                <w:color w:val="auto"/>
              </w:rPr>
              <w:t>[*]</w:t>
            </w:r>
          </w:p>
        </w:tc>
        <w:tc>
          <w:tcPr>
            <w:tcW w:w="28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jc w:val="right"/>
              <w:ind w:right="418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4620" w:type="dxa"/>
            <w:vAlign w:val="bottom"/>
            <w:gridSpan w:val="2"/>
            <w:vMerge w:val="continue"/>
          </w:tcPr>
          <w:p>
            <w:pPr>
              <w:spacing w:after="0"/>
              <w:rPr>
                <w:sz w:val="23"/>
                <w:szCs w:val="23"/>
                <w:color w:val="auto"/>
              </w:rPr>
            </w:pPr>
          </w:p>
        </w:tc>
        <w:tc>
          <w:tcPr>
            <w:tcW w:w="2800" w:type="dxa"/>
            <w:vAlign w:val="bottom"/>
          </w:tcPr>
          <w:p>
            <w:pPr>
              <w:jc w:val="right"/>
              <w:ind w:right="432"/>
              <w:spacing w:after="0"/>
              <w:rPr>
                <w:sz w:val="20"/>
                <w:szCs w:val="20"/>
                <w:color w:val="auto"/>
              </w:rPr>
            </w:pPr>
            <w:r>
              <w:rPr>
                <w:rFonts w:ascii="Arial" w:cs="Arial" w:eastAsia="Arial" w:hAnsi="Arial"/>
                <w:sz w:val="22"/>
                <w:szCs w:val="22"/>
                <w:b w:val="1"/>
                <w:bCs w:val="1"/>
                <w:color w:val="auto"/>
              </w:rPr>
              <w:t>[*]</w:t>
            </w:r>
          </w:p>
        </w:tc>
        <w:tc>
          <w:tcPr>
            <w:tcW w:w="190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08"/>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4"/>
              </w:rPr>
              <w:t>[*]</w:t>
            </w:r>
          </w:p>
        </w:tc>
        <w:tc>
          <w:tcPr>
            <w:tcW w:w="4380" w:type="dxa"/>
            <w:vAlign w:val="bottom"/>
          </w:tcPr>
          <w:p>
            <w:pPr>
              <w:spacing w:after="0"/>
              <w:rPr>
                <w:sz w:val="24"/>
                <w:szCs w:val="24"/>
                <w:color w:val="auto"/>
              </w:rPr>
            </w:pPr>
          </w:p>
        </w:tc>
        <w:tc>
          <w:tcPr>
            <w:tcW w:w="2800" w:type="dxa"/>
            <w:vAlign w:val="bottom"/>
            <w:vMerge w:val="restart"/>
          </w:tcPr>
          <w:p>
            <w:pPr>
              <w:jc w:val="right"/>
              <w:ind w:right="432"/>
              <w:spacing w:after="0"/>
              <w:rPr>
                <w:sz w:val="20"/>
                <w:szCs w:val="20"/>
                <w:color w:val="auto"/>
              </w:rPr>
            </w:pPr>
            <w:r>
              <w:rPr>
                <w:rFonts w:ascii="Arial" w:cs="Arial" w:eastAsia="Arial" w:hAnsi="Arial"/>
                <w:sz w:val="22"/>
                <w:szCs w:val="22"/>
                <w:color w:val="auto"/>
              </w:rPr>
              <w:t>[*]</w:t>
            </w:r>
          </w:p>
        </w:tc>
        <w:tc>
          <w:tcPr>
            <w:tcW w:w="19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2"/>
        </w:trPr>
        <w:tc>
          <w:tcPr>
            <w:tcW w:w="4620" w:type="dxa"/>
            <w:vAlign w:val="bottom"/>
            <w:gridSpan w:val="2"/>
          </w:tcPr>
          <w:p>
            <w:pPr>
              <w:jc w:val="right"/>
              <w:ind w:right="3980"/>
              <w:spacing w:after="0" w:line="242" w:lineRule="exact"/>
              <w:rPr>
                <w:sz w:val="20"/>
                <w:szCs w:val="20"/>
                <w:color w:val="auto"/>
              </w:rPr>
            </w:pPr>
            <w:r>
              <w:rPr>
                <w:rFonts w:ascii="Arial" w:cs="Arial" w:eastAsia="Arial" w:hAnsi="Arial"/>
                <w:sz w:val="22"/>
                <w:szCs w:val="22"/>
                <w:color w:val="auto"/>
              </w:rPr>
              <w:t>[*]</w:t>
            </w:r>
          </w:p>
        </w:tc>
        <w:tc>
          <w:tcPr>
            <w:tcW w:w="2800" w:type="dxa"/>
            <w:vAlign w:val="bottom"/>
            <w:vMerge w:val="continue"/>
          </w:tcPr>
          <w:p>
            <w:pPr>
              <w:spacing w:after="0"/>
              <w:rPr>
                <w:sz w:val="21"/>
                <w:szCs w:val="21"/>
                <w:color w:val="auto"/>
              </w:rPr>
            </w:pPr>
          </w:p>
        </w:tc>
        <w:tc>
          <w:tcPr>
            <w:tcW w:w="1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jc w:val="right"/>
              <w:ind w:right="3980"/>
              <w:spacing w:after="0" w:line="243" w:lineRule="exact"/>
              <w:rPr>
                <w:sz w:val="20"/>
                <w:szCs w:val="20"/>
                <w:color w:val="auto"/>
              </w:rPr>
            </w:pPr>
            <w:r>
              <w:rPr>
                <w:rFonts w:ascii="Arial" w:cs="Arial" w:eastAsia="Arial" w:hAnsi="Arial"/>
                <w:sz w:val="22"/>
                <w:szCs w:val="22"/>
                <w:color w:val="auto"/>
              </w:rPr>
              <w:t>[*]</w:t>
            </w:r>
          </w:p>
        </w:tc>
        <w:tc>
          <w:tcPr>
            <w:tcW w:w="28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620" w:type="dxa"/>
            <w:vAlign w:val="bottom"/>
            <w:gridSpan w:val="2"/>
          </w:tcPr>
          <w:p>
            <w:pPr>
              <w:jc w:val="right"/>
              <w:ind w:right="3980"/>
              <w:spacing w:after="0" w:line="243" w:lineRule="exact"/>
              <w:rPr>
                <w:sz w:val="20"/>
                <w:szCs w:val="20"/>
                <w:color w:val="auto"/>
              </w:rPr>
            </w:pPr>
            <w:r>
              <w:rPr>
                <w:rFonts w:ascii="Arial" w:cs="Arial" w:eastAsia="Arial" w:hAnsi="Arial"/>
                <w:sz w:val="22"/>
                <w:szCs w:val="22"/>
                <w:color w:val="auto"/>
              </w:rPr>
              <w:t>[*]</w:t>
            </w:r>
          </w:p>
        </w:tc>
        <w:tc>
          <w:tcPr>
            <w:tcW w:w="28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jc w:val="right"/>
              <w:ind w:right="418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4620" w:type="dxa"/>
            <w:vAlign w:val="bottom"/>
            <w:gridSpan w:val="2"/>
            <w:vMerge w:val="continue"/>
          </w:tcPr>
          <w:p>
            <w:pPr>
              <w:spacing w:after="0"/>
              <w:rPr>
                <w:sz w:val="23"/>
                <w:szCs w:val="23"/>
                <w:color w:val="auto"/>
              </w:rPr>
            </w:pPr>
          </w:p>
        </w:tc>
        <w:tc>
          <w:tcPr>
            <w:tcW w:w="2800" w:type="dxa"/>
            <w:vAlign w:val="bottom"/>
          </w:tcPr>
          <w:p>
            <w:pPr>
              <w:jc w:val="right"/>
              <w:ind w:right="432"/>
              <w:spacing w:after="0"/>
              <w:rPr>
                <w:sz w:val="20"/>
                <w:szCs w:val="20"/>
                <w:color w:val="auto"/>
              </w:rPr>
            </w:pPr>
            <w:r>
              <w:rPr>
                <w:rFonts w:ascii="Arial" w:cs="Arial" w:eastAsia="Arial" w:hAnsi="Arial"/>
                <w:sz w:val="22"/>
                <w:szCs w:val="22"/>
                <w:b w:val="1"/>
                <w:bCs w:val="1"/>
                <w:color w:val="auto"/>
              </w:rPr>
              <w:t>[*]</w:t>
            </w:r>
          </w:p>
        </w:tc>
        <w:tc>
          <w:tcPr>
            <w:tcW w:w="190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5480" w:val="left"/>
          <w:tab w:leader="none" w:pos="10320" w:val="left"/>
        </w:tabs>
        <w:rPr>
          <w:sz w:val="20"/>
          <w:szCs w:val="20"/>
          <w:color w:val="auto"/>
        </w:rPr>
      </w:pPr>
      <w:r>
        <w:rPr>
          <w:rFonts w:ascii="Arial" w:cs="Arial" w:eastAsia="Arial" w:hAnsi="Arial"/>
          <w:sz w:val="18"/>
          <w:szCs w:val="18"/>
          <w:color w:val="auto"/>
        </w:rPr>
        <w:t>REF: 00033249.0</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Confidential</w:t>
      </w:r>
    </w:p>
    <w:p>
      <w:pPr>
        <w:sectPr>
          <w:pgSz w:w="11900" w:h="16838" w:orient="portrait"/>
          <w:cols w:equalWidth="0" w:num="1">
            <w:col w:w="11240"/>
          </w:cols>
          <w:pgMar w:left="320" w:top="544" w:right="339" w:bottom="1440" w:gutter="0" w:footer="0" w:header="0"/>
        </w:sectPr>
      </w:pPr>
    </w:p>
    <w:bookmarkStart w:id="132" w:name="page133"/>
    <w:bookmarkEnd w:id="132"/>
    <w:p>
      <w:pPr>
        <w:ind w:firstLine="8"/>
        <w:spacing w:after="0" w:line="267" w:lineRule="auto"/>
        <w:tabs>
          <w:tab w:leader="none" w:pos="296"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w:t>
      </w:r>
      <w:r>
        <w:rPr>
          <w:rFonts w:ascii="Arial" w:cs="Arial" w:eastAsia="Arial" w:hAnsi="Arial"/>
          <w:sz w:val="20"/>
          <w:szCs w:val="20"/>
          <w:b w:val="1"/>
          <w:bCs w:val="1"/>
          <w:color w:val="auto"/>
        </w:rPr>
        <w:t>. 3 T</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ASTER</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UPPLY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29" w:lineRule="exact"/>
        <w:rPr>
          <w:sz w:val="20"/>
          <w:szCs w:val="20"/>
          <w:color w:val="auto"/>
        </w:rPr>
      </w:pPr>
    </w:p>
    <w:p>
      <w:pPr>
        <w:jc w:val="both"/>
        <w:ind w:firstLine="802"/>
        <w:spacing w:after="0" w:line="243" w:lineRule="exact"/>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HIS</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9"/>
          <w:szCs w:val="19"/>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9"/>
          <w:szCs w:val="19"/>
          <w:b w:val="1"/>
          <w:bCs w:val="1"/>
          <w:color w:val="auto"/>
        </w:rPr>
        <w:t xml:space="preserve">. 3 </w:t>
      </w:r>
      <w:r>
        <w:rPr>
          <w:rFonts w:ascii="Arial" w:cs="Arial" w:eastAsia="Arial" w:hAnsi="Arial"/>
          <w:sz w:val="19"/>
          <w:szCs w:val="19"/>
          <w:color w:val="auto"/>
        </w:rPr>
        <w:t>(the “</w:t>
      </w:r>
      <w:r>
        <w:rPr>
          <w:rFonts w:ascii="Arial" w:cs="Arial" w:eastAsia="Arial" w:hAnsi="Arial"/>
          <w:sz w:val="19"/>
          <w:szCs w:val="19"/>
          <w:b w:val="1"/>
          <w:bCs w:val="1"/>
          <w:color w:val="auto"/>
        </w:rPr>
        <w:t>Third Amendment</w:t>
      </w:r>
      <w:r>
        <w:rPr>
          <w:rFonts w:ascii="Arial" w:cs="Arial" w:eastAsia="Arial" w:hAnsi="Arial"/>
          <w:sz w:val="19"/>
          <w:szCs w:val="19"/>
          <w:color w:val="auto"/>
        </w:rPr>
        <w:t>”) is entered into as of</w:t>
      </w:r>
      <w:r>
        <w:rPr>
          <w:rFonts w:ascii="Arial" w:cs="Arial" w:eastAsia="Arial" w:hAnsi="Arial"/>
          <w:sz w:val="19"/>
          <w:szCs w:val="19"/>
          <w:b w:val="1"/>
          <w:bCs w:val="1"/>
          <w:color w:val="auto"/>
        </w:rPr>
        <w:t xml:space="preserve"> January 12, 2021</w:t>
      </w:r>
      <w:r>
        <w:rPr>
          <w:rFonts w:ascii="Arial" w:cs="Arial" w:eastAsia="Arial" w:hAnsi="Arial"/>
          <w:sz w:val="19"/>
          <w:szCs w:val="19"/>
          <w:color w:val="auto"/>
        </w:rPr>
        <w:t>, and effective as of October 1, 2020</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Third Amendment Effective Date</w:t>
      </w:r>
      <w:r>
        <w:rPr>
          <w:rFonts w:ascii="Arial" w:cs="Arial" w:eastAsia="Arial" w:hAnsi="Arial"/>
          <w:sz w:val="19"/>
          <w:szCs w:val="19"/>
          <w:color w:val="auto"/>
        </w:rPr>
        <w:t>”) by and among: FibroGen, Inc. and its Affiliates (collectively, “</w:t>
      </w:r>
      <w:r>
        <w:rPr>
          <w:rFonts w:ascii="Arial" w:cs="Arial" w:eastAsia="Arial" w:hAnsi="Arial"/>
          <w:sz w:val="19"/>
          <w:szCs w:val="19"/>
          <w:b w:val="1"/>
          <w:bCs w:val="1"/>
          <w:color w:val="auto"/>
        </w:rPr>
        <w:t>FibroGen</w:t>
      </w:r>
      <w:r>
        <w:rPr>
          <w:rFonts w:ascii="Arial" w:cs="Arial" w:eastAsia="Arial" w:hAnsi="Arial"/>
          <w:sz w:val="19"/>
          <w:szCs w:val="19"/>
          <w:color w:val="auto"/>
        </w:rPr>
        <w:t>”); and Shanghai SynTheAll Pharmaceutical Co., Ltd (d/b/a “</w:t>
      </w:r>
      <w:r>
        <w:rPr>
          <w:rFonts w:ascii="SimSun" w:cs="SimSun" w:eastAsia="SimSun" w:hAnsi="SimSun"/>
          <w:sz w:val="19"/>
          <w:szCs w:val="19"/>
          <w:color w:val="auto"/>
        </w:rPr>
        <w:t>上海合全药业有限公司</w:t>
      </w:r>
      <w:r>
        <w:rPr>
          <w:rFonts w:ascii="Arial" w:cs="Arial" w:eastAsia="Arial" w:hAnsi="Arial"/>
          <w:sz w:val="19"/>
          <w:szCs w:val="19"/>
          <w:color w:val="auto"/>
        </w:rPr>
        <w:t>”) (“</w:t>
      </w:r>
      <w:r>
        <w:rPr>
          <w:rFonts w:ascii="Arial" w:cs="Arial" w:eastAsia="Arial" w:hAnsi="Arial"/>
          <w:sz w:val="19"/>
          <w:szCs w:val="19"/>
          <w:b w:val="1"/>
          <w:bCs w:val="1"/>
          <w:color w:val="auto"/>
        </w:rPr>
        <w:t>Shanghai STA</w:t>
      </w:r>
      <w:r>
        <w:rPr>
          <w:rFonts w:ascii="Arial" w:cs="Arial" w:eastAsia="Arial" w:hAnsi="Arial"/>
          <w:sz w:val="19"/>
          <w:szCs w:val="19"/>
          <w:color w:val="auto"/>
        </w:rPr>
        <w:t>”); and STA Pharmaceutical Hong Kong Limited</w:t>
      </w:r>
    </w:p>
    <w:p>
      <w:pPr>
        <w:spacing w:after="0" w:line="1"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(d/b/a “</w:t>
      </w:r>
      <w:r>
        <w:rPr>
          <w:rFonts w:ascii="SimSun" w:cs="SimSun" w:eastAsia="SimSun" w:hAnsi="SimSun"/>
          <w:sz w:val="18"/>
          <w:szCs w:val="18"/>
          <w:color w:val="auto"/>
        </w:rPr>
        <w:t>合全药业香港有限公司</w:t>
      </w:r>
      <w:r>
        <w:rPr>
          <w:rFonts w:ascii="Arial" w:cs="Arial" w:eastAsia="Arial" w:hAnsi="Arial"/>
          <w:sz w:val="18"/>
          <w:szCs w:val="18"/>
          <w:color w:val="auto"/>
        </w:rPr>
        <w:t>”) (“</w:t>
      </w:r>
      <w:r>
        <w:rPr>
          <w:rFonts w:ascii="Arial" w:cs="Arial" w:eastAsia="Arial" w:hAnsi="Arial"/>
          <w:sz w:val="18"/>
          <w:szCs w:val="18"/>
          <w:b w:val="1"/>
          <w:bCs w:val="1"/>
          <w:color w:val="auto"/>
        </w:rPr>
        <w:t>STA Hong Kong</w:t>
      </w:r>
      <w:r>
        <w:rPr>
          <w:rFonts w:ascii="Arial" w:cs="Arial" w:eastAsia="Arial" w:hAnsi="Arial"/>
          <w:sz w:val="18"/>
          <w:szCs w:val="18"/>
          <w:color w:val="auto"/>
        </w:rPr>
        <w:t>”) (STA Hong Kong, Shanghai STA, and each of their Affiliates are collectively referred to as “</w:t>
      </w:r>
      <w:r>
        <w:rPr>
          <w:rFonts w:ascii="Arial" w:cs="Arial" w:eastAsia="Arial" w:hAnsi="Arial"/>
          <w:sz w:val="18"/>
          <w:szCs w:val="18"/>
          <w:b w:val="1"/>
          <w:bCs w:val="1"/>
          <w:color w:val="auto"/>
        </w:rPr>
        <w:t>STA</w:t>
      </w:r>
      <w:r>
        <w:rPr>
          <w:rFonts w:ascii="Arial" w:cs="Arial" w:eastAsia="Arial" w:hAnsi="Arial"/>
          <w:sz w:val="18"/>
          <w:szCs w:val="18"/>
          <w:color w:val="auto"/>
        </w:rPr>
        <w:t>”). This Third Amendment amends the Master Supply Agreement entered into by and between STA and FibroGen on March 2, 2020 (the “</w:t>
      </w:r>
      <w:r>
        <w:rPr>
          <w:rFonts w:ascii="Arial" w:cs="Arial" w:eastAsia="Arial" w:hAnsi="Arial"/>
          <w:sz w:val="18"/>
          <w:szCs w:val="18"/>
          <w:b w:val="1"/>
          <w:bCs w:val="1"/>
          <w:color w:val="auto"/>
        </w:rPr>
        <w:t>Master Supply Agreement</w:t>
      </w:r>
      <w:r>
        <w:rPr>
          <w:rFonts w:ascii="Arial" w:cs="Arial" w:eastAsia="Arial" w:hAnsi="Arial"/>
          <w:sz w:val="18"/>
          <w:szCs w:val="18"/>
          <w:color w:val="auto"/>
        </w:rPr>
        <w:t>”), as amended by Amendment No. 1 on May 11, 2020 and Amendment No.2 on July 24, 2020 (collectively, the “</w:t>
      </w:r>
      <w:r>
        <w:rPr>
          <w:rFonts w:ascii="Arial" w:cs="Arial" w:eastAsia="Arial" w:hAnsi="Arial"/>
          <w:sz w:val="18"/>
          <w:szCs w:val="18"/>
          <w:b w:val="1"/>
          <w:bCs w:val="1"/>
          <w:color w:val="auto"/>
        </w:rPr>
        <w:t>Prior Amendments</w:t>
      </w:r>
      <w:r>
        <w:rPr>
          <w:rFonts w:ascii="Arial" w:cs="Arial" w:eastAsia="Arial" w:hAnsi="Arial"/>
          <w:sz w:val="18"/>
          <w:szCs w:val="18"/>
          <w:color w:val="auto"/>
        </w:rPr>
        <w:t>”). STA and FibroGen shall be referred to individually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The Master Supply Agreement, the Prior Amendments, and this Third Amendment are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2"/>
          <w:szCs w:val="12"/>
          <w:b w:val="1"/>
          <w:bCs w:val="1"/>
          <w:color w:val="auto"/>
        </w:rPr>
        <w:t>HEREAS</w:t>
      </w:r>
      <w:r>
        <w:rPr>
          <w:rFonts w:ascii="Arial" w:cs="Arial" w:eastAsia="Arial" w:hAnsi="Arial"/>
          <w:sz w:val="19"/>
          <w:szCs w:val="19"/>
          <w:color w:val="auto"/>
        </w:rPr>
        <w:t>, the Parties desire to amend the Master Supply Agreement to provide for updated shipping and storage terms; and</w:t>
      </w:r>
    </w:p>
    <w:p>
      <w:pPr>
        <w:spacing w:after="0" w:line="241" w:lineRule="exact"/>
        <w:rPr>
          <w:sz w:val="20"/>
          <w:szCs w:val="20"/>
          <w:color w:val="auto"/>
        </w:rPr>
      </w:pPr>
    </w:p>
    <w:p>
      <w:pPr>
        <w:jc w:val="both"/>
        <w:ind w:firstLine="802"/>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Parties desire to continue the relationship as set forth under the Master Supply Agreement as amended by this Third</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w:t>
      </w:r>
    </w:p>
    <w:p>
      <w:pPr>
        <w:spacing w:after="0" w:line="177" w:lineRule="exact"/>
        <w:rPr>
          <w:sz w:val="20"/>
          <w:szCs w:val="20"/>
          <w:color w:val="auto"/>
        </w:rPr>
      </w:pPr>
    </w:p>
    <w:p>
      <w:pPr>
        <w:jc w:val="both"/>
        <w:ind w:firstLine="802"/>
        <w:spacing w:after="0" w:line="267"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for good and valuable consideration, the receipt and sufficiency of which is hereby acknowledged,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83" w:lineRule="exact"/>
        <w:rPr>
          <w:sz w:val="20"/>
          <w:szCs w:val="20"/>
          <w:color w:val="auto"/>
        </w:rPr>
      </w:pPr>
    </w:p>
    <w:p>
      <w:pPr>
        <w:ind w:left="1240" w:hanging="436"/>
        <w:spacing w:after="0" w:line="260" w:lineRule="auto"/>
        <w:tabs>
          <w:tab w:leader="none" w:pos="12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Unless otherwise defined herein, all capitalized terms and phrases used in this Third Amendment shall have the meaning ascribed to them in the Master Supply Agreement.</w:t>
      </w:r>
    </w:p>
    <w:p>
      <w:pPr>
        <w:spacing w:after="0" w:line="190" w:lineRule="exact"/>
        <w:rPr>
          <w:rFonts w:ascii="Arial" w:cs="Arial" w:eastAsia="Arial" w:hAnsi="Arial"/>
          <w:sz w:val="20"/>
          <w:szCs w:val="20"/>
          <w:color w:val="auto"/>
        </w:rPr>
      </w:pPr>
    </w:p>
    <w:p>
      <w:pPr>
        <w:ind w:left="1240" w:hanging="436"/>
        <w:spacing w:after="0"/>
        <w:tabs>
          <w:tab w:leader="none" w:pos="12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Sect. 3.2.4(a) (FibroGen Materials) is hereby deleted in its entirety and replaced with the following:</w:t>
      </w:r>
    </w:p>
    <w:p>
      <w:pPr>
        <w:spacing w:after="0" w:line="229" w:lineRule="exact"/>
        <w:rPr>
          <w:sz w:val="20"/>
          <w:szCs w:val="20"/>
          <w:color w:val="auto"/>
        </w:rPr>
      </w:pPr>
    </w:p>
    <w:p>
      <w:pPr>
        <w:jc w:val="both"/>
        <w:ind w:left="1620" w:right="1600"/>
        <w:spacing w:after="0" w:line="260" w:lineRule="auto"/>
        <w:rPr>
          <w:sz w:val="20"/>
          <w:szCs w:val="20"/>
          <w:color w:val="auto"/>
        </w:rPr>
      </w:pPr>
      <w:r>
        <w:rPr>
          <w:rFonts w:ascii="Arial" w:cs="Arial" w:eastAsia="Arial" w:hAnsi="Arial"/>
          <w:sz w:val="19"/>
          <w:szCs w:val="19"/>
          <w:color w:val="auto"/>
        </w:rPr>
        <w:t>“(a) Pursuant to the Manufacturing Services described under a particular FibroGen forecast or order, FibroGen (or its designee) may provide FibroGen Materials to STA for use in the performance of Manufacturing Services. Any such delivery shall be made [*] (Incoterms 2020) [*], and all risk of loss and damage shall transfer to STA upon [*]. Notwithstanding the foregoing delivery terms, title to FibroGen Materials shall remain with FibroGen at all times.”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A03/STA Master Supply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00031947.3</w:t>
      </w:r>
    </w:p>
    <w:p>
      <w:pPr>
        <w:spacing w:after="0" w:line="197" w:lineRule="exact"/>
        <w:rPr>
          <w:sz w:val="20"/>
          <w:szCs w:val="20"/>
          <w:color w:val="auto"/>
        </w:rPr>
      </w:pPr>
    </w:p>
    <w:p>
      <w:pPr>
        <w:ind w:right="220" w:firstLine="8"/>
        <w:spacing w:after="0" w:line="235"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ind w:left="1240" w:hanging="436"/>
        <w:spacing w:after="0"/>
        <w:tabs>
          <w:tab w:leader="none" w:pos="12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Sect. 4.5 of the Master Supply Agreement is hereby deleted in its entirety and replaced with the following:</w:t>
      </w:r>
    </w:p>
    <w:p>
      <w:pPr>
        <w:spacing w:after="0" w:line="238" w:lineRule="exact"/>
        <w:rPr>
          <w:sz w:val="20"/>
          <w:szCs w:val="20"/>
          <w:color w:val="auto"/>
        </w:rPr>
      </w:pPr>
    </w:p>
    <w:p>
      <w:pPr>
        <w:jc w:val="both"/>
        <w:ind w:left="1620" w:right="1600" w:firstLine="309"/>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18"/>
          <w:szCs w:val="18"/>
          <w:color w:val="auto"/>
        </w:rPr>
        <w:t>4.5</w:t>
      </w:r>
      <w:r>
        <w:rPr>
          <w:rFonts w:ascii="Arial" w:cs="Arial" w:eastAsia="Arial" w:hAnsi="Arial"/>
          <w:sz w:val="21"/>
          <w:szCs w:val="21"/>
          <w:color w:val="auto"/>
        </w:rPr>
        <w:t xml:space="preserve"> </w:t>
      </w:r>
      <w:r>
        <w:rPr>
          <w:rFonts w:ascii="Arial" w:cs="Arial" w:eastAsia="Arial" w:hAnsi="Arial"/>
          <w:sz w:val="18"/>
          <w:szCs w:val="18"/>
          <w:u w:val="single" w:color="auto"/>
          <w:color w:val="auto"/>
        </w:rPr>
        <w:t>Delivery Terms; Storage</w:t>
      </w:r>
      <w:r>
        <w:rPr>
          <w:rFonts w:ascii="Arial" w:cs="Arial" w:eastAsia="Arial" w:hAnsi="Arial"/>
          <w:sz w:val="18"/>
          <w:szCs w:val="18"/>
          <w:color w:val="auto"/>
        </w:rPr>
        <w:t>. Following FibroGen’s acceptance of Product pursuant to this</w:t>
      </w:r>
      <w:r>
        <w:rPr>
          <w:rFonts w:ascii="Arial" w:cs="Arial" w:eastAsia="Arial" w:hAnsi="Arial"/>
          <w:sz w:val="21"/>
          <w:szCs w:val="21"/>
          <w:color w:val="auto"/>
        </w:rPr>
        <w:t xml:space="preserve"> </w:t>
      </w:r>
      <w:r>
        <w:rPr>
          <w:rFonts w:ascii="Arial" w:cs="Arial" w:eastAsia="Arial" w:hAnsi="Arial"/>
          <w:sz w:val="18"/>
          <w:szCs w:val="18"/>
          <w:color w:val="auto"/>
        </w:rPr>
        <w:t>Article 4, STA shall either store, ship, or otherwise dispose of such Product as requested by FibroGen in writing. Shipment of Product shall be made [*] (Incoterms [2020]) [*], and legal title and risk of all loss shall transfer to FibroGen [*]. If the Binding Forecast, Stockpile Order or Work Order does not specify disposition of Product, then STA or its Subcontractor shall store such Product in accordance with the storage requirements (as defined in this Agreement, the Specifications and the MBR as applicable) until such time as FibroGen request shipment or other disposition or use of such Product. For any Product that is placed into storage as agreed hereunder, FibroGen shall pay a storage fee in accordance with Section 4.6. [*]. STA shall be solely responsible for [*]. STA shall assist FibroGen [*]. Shipping Requirements shall be approved by FibroGen in writing. No later than</w:t>
      </w:r>
    </w:p>
    <w:p>
      <w:pPr>
        <w:spacing w:after="0" w:line="3" w:lineRule="exact"/>
        <w:rPr>
          <w:sz w:val="20"/>
          <w:szCs w:val="20"/>
          <w:color w:val="auto"/>
        </w:rPr>
      </w:pPr>
    </w:p>
    <w:p>
      <w:pPr>
        <w:ind w:left="1620" w:right="1600" w:hanging="7"/>
        <w:spacing w:after="0" w:line="244" w:lineRule="auto"/>
        <w:tabs>
          <w:tab w:leader="none" w:pos="194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 months before the Delivery Date unless Product is Stockpiled, FibroGen shall provide Shipping Instructions to STA.”</w:t>
      </w:r>
    </w:p>
    <w:p>
      <w:pPr>
        <w:spacing w:after="0" w:line="191" w:lineRule="exact"/>
        <w:rPr>
          <w:rFonts w:ascii="Arial" w:cs="Arial" w:eastAsia="Arial" w:hAnsi="Arial"/>
          <w:sz w:val="20"/>
          <w:szCs w:val="20"/>
          <w:color w:val="auto"/>
        </w:rPr>
      </w:pPr>
    </w:p>
    <w:p>
      <w:pPr>
        <w:ind w:left="1240" w:hanging="436"/>
        <w:spacing w:after="0" w:line="260" w:lineRule="auto"/>
        <w:tabs>
          <w:tab w:leader="none" w:pos="12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Parties intend for, and all Products have been shipped [*] (Incoterms 2020) [*] as of the Effective Date of the Third Amendment, and legal title with all risk of loss and damage transferring to FibroGen upon [*].</w:t>
      </w:r>
    </w:p>
    <w:p>
      <w:pPr>
        <w:spacing w:after="0" w:line="190" w:lineRule="exact"/>
        <w:rPr>
          <w:rFonts w:ascii="Arial" w:cs="Arial" w:eastAsia="Arial" w:hAnsi="Arial"/>
          <w:sz w:val="20"/>
          <w:szCs w:val="20"/>
          <w:color w:val="auto"/>
        </w:rPr>
      </w:pPr>
    </w:p>
    <w:p>
      <w:pPr>
        <w:jc w:val="both"/>
        <w:ind w:left="1240" w:hanging="436"/>
        <w:spacing w:after="0" w:line="244" w:lineRule="auto"/>
        <w:tabs>
          <w:tab w:leader="none" w:pos="12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This Third Amendment, together with the Master Supply Agreement as amended by the Prior Amendments, contains the entire understanding of the Parties with respect to the subject matter hereof. Except as otherwise provided herein, the Master Supply Agreement has not been modified or amended and remains in full force and effect. All express or implied agreements and understandings, either oral or written, heretofore made with respect to subject matter herein are expressly superseded in this Third Amendment.</w:t>
      </w:r>
    </w:p>
    <w:p>
      <w:pPr>
        <w:spacing w:after="0" w:line="207" w:lineRule="exact"/>
        <w:rPr>
          <w:rFonts w:ascii="Arial" w:cs="Arial" w:eastAsia="Arial" w:hAnsi="Arial"/>
          <w:sz w:val="20"/>
          <w:szCs w:val="20"/>
          <w:color w:val="auto"/>
        </w:rPr>
      </w:pPr>
    </w:p>
    <w:p>
      <w:pPr>
        <w:jc w:val="both"/>
        <w:ind w:left="1240" w:hanging="436"/>
        <w:spacing w:after="0" w:line="250" w:lineRule="auto"/>
        <w:tabs>
          <w:tab w:leader="none" w:pos="12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This Third Amendment may be executed in counterparts, each of which shall be deemed an original, and all of which together shall constitute one and the same instrument. Counterparts may be signed and delivered by facsimile and/or via portable document format (pdf), each of which shall be binding when sent.</w:t>
      </w:r>
    </w:p>
    <w:p>
      <w:pPr>
        <w:spacing w:after="0" w:line="199" w:lineRule="exact"/>
        <w:rPr>
          <w:sz w:val="20"/>
          <w:szCs w:val="20"/>
          <w:color w:val="auto"/>
        </w:rPr>
      </w:pPr>
    </w:p>
    <w:p>
      <w:pPr>
        <w:ind w:firstLine="802"/>
        <w:spacing w:after="0" w:line="260" w:lineRule="auto"/>
        <w:rPr>
          <w:sz w:val="20"/>
          <w:szCs w:val="20"/>
          <w:color w:val="auto"/>
        </w:rPr>
      </w:pPr>
      <w:r>
        <w:rPr>
          <w:rFonts w:ascii="Arial" w:cs="Arial" w:eastAsia="Arial" w:hAnsi="Arial"/>
          <w:sz w:val="20"/>
          <w:szCs w:val="20"/>
          <w:color w:val="auto"/>
        </w:rPr>
        <w:t>IN WITNESS WHEREOF, the Parties have executed this Third Amendment to the Master Supply Agreement as of the Third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A03/STA Master Supply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00031947.3</w:t>
      </w:r>
    </w:p>
    <w:p>
      <w:pPr>
        <w:spacing w:after="0" w:line="197" w:lineRule="exact"/>
        <w:rPr>
          <w:sz w:val="20"/>
          <w:szCs w:val="20"/>
          <w:color w:val="auto"/>
        </w:rPr>
      </w:pPr>
    </w:p>
    <w:p>
      <w:pPr>
        <w:ind w:right="220" w:firstLine="8"/>
        <w:spacing w:after="0" w:line="235"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4" w:name="page135"/>
    <w:bookmarkEnd w:id="134"/>
    <w:p>
      <w:pPr>
        <w:ind w:left="500" w:right="220"/>
        <w:spacing w:after="0" w:line="263" w:lineRule="auto"/>
        <w:rPr>
          <w:sz w:val="20"/>
          <w:szCs w:val="20"/>
          <w:color w:val="auto"/>
        </w:rPr>
      </w:pPr>
      <w:r>
        <w:rPr>
          <w:rFonts w:ascii="Arial" w:cs="Arial" w:eastAsia="Arial" w:hAnsi="Arial"/>
          <w:sz w:val="20"/>
          <w:szCs w:val="20"/>
          <w:b w:val="1"/>
          <w:bCs w:val="1"/>
          <w:color w:val="auto"/>
        </w:rPr>
        <w:t>STA PHARMACEUTICAL HONG KONG LIMITED</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Xiaoyong Fu</w:t>
            </w:r>
          </w:p>
        </w:tc>
      </w:tr>
      <w:tr>
        <w:trPr>
          <w:trHeight w:val="291"/>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2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Xiaoyong Fu</w:t>
            </w:r>
          </w:p>
        </w:tc>
      </w:tr>
      <w:tr>
        <w:trPr>
          <w:trHeight w:val="331"/>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2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SVP</w:t>
            </w:r>
          </w:p>
        </w:tc>
      </w:tr>
      <w:tr>
        <w:trPr>
          <w:trHeight w:val="308"/>
        </w:trPr>
        <w:tc>
          <w:tcPr>
            <w:tcW w:w="980" w:type="dxa"/>
            <w:vAlign w:val="bottom"/>
          </w:tcPr>
          <w:p>
            <w:pPr>
              <w:spacing w:after="0"/>
              <w:rPr>
                <w:sz w:val="20"/>
                <w:szCs w:val="20"/>
                <w:color w:val="auto"/>
              </w:rPr>
            </w:pPr>
            <w:r>
              <w:rPr>
                <w:rFonts w:ascii="Arial" w:cs="Arial" w:eastAsia="Arial" w:hAnsi="Arial"/>
                <w:sz w:val="20"/>
                <w:szCs w:val="20"/>
                <w:color w:val="auto"/>
              </w:rPr>
              <w:t>Date:</w:t>
            </w:r>
          </w:p>
        </w:tc>
        <w:tc>
          <w:tcPr>
            <w:tcW w:w="2920" w:type="dxa"/>
            <w:vAlign w:val="bottom"/>
          </w:tcPr>
          <w:p>
            <w:pPr>
              <w:spacing w:after="0"/>
              <w:rPr>
                <w:sz w:val="20"/>
                <w:szCs w:val="20"/>
                <w:color w:val="auto"/>
              </w:rPr>
            </w:pPr>
            <w:r>
              <w:rPr>
                <w:rFonts w:ascii="Arial" w:cs="Arial" w:eastAsia="Arial" w:hAnsi="Arial"/>
                <w:sz w:val="20"/>
                <w:szCs w:val="20"/>
                <w:color w:val="auto"/>
              </w:rPr>
              <w:t>1/13/2021</w:t>
            </w:r>
          </w:p>
        </w:tc>
      </w:tr>
    </w:tbl>
    <w:p>
      <w:pPr>
        <w:spacing w:after="0" w:line="200" w:lineRule="exact"/>
        <w:rPr>
          <w:sz w:val="20"/>
          <w:szCs w:val="20"/>
          <w:color w:val="auto"/>
        </w:rPr>
      </w:pPr>
    </w:p>
    <w:p>
      <w:pPr>
        <w:spacing w:after="0" w:line="232" w:lineRule="exact"/>
        <w:rPr>
          <w:sz w:val="20"/>
          <w:szCs w:val="20"/>
          <w:color w:val="auto"/>
        </w:rPr>
      </w:pPr>
    </w:p>
    <w:p>
      <w:pPr>
        <w:ind w:left="500" w:right="1020"/>
        <w:spacing w:after="0" w:line="253" w:lineRule="auto"/>
        <w:rPr>
          <w:sz w:val="20"/>
          <w:szCs w:val="20"/>
          <w:color w:val="auto"/>
        </w:rPr>
      </w:pPr>
      <w:r>
        <w:rPr>
          <w:rFonts w:ascii="Arial" w:cs="Arial" w:eastAsia="Arial" w:hAnsi="Arial"/>
          <w:sz w:val="20"/>
          <w:szCs w:val="20"/>
          <w:b w:val="1"/>
          <w:bCs w:val="1"/>
          <w:color w:val="auto"/>
        </w:rPr>
        <w:t>SHANGHAI SYNTHEALL PHARMACEUTICAL CO., LTD.</w:t>
      </w:r>
    </w:p>
    <w:p>
      <w:pPr>
        <w:ind w:left="500"/>
        <w:spacing w:after="0" w:line="180" w:lineRule="auto"/>
        <w:tabs>
          <w:tab w:leader="none" w:pos="1380" w:val="left"/>
        </w:tabs>
        <w:rPr>
          <w:sz w:val="20"/>
          <w:szCs w:val="20"/>
          <w:color w:val="auto"/>
        </w:rPr>
      </w:pP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6"/>
          <w:szCs w:val="16"/>
          <w:color w:val="auto"/>
        </w:rPr>
        <w:t>/s/ Xiaoyong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53340</wp:posOffset>
            </wp:positionV>
            <wp:extent cx="21602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500"/>
        <w:spacing w:after="0" w:line="181" w:lineRule="auto"/>
        <w:tabs>
          <w:tab w:leader="none" w:pos="1380" w:val="left"/>
        </w:tabs>
        <w:rPr>
          <w:sz w:val="20"/>
          <w:szCs w:val="20"/>
          <w:color w:val="auto"/>
        </w:rPr>
      </w:pPr>
      <w:r>
        <w:rPr>
          <w:rFonts w:ascii="Arial" w:cs="Arial" w:eastAsia="Arial" w:hAnsi="Arial"/>
          <w:sz w:val="39"/>
          <w:szCs w:val="39"/>
          <w:color w:val="auto"/>
          <w:vertAlign w:val="subscript"/>
        </w:rPr>
        <w:t>Name:</w:t>
      </w:r>
      <w:r>
        <w:rPr>
          <w:sz w:val="20"/>
          <w:szCs w:val="20"/>
          <w:color w:val="auto"/>
        </w:rPr>
        <w:tab/>
      </w:r>
      <w:r>
        <w:rPr>
          <w:rFonts w:ascii="Arial" w:cs="Arial" w:eastAsia="Arial" w:hAnsi="Arial"/>
          <w:sz w:val="19"/>
          <w:szCs w:val="19"/>
          <w:color w:val="auto"/>
        </w:rPr>
        <w:t>Xiaoyong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53340</wp:posOffset>
            </wp:positionV>
            <wp:extent cx="21602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500"/>
        <w:spacing w:after="0"/>
        <w:tabs>
          <w:tab w:leader="none" w:pos="1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40"/>
          <w:szCs w:val="40"/>
          <w:color w:val="auto"/>
          <w:vertAlign w:val="superscript"/>
        </w:rPr>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-33020</wp:posOffset>
            </wp:positionV>
            <wp:extent cx="2160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500"/>
        <w:spacing w:after="0" w:line="181" w:lineRule="auto"/>
        <w:tabs>
          <w:tab w:leader="none" w:pos="1380" w:val="left"/>
        </w:tabs>
        <w:rPr>
          <w:sz w:val="20"/>
          <w:szCs w:val="20"/>
          <w:color w:val="auto"/>
        </w:rPr>
      </w:pPr>
      <w:r>
        <w:rPr>
          <w:rFonts w:ascii="Arial" w:cs="Arial" w:eastAsia="Arial" w:hAnsi="Arial"/>
          <w:sz w:val="27"/>
          <w:szCs w:val="27"/>
          <w:color w:val="auto"/>
          <w:vertAlign w:val="subscript"/>
        </w:rPr>
        <w:t>Date:</w:t>
      </w:r>
      <w:r>
        <w:rPr>
          <w:sz w:val="20"/>
          <w:szCs w:val="20"/>
          <w:color w:val="auto"/>
        </w:rPr>
        <w:tab/>
      </w:r>
      <w:r>
        <w:rPr>
          <w:rFonts w:ascii="Arial" w:cs="Arial" w:eastAsia="Arial" w:hAnsi="Arial"/>
          <w:sz w:val="15"/>
          <w:szCs w:val="15"/>
          <w:color w:val="auto"/>
        </w:rPr>
        <w:t>1/13/2021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31750</wp:posOffset>
            </wp:positionV>
            <wp:extent cx="21602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FIBROGEN, INC.</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2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Martinelli</w:t>
            </w:r>
          </w:p>
        </w:tc>
      </w:tr>
      <w:tr>
        <w:trPr>
          <w:trHeight w:val="29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2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Michael Martinelli</w:t>
            </w:r>
          </w:p>
        </w:tc>
      </w:tr>
      <w:tr>
        <w:trPr>
          <w:trHeight w:val="331"/>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2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SVP Tech Dev</w:t>
            </w:r>
          </w:p>
        </w:tc>
      </w:tr>
      <w:tr>
        <w:trPr>
          <w:trHeight w:val="308"/>
        </w:trPr>
        <w:tc>
          <w:tcPr>
            <w:tcW w:w="820" w:type="dxa"/>
            <w:vAlign w:val="bottom"/>
          </w:tcPr>
          <w:p>
            <w:pPr>
              <w:spacing w:after="0"/>
              <w:rPr>
                <w:sz w:val="20"/>
                <w:szCs w:val="20"/>
                <w:color w:val="auto"/>
              </w:rPr>
            </w:pPr>
            <w:r>
              <w:rPr>
                <w:rFonts w:ascii="Arial" w:cs="Arial" w:eastAsia="Arial" w:hAnsi="Arial"/>
                <w:sz w:val="20"/>
                <w:szCs w:val="20"/>
                <w:color w:val="auto"/>
              </w:rPr>
              <w:t>Date:</w:t>
            </w:r>
          </w:p>
        </w:tc>
        <w:tc>
          <w:tcPr>
            <w:tcW w:w="2920" w:type="dxa"/>
            <w:vAlign w:val="bottom"/>
          </w:tcPr>
          <w:p>
            <w:pPr>
              <w:spacing w:after="0"/>
              <w:rPr>
                <w:sz w:val="20"/>
                <w:szCs w:val="20"/>
                <w:color w:val="auto"/>
              </w:rPr>
            </w:pPr>
            <w:r>
              <w:rPr>
                <w:rFonts w:ascii="Arial" w:cs="Arial" w:eastAsia="Arial" w:hAnsi="Arial"/>
                <w:sz w:val="20"/>
                <w:szCs w:val="20"/>
                <w:color w:val="auto"/>
              </w:rPr>
              <w:t>1/14/2021</w:t>
            </w:r>
          </w:p>
        </w:tc>
      </w:tr>
    </w:tbl>
    <w:p>
      <w:pPr>
        <w:spacing w:after="0" w:line="2413" w:lineRule="exact"/>
        <w:rPr>
          <w:sz w:val="20"/>
          <w:szCs w:val="20"/>
          <w:color w:val="auto"/>
        </w:rPr>
      </w:pPr>
    </w:p>
    <w:p>
      <w:pPr>
        <w:sectPr>
          <w:pgSz w:w="11900" w:h="16838" w:orient="portrait"/>
          <w:cols w:equalWidth="0" w:num="2">
            <w:col w:w="4400" w:space="720"/>
            <w:col w:w="5900"/>
          </w:cols>
          <w:pgMar w:left="320" w:top="1008" w:right="559" w:bottom="1440" w:gutter="0" w:footer="0" w:header="0"/>
        </w:sectPr>
      </w:pP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A03/STA Master Supply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00031947.3</w:t>
      </w:r>
    </w:p>
    <w:p>
      <w:pPr>
        <w:spacing w:after="0" w:line="197" w:lineRule="exact"/>
        <w:rPr>
          <w:sz w:val="20"/>
          <w:szCs w:val="20"/>
          <w:color w:val="auto"/>
        </w:rPr>
      </w:pPr>
    </w:p>
    <w:p>
      <w:pPr>
        <w:ind w:firstLine="8"/>
        <w:spacing w:after="0" w:line="235" w:lineRule="auto"/>
        <w:tabs>
          <w:tab w:leader="none" w:pos="2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020"/>
          </w:cols>
          <w:pgMar w:left="320" w:top="1008" w:right="55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17" w:lineRule="exact"/>
        <w:rPr>
          <w:sz w:val="20"/>
          <w:szCs w:val="20"/>
          <w:color w:val="auto"/>
        </w:rPr>
      </w:pPr>
    </w:p>
    <w:p>
      <w:pPr>
        <w:ind w:left="180" w:hanging="172"/>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10,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10,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Senior Vice President, Finance and 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(“Exchange Act”), and Section 1350 of Chapter 63 of Title 18 of the United States Code (18 U.S.C. §1350), Enrique Conterno, Chief Executive Officer of FibroGen, Inc. (“the Company”), and Pat Cotroneo, Chief Financial Officer of the Company, each hereby certifies that, to the best of his knowledge:</w:t>
      </w:r>
    </w:p>
    <w:p>
      <w:pPr>
        <w:spacing w:after="0" w:line="165" w:lineRule="exact"/>
        <w:rPr>
          <w:sz w:val="20"/>
          <w:szCs w:val="20"/>
          <w:color w:val="auto"/>
        </w:rPr>
      </w:pPr>
    </w:p>
    <w:p>
      <w:pPr>
        <w:ind w:left="500" w:right="640" w:hanging="492"/>
        <w:spacing w:after="0" w:line="277" w:lineRule="auto"/>
        <w:tabs>
          <w:tab w:leader="none" w:pos="5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to which this Certification is attached as Exhibit 32.1 (“Periodic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/s/ Enrique Conterno</w:t>
            </w:r>
          </w:p>
        </w:tc>
        <w:tc>
          <w:tcPr>
            <w:tcW w:w="50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1."/>
      <w:numFmt w:val="decimal"/>
      <w:start w:val="2"/>
    </w:lvl>
  </w:abstractNum>
  <w:abstractNum w:abstractNumId="15">
    <w:nsid w:val="8F2B15E"/>
    <w:multiLevelType w:val="hybridMultilevel"/>
    <w:lvl w:ilvl="0">
      <w:lvlJc w:val="left"/>
      <w:lvlText w:val="(%1)"/>
      <w:numFmt w:val="lowerRoman"/>
      <w:start w:val="1"/>
    </w:lvl>
  </w:abstractNum>
  <w:abstractNum w:abstractNumId="16">
    <w:nsid w:val="1A32234B"/>
    <w:multiLevelType w:val="hybridMultilevel"/>
    <w:lvl w:ilvl="0">
      <w:lvlJc w:val="left"/>
      <w:lvlText w:val="(%1)"/>
      <w:numFmt w:val="lowerRoman"/>
      <w:start w:val="4"/>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1."/>
      <w:numFmt w:val="decimal"/>
      <w:start w:val="3"/>
    </w:lvl>
  </w:abstractNum>
  <w:abstractNum w:abstractNumId="20">
    <w:nsid w:val="60B6DF70"/>
    <w:multiLevelType w:val="hybridMultilevel"/>
    <w:lvl w:ilvl="0">
      <w:lvlJc w:val="left"/>
      <w:lvlText w:val="%1."/>
      <w:numFmt w:val="decimal"/>
      <w:start w:val="4"/>
    </w:lvl>
  </w:abstractNum>
  <w:abstractNum w:abstractNumId="21">
    <w:nsid w:val="6A5EE64"/>
    <w:multiLevelType w:val="hybridMultilevel"/>
    <w:lvl w:ilvl="0">
      <w:lvlJc w:val="left"/>
      <w:lvlText w:val="%1."/>
      <w:numFmt w:val="decimal"/>
      <w:start w:val="5"/>
    </w:lvl>
  </w:abstractNum>
  <w:abstractNum w:abstractNumId="22">
    <w:nsid w:val="14330624"/>
    <w:multiLevelType w:val="hybridMultilevel"/>
    <w:lvl w:ilvl="0">
      <w:lvlJc w:val="left"/>
      <w:lvlText w:val="%1."/>
      <w:numFmt w:val="decimal"/>
      <w:start w:val="7"/>
    </w:lvl>
  </w:abstractNum>
  <w:abstractNum w:abstractNumId="23">
    <w:nsid w:val="7FFFCA11"/>
    <w:multiLevelType w:val="hybridMultilevel"/>
    <w:lvl w:ilvl="0">
      <w:lvlJc w:val="left"/>
      <w:lvlText w:val="%1."/>
      <w:numFmt w:val="decimal"/>
      <w:start w:val="8"/>
    </w:lvl>
  </w:abstractNum>
  <w:abstractNum w:abstractNumId="24">
    <w:nsid w:val="1A27709E"/>
    <w:multiLevelType w:val="hybridMultilevel"/>
    <w:lvl w:ilvl="0">
      <w:lvlJc w:val="left"/>
      <w:lvlText w:val="%1."/>
      <w:numFmt w:val="decimal"/>
      <w:start w:val="9"/>
    </w:lvl>
  </w:abstractNum>
  <w:abstractNum w:abstractNumId="25">
    <w:nsid w:val="71EA1109"/>
    <w:multiLevelType w:val="hybridMultilevel"/>
    <w:lvl w:ilvl="0">
      <w:lvlJc w:val="left"/>
      <w:lvlText w:val="%1."/>
      <w:numFmt w:val="decimal"/>
      <w:start w:val="10"/>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1."/>
      <w:numFmt w:val="decimal"/>
      <w:start w:val="1"/>
    </w:lvl>
    <w:lvl w:ilvl="1">
      <w:lvlJc w:val="left"/>
      <w:lvlText w:val="%2."/>
      <w:numFmt w:val="lowerLetter"/>
      <w:start w:val="1"/>
    </w:lvl>
  </w:abstractNum>
  <w:abstractNum w:abstractNumId="66">
    <w:nsid w:val="6A3DD3E8"/>
    <w:multiLevelType w:val="hybridMultilevel"/>
    <w:lvl w:ilvl="0">
      <w:lvlJc w:val="left"/>
      <w:lvlText w:val="%1"/>
      <w:numFmt w:val="decimal"/>
      <w:start w:val="1"/>
    </w:lvl>
    <w:lvl w:ilvl="1">
      <w:lvlJc w:val="left"/>
      <w:lvlText w:val="%2."/>
      <w:numFmt w:val="lowerLetter"/>
      <w:start w:val="3"/>
    </w:lvl>
  </w:abstractNum>
  <w:abstractNum w:abstractNumId="67">
    <w:nsid w:val="71C91298"/>
    <w:multiLevelType w:val="hybridMultilevel"/>
    <w:lvl w:ilvl="0">
      <w:lvlJc w:val="left"/>
      <w:lvlText w:val="%1."/>
      <w:numFmt w:val="decimal"/>
      <w:start w:val="3"/>
    </w:lvl>
    <w:lvl w:ilvl="1">
      <w:lvlJc w:val="left"/>
      <w:lvlText w:val="%2."/>
      <w:numFmt w:val="lowerLetter"/>
      <w:start w:val="1"/>
    </w:lvl>
  </w:abstractNum>
  <w:abstractNum w:abstractNumId="68">
    <w:nsid w:val="9DAF6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532999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0">
    <w:nsid w:val="1FBFE8E0"/>
    <w:multiLevelType w:val="hybridMultilevel"/>
    <w:lvl w:ilvl="0">
      <w:lvlJc w:val="left"/>
      <w:lvlText w:val="%1."/>
      <w:numFmt w:val="lowerLetter"/>
      <w:start w:val="1"/>
    </w:lvl>
  </w:abstractNum>
  <w:abstractNum w:abstractNumId="71">
    <w:nsid w:val="5092CA79"/>
    <w:multiLevelType w:val="hybridMultilevel"/>
    <w:lvl w:ilvl="0">
      <w:lvlJc w:val="left"/>
      <w:lvlText w:val="%1"/>
      <w:numFmt w:val="decimal"/>
      <w:start w:val="1"/>
    </w:lvl>
    <w:lvl w:ilvl="1">
      <w:lvlJc w:val="left"/>
      <w:lvlText w:val="%2."/>
      <w:numFmt w:val="lowerLetter"/>
      <w:start w:val="8"/>
    </w:lvl>
  </w:abstractNum>
  <w:abstractNum w:abstractNumId="72">
    <w:nsid w:val="1D545C4D"/>
    <w:multiLevelType w:val="hybridMultilevel"/>
    <w:lvl w:ilvl="0">
      <w:lvlJc w:val="left"/>
      <w:lvlText w:val="%1."/>
      <w:numFmt w:val="decimal"/>
      <w:start w:val="6"/>
    </w:lvl>
    <w:lvl w:ilvl="1">
      <w:lvlJc w:val="left"/>
      <w:lvlText w:val="%2"/>
      <w:numFmt w:val="lowerLetter"/>
      <w:start w:val="1"/>
    </w:lvl>
  </w:abstractNum>
  <w:abstractNum w:abstractNumId="73">
    <w:nsid w:val="59ADEA3D"/>
    <w:multiLevelType w:val="hybridMultilevel"/>
    <w:lvl w:ilvl="0">
      <w:lvlJc w:val="left"/>
      <w:lvlText w:val="%1."/>
      <w:numFmt w:val="decimal"/>
      <w:start w:val="8"/>
    </w:lvl>
  </w:abstractNum>
  <w:abstractNum w:abstractNumId="74">
    <w:nsid w:val="288F1A34"/>
    <w:multiLevelType w:val="hybridMultilevel"/>
    <w:lvl w:ilvl="0">
      <w:lvlJc w:val="left"/>
      <w:lvlText w:val="%1."/>
      <w:numFmt w:val="decimal"/>
      <w:start w:val="12"/>
    </w:lvl>
    <w:lvl w:ilvl="1">
      <w:lvlJc w:val="left"/>
      <w:lvlText w:val="(%2)"/>
      <w:numFmt w:val="lowerLetter"/>
      <w:start w:val="1"/>
    </w:lvl>
  </w:abstractNum>
  <w:abstractNum w:abstractNumId="75">
    <w:nsid w:val="2A155DBC"/>
    <w:multiLevelType w:val="hybridMultilevel"/>
    <w:lvl w:ilvl="0">
      <w:lvlJc w:val="left"/>
      <w:lvlText w:val="(%1)"/>
      <w:numFmt w:val="lowerLetter"/>
      <w:start w:val="2"/>
    </w:lvl>
  </w:abstractNum>
  <w:abstractNum w:abstractNumId="76">
    <w:nsid w:val="1D9F6E5F"/>
    <w:multiLevelType w:val="hybridMultilevel"/>
    <w:lvl w:ilvl="0">
      <w:lvlJc w:val="left"/>
      <w:lvlText w:val="%1."/>
      <w:numFmt w:val="decimal"/>
      <w:start w:val="16"/>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1)"/>
      <w:numFmt w:val="lowerLetter"/>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1)"/>
      <w:numFmt w:val="lowerLetter"/>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1)"/>
      <w:numFmt w:val="lowerLetter"/>
      <w:start w:val="4"/>
    </w:lvl>
  </w:abstractNum>
  <w:abstractNum w:abstractNumId="89">
    <w:nsid w:val="78DF6A55"/>
    <w:multiLevelType w:val="hybridMultilevel"/>
    <w:lvl w:ilvl="0">
      <w:lvlJc w:val="left"/>
      <w:lvlText w:val="(%1)"/>
      <w:numFmt w:val="lowerLetter"/>
      <w:start w:val="5"/>
    </w:lvl>
  </w:abstractNum>
  <w:abstractNum w:abstractNumId="90">
    <w:nsid w:val="39B7AAA2"/>
    <w:multiLevelType w:val="hybridMultilevel"/>
    <w:lvl w:ilvl="0">
      <w:lvlJc w:val="left"/>
      <w:lvlText w:val="(%1)"/>
      <w:numFmt w:val="lowerLetter"/>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1)"/>
      <w:numFmt w:val="lowerLetter"/>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1)"/>
      <w:numFmt w:val="lowerLetter"/>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1)"/>
      <w:numFmt w:val="lowerLetter"/>
      <w:start w:val="2"/>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1)"/>
      <w:numFmt w:val="lowerLetter"/>
      <w:start w:val="1"/>
    </w:lvl>
  </w:abstractNum>
  <w:abstractNum w:abstractNumId="101">
    <w:nsid w:val="3DB012B3"/>
    <w:multiLevelType w:val="hybridMultilevel"/>
    <w:lvl w:ilvl="0">
      <w:lvlJc w:val="left"/>
      <w:lvlText w:val="(%1)"/>
      <w:numFmt w:val="lowerLetter"/>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1)"/>
      <w:numFmt w:val="lowerLetter"/>
      <w:start w:val="2"/>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1)"/>
      <w:numFmt w:val="lowerLetter"/>
      <w:start w:val="1"/>
    </w:lvl>
    <w:lvl w:ilvl="1">
      <w:lvlJc w:val="left"/>
      <w:lvlText w:val="%2)"/>
      <w:numFmt w:val="lowerRoman"/>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1)"/>
      <w:numFmt w:val="lowerLetter"/>
      <w:start w:val="1"/>
    </w:lvl>
  </w:abstractNum>
  <w:abstractNum w:abstractNumId="108">
    <w:nsid w:val="5915FF32"/>
    <w:multiLevelType w:val="hybridMultilevel"/>
    <w:lvl w:ilvl="0">
      <w:lvlJc w:val="left"/>
      <w:lvlText w:val="(%1)"/>
      <w:numFmt w:val="lowerLetter"/>
      <w:start w:val="1"/>
    </w:lvl>
  </w:abstractNum>
  <w:abstractNum w:abstractNumId="109">
    <w:nsid w:val="56438D15"/>
    <w:multiLevelType w:val="hybridMultilevel"/>
    <w:lvl w:ilvl="0">
      <w:lvlJc w:val="left"/>
      <w:lvlText w:val="[*]"/>
      <w:numFmt w:val="bullet"/>
      <w:start w:val="1"/>
    </w:lvl>
  </w:abstractNum>
  <w:abstractNum w:abstractNumId="110">
    <w:nsid w:val="519E3149"/>
    <w:multiLevelType w:val="hybridMultilevel"/>
    <w:lvl w:ilvl="0">
      <w:lvlJc w:val="left"/>
      <w:lvlText w:val="%1"/>
      <w:numFmt w:val="lowerLetter"/>
      <w:start w:val="1"/>
    </w:lvl>
    <w:lvl w:ilvl="1">
      <w:lvlJc w:val="left"/>
      <w:lvlText w:val="(%2)"/>
      <w:numFmt w:val="lowerLetter"/>
      <w:start w:val="1"/>
    </w:lvl>
  </w:abstractNum>
  <w:abstractNum w:abstractNumId="111">
    <w:nsid w:val="2C6E4AFD"/>
    <w:multiLevelType w:val="hybridMultilevel"/>
    <w:lvl w:ilvl="0">
      <w:lvlJc w:val="left"/>
      <w:lvlText w:val="(%1)"/>
      <w:numFmt w:val="lowerLetter"/>
      <w:start w:val="2"/>
    </w:lvl>
    <w:lvl w:ilvl="1">
      <w:lvlJc w:val="left"/>
      <w:lvlText w:val="(%2)"/>
      <w:numFmt w:val="lowerLetter"/>
      <w:start w:val="2"/>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1)"/>
      <w:numFmt w:val="lowerLetter"/>
      <w:start w:val="1"/>
    </w:lvl>
  </w:abstractNum>
  <w:abstractNum w:abstractNumId="115">
    <w:nsid w:val="5D888A08"/>
    <w:multiLevelType w:val="hybridMultilevel"/>
    <w:lvl w:ilvl="0">
      <w:lvlJc w:val="left"/>
      <w:lvlText w:val="[*]"/>
      <w:numFmt w:val="bullet"/>
      <w:start w:val="1"/>
    </w:lvl>
  </w:abstractNum>
  <w:abstractNum w:abstractNumId="116">
    <w:nsid w:val="2A082C70"/>
    <w:multiLevelType w:val="hybridMultilevel"/>
    <w:lvl w:ilvl="0">
      <w:lvlJc w:val="left"/>
      <w:lvlText w:val="(%1)"/>
      <w:numFmt w:val="lowerLetter"/>
      <w:start w:val="2"/>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
      <w:numFmt w:val="bullet"/>
      <w:start w:val="1"/>
    </w:lvl>
    <w:lvl w:ilvl="1">
      <w:lvlJc w:val="left"/>
      <w:lvlText w:val="(%2)"/>
      <w:numFmt w:val="lowerLetter"/>
      <w:start w:val="1"/>
    </w:lvl>
  </w:abstractNum>
  <w:abstractNum w:abstractNumId="119">
    <w:nsid w:val="75E0858A"/>
    <w:multiLevelType w:val="hybridMultilevel"/>
    <w:lvl w:ilvl="0">
      <w:lvlJc w:val="left"/>
      <w:lvlText w:val="[*]"/>
      <w:numFmt w:val="bullet"/>
      <w:start w:val="1"/>
    </w:lvl>
    <w:lvl w:ilvl="1">
      <w:lvlJc w:val="left"/>
      <w:lvlText w:val="(%2)"/>
      <w:numFmt w:val="lowerLetter"/>
      <w:start w:val="2"/>
    </w:lvl>
  </w:abstractNum>
  <w:abstractNum w:abstractNumId="120">
    <w:nsid w:val="57A61A29"/>
    <w:multiLevelType w:val="hybridMultilevel"/>
    <w:lvl w:ilvl="0">
      <w:lvlJc w:val="left"/>
      <w:lvlText w:val="(%1)"/>
      <w:numFmt w:val="lowerLetter"/>
      <w:start w:val="1"/>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1)"/>
      <w:numFmt w:val="lowerLetter"/>
      <w:start w:val="3"/>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1)"/>
      <w:numFmt w:val="lowerLetter"/>
      <w:start w:val="1"/>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
      <w:numFmt w:val="bullet"/>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
      <w:numFmt w:val="bullet"/>
      <w:start w:val="1"/>
    </w:lvl>
  </w:abstractNum>
  <w:abstractNum w:abstractNumId="132">
    <w:nsid w:val="4BEE5A5B"/>
    <w:multiLevelType w:val="hybridMultilevel"/>
    <w:lvl w:ilvl="0">
      <w:lvlJc w:val="left"/>
      <w:lvlText w:val="(%1)"/>
      <w:numFmt w:val="decimal"/>
      <w:start w:val="1"/>
    </w:lvl>
  </w:abstractNum>
  <w:abstractNum w:abstractNumId="133">
    <w:nsid w:val="5551B9F3"/>
    <w:multiLevelType w:val="hybridMultilevel"/>
    <w:lvl w:ilvl="0">
      <w:lvlJc w:val="left"/>
      <w:lvlText w:val="[*]"/>
      <w:numFmt w:val="bullet"/>
      <w:start w:val="1"/>
    </w:lvl>
  </w:abstractNum>
  <w:abstractNum w:abstractNumId="134">
    <w:nsid w:val="24F6AB8E"/>
    <w:multiLevelType w:val="hybridMultilevel"/>
    <w:lvl w:ilvl="0">
      <w:lvlJc w:val="left"/>
      <w:lvlText w:val="(%1)"/>
      <w:numFmt w:val="decimal"/>
      <w:start w:val="3"/>
    </w:lvl>
  </w:abstractNum>
  <w:abstractNum w:abstractNumId="135">
    <w:nsid w:val="634C574C"/>
    <w:multiLevelType w:val="hybridMultilevel"/>
    <w:lvl w:ilvl="0">
      <w:lvlJc w:val="left"/>
      <w:lvlText w:val="(%1)"/>
      <w:numFmt w:val="decimal"/>
      <w:start w:val="3"/>
    </w:lvl>
    <w:lvl w:ilvl="1">
      <w:lvlJc w:val="left"/>
      <w:lvlText w:val="[*]"/>
      <w:numFmt w:val="bullet"/>
      <w:start w:val="1"/>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03" Type="http://schemas.openxmlformats.org/officeDocument/2006/relationships/hyperlink" Target="http://www.sec.gov/Archives/edgar/data/921299/000119312514420380/d824859dex31.htm" TargetMode="External"/><Relationship Id="rId104" Type="http://schemas.openxmlformats.org/officeDocument/2006/relationships/hyperlink" Target="http://www.sec.gov/Archives/edgar/data/921299/000119312514380087/d720189dex34.htm" TargetMode="External"/><Relationship Id="rId105" Type="http://schemas.openxmlformats.org/officeDocument/2006/relationships/hyperlink" Target="http://www.sec.gov/Archives/edgar/data/921299/000119312514420380/d824859dex41.htm" TargetMode="External"/><Relationship Id="rId106" Type="http://schemas.openxmlformats.org/officeDocument/2006/relationships/hyperlink" Target="http://www.sec.gov/Archives/edgar/data/0000921299/000156459017022738/fgen-ex46_97.htm" TargetMode="External"/><Relationship Id="rId107" Type="http://schemas.openxmlformats.org/officeDocument/2006/relationships/hyperlink" Target="http://www.sec.gov/Archives/edgar/data/0000921299/000119312514381669/d720189dex417.htm" TargetMode="External"/><Relationship Id="rId108" Type="http://schemas.openxmlformats.org/officeDocument/2006/relationships/hyperlink" Target="http://www.sec.gov/Archives/edgar/data/0000921299/000156459021009871/fgen-ex211_2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2021-05-10T15:22:28Z</dcterms:created>
  <dcterms:modified xsi:type="dcterms:W3CDTF">2021-05-10T15:22:28Z</dcterms:modified>
</cp:coreProperties>
</file>