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ynb-20260630.htm"/>
      <w:bookmarkStart w:id="1" w:name="kskynb20260630"/>
      <w:bookmarkEnd w:id="0"/>
      <w:bookmarkEnd w:id="1"/>
      <w:r>
        <w:rPr/>
        <w:t> </w:t>
      </w:r>
    </w:p>
    <w:p>
      <w:pPr>
        <w:pStyle w:val="TextBody"/>
        <w:bidi w:val="0"/>
        <w:jc w:val="left"/>
        <w:rPr/>
      </w:pPr>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aps/>
          <w:color w:val="000000"/>
          <w:sz w:val="36"/>
        </w:rPr>
        <w:t>F</w:t>
      </w:r>
      <w:r>
        <w:rPr>
          <w:rFonts w:ascii="Times New Roman" w:hAnsi="Times New Roman"/>
          <w:b/>
          <w:color w:val="000000"/>
          <w:sz w:val="36"/>
        </w:rPr>
        <w:t>orm 10-Q</w:t>
      </w:r>
    </w:p>
    <w:p>
      <w:pPr>
        <w:pStyle w:val="TextBody"/>
        <w:pBdr>
          <w:bottom w:val="single" w:sz="4" w:space="1" w:color="000000"/>
        </w:pBdr>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20"/>
          <w:u w:val="single"/>
        </w:rPr>
        <w:t>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20"/>
          <w:u w:val="single"/>
        </w:rPr>
        <w:t>_______</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001-36740</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KYNTRA 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063" w:type="dxa"/>
        <w:jc w:val="left"/>
        <w:tblInd w:w="0" w:type="dxa"/>
        <w:tblLayout w:type="fixed"/>
        <w:tblCellMar>
          <w:top w:w="28" w:type="dxa"/>
          <w:left w:w="28" w:type="dxa"/>
          <w:bottom w:w="28" w:type="dxa"/>
          <w:right w:w="28" w:type="dxa"/>
        </w:tblCellMar>
      </w:tblPr>
      <w:tblGrid>
        <w:gridCol w:w="2431"/>
        <w:gridCol w:w="146"/>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77-0357827</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4093" w:type="dxa"/>
        <w:jc w:val="left"/>
        <w:tblInd w:w="0" w:type="dxa"/>
        <w:tblLayout w:type="fixed"/>
        <w:tblCellMar>
          <w:top w:w="28" w:type="dxa"/>
          <w:left w:w="28" w:type="dxa"/>
          <w:bottom w:w="28" w:type="dxa"/>
          <w:right w:w="28" w:type="dxa"/>
        </w:tblCellMar>
      </w:tblPr>
      <w:tblGrid>
        <w:gridCol w:w="3016"/>
        <w:gridCol w:w="146"/>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 Bay Street,</w:t>
            </w:r>
            <w:r>
              <w:rPr>
                <w:rFonts w:ascii="Times New Roman" w:hAnsi="Times New Roman"/>
                <w:color w:val="000000"/>
                <w:sz w:val="20"/>
              </w:rPr>
              <w:t xml:space="preserve"> </w:t>
            </w:r>
            <w:r>
              <w:rPr>
                <w:rFonts w:ascii="Times New Roman" w:hAnsi="Times New Roman"/>
                <w:b/>
                <w:color w:val="000000"/>
                <w:sz w:val="20"/>
              </w:rPr>
              <w:t>Suite 100, #6009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94133</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978-1200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731"/>
        <w:gridCol w:w="1501"/>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5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5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KYNB</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58" w:type="dxa"/>
        <w:jc w:val="left"/>
        <w:tblInd w:w="0" w:type="dxa"/>
        <w:tblLayout w:type="fixed"/>
        <w:tblCellMar>
          <w:top w:w="28" w:type="dxa"/>
          <w:left w:w="28" w:type="dxa"/>
          <w:bottom w:w="28" w:type="dxa"/>
          <w:right w:w="28" w:type="dxa"/>
        </w:tblCellMar>
      </w:tblPr>
      <w:tblGrid>
        <w:gridCol w:w="2142"/>
        <w:gridCol w:w="492"/>
        <w:gridCol w:w="2487"/>
        <w:gridCol w:w="537"/>
      </w:tblGrid>
      <w:tr>
        <w:trPr/>
        <w:tc>
          <w:tcPr>
            <w:tcW w:w="214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ind w:left="0" w:right="0" w:firstLine="176"/>
              <w:jc w:val="left"/>
              <w:rPr>
                <w:sz w:val="4"/>
                <w:szCs w:val="4"/>
              </w:rPr>
            </w:pPr>
            <w:r>
              <w:rPr>
                <w:sz w:val="4"/>
                <w:szCs w:val="4"/>
              </w:rPr>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 xml:space="preserve">Large accelerated filer </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 xml:space="preserve">Accelerated filer </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Non-accelerated filer</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Smaller reporting company</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tcMar>
              <w:top w:w="0" w:type="dxa"/>
              <w:left w:w="0" w:type="dxa"/>
              <w:bottom w:w="0" w:type="dxa"/>
              <w:right w:w="0" w:type="dxa"/>
            </w:tcMar>
            <w:vAlign w:val="center"/>
          </w:tcPr>
          <w:p>
            <w:pPr>
              <w:pStyle w:val="TableContents"/>
              <w:bidi w:val="0"/>
              <w:spacing w:before="0" w:after="283"/>
              <w:ind w:left="0" w:right="0" w:firstLine="176"/>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c>
          <w:tcPr>
            <w:tcW w:w="248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Emerging growth company</w:t>
            </w:r>
          </w:p>
        </w:tc>
        <w:tc>
          <w:tcPr>
            <w:tcW w:w="537" w:type="dxa"/>
            <w:tcBorders/>
            <w:tcMar>
              <w:top w:w="0" w:type="dxa"/>
              <w:left w:w="0" w:type="dxa"/>
              <w:bottom w:w="0" w:type="dxa"/>
              <w:right w:w="0" w:type="dxa"/>
            </w:tcMar>
            <w:vAlign w:val="center"/>
          </w:tcPr>
          <w:p>
            <w:pPr>
              <w:pStyle w:val="TableContents"/>
              <w:bidi w:val="0"/>
              <w:spacing w:before="0" w:after="283"/>
              <w:ind w:left="0" w:right="0" w:firstLine="176"/>
              <w:jc w:val="left"/>
              <w:rPr>
                <w:color w:val="000000"/>
              </w:rPr>
            </w:pPr>
            <w:r>
              <w:rPr>
                <w:color w:val="00000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Exchange Act Rule 12b-2). Yes ☐ No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number of shares of common stock outstanding as of July 31, 2026 was 4,049,124.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0"/>
        <w:gridCol w:w="8687"/>
        <w:gridCol w:w="146"/>
        <w:gridCol w:w="482"/>
      </w:tblGrid>
      <w:tr>
        <w:trPr/>
        <w:tc>
          <w:tcPr>
            <w:tcW w:w="890" w:type="dxa"/>
            <w:tcBorders/>
            <w:vAlign w:val="center"/>
          </w:tcPr>
          <w:p>
            <w:pPr>
              <w:pStyle w:val="TableContents"/>
              <w:bidi w:val="0"/>
              <w:spacing w:before="0" w:after="283"/>
              <w:jc w:val="left"/>
              <w:rPr>
                <w:sz w:val="4"/>
                <w:szCs w:val="4"/>
              </w:rPr>
            </w:pPr>
            <w:r>
              <w:rPr>
                <w:sz w:val="4"/>
                <w:szCs w:val="4"/>
              </w:rPr>
            </w:r>
          </w:p>
        </w:tc>
        <w:tc>
          <w:tcPr>
            <w:tcW w:w="8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condensed_consolidated_financial">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ompre">
              <w:r>
                <w:rPr>
                  <w:rStyle w:val="InternetLink"/>
                  <w:rFonts w:ascii="Times New Roman" w:hAnsi="Times New Roman"/>
                  <w:color w:val="0000FF"/>
                  <w:sz w:val="20"/>
                  <w:u w:val="single"/>
                </w:rPr>
                <w:t>Condensed Consolidated Statements of Comprehensive Income (Loss)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equity">
              <w:r>
                <w:rPr>
                  <w:rStyle w:val="InternetLink"/>
                  <w:rFonts w:ascii="Times New Roman" w:hAnsi="Times New Roman"/>
                  <w:color w:val="0000FF"/>
                  <w:sz w:val="20"/>
                  <w:u w:val="single"/>
                </w:rPr>
                <w:t>Condensed Consolidated Statements of Changes in Redeemable Non-controlling Interests and Stockholders’ Deficit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condensed_consolidated_financia">
              <w:r>
                <w:rPr>
                  <w:rStyle w:val="InternetLink"/>
                  <w:rFonts w:ascii="Times New Roman" w:hAnsi="Times New Roman"/>
                  <w:color w:val="0000FF"/>
                  <w:sz w:val="20"/>
                  <w:u w:val="single"/>
                </w:rPr>
                <w:t>Notes to the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77" w:type="dxa"/>
            <w:gridSpan w:val="2"/>
            <w:tcBorders/>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1A.</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5.</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6.</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90"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60" w:after="283"/>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8"/>
        <w:gridCol w:w="246"/>
        <w:gridCol w:w="198"/>
        <w:gridCol w:w="901"/>
        <w:gridCol w:w="246"/>
        <w:gridCol w:w="246"/>
        <w:gridCol w:w="227"/>
        <w:gridCol w:w="1029"/>
        <w:gridCol w:w="594"/>
      </w:tblGrid>
      <w:tr>
        <w:trPr/>
        <w:tc>
          <w:tcPr>
            <w:tcW w:w="65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50,644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47,872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40,674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41,106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99,073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101,078</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119,594</w:t>
            </w:r>
          </w:p>
        </w:tc>
        <w:tc>
          <w:tcPr>
            <w:tcW w:w="5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non-controlling interests and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and other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29,242</w:t>
            </w:r>
          </w:p>
        </w:tc>
        <w:tc>
          <w:tcPr>
            <w:tcW w:w="5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development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19,560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 net of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Liability related to sale of future revenues, non-current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65,980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109,222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115,119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125,000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 xml:space="preserve">shares issued </w:t>
              <w:br/>
              <w:t>   and outstanding at June 30, 2026 and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225,000</w:t>
            </w:r>
            <w:r>
              <w:rPr>
                <w:rFonts w:ascii="Times New Roman" w:hAnsi="Times New Roman"/>
                <w:color w:val="000000"/>
                <w:sz w:val="20"/>
              </w:rPr>
              <w:t> </w:t>
            </w:r>
            <w:r>
              <w:rPr>
                <w:rFonts w:ascii="Times New Roman" w:hAnsi="Times New Roman"/>
                <w:color w:val="000000"/>
                <w:sz w:val="16"/>
              </w:rPr>
              <w:t>shares authorized at June 30, 2026 and December 31, 2025; 4,049</w:t>
            </w:r>
            <w:r>
              <w:rPr>
                <w:rFonts w:ascii="Times New Roman" w:hAnsi="Times New Roman"/>
                <w:color w:val="000000"/>
                <w:sz w:val="20"/>
              </w:rPr>
              <w:t> </w:t>
            </w:r>
            <w:r>
              <w:rPr>
                <w:rFonts w:ascii="Times New Roman" w:hAnsi="Times New Roman"/>
                <w:color w:val="000000"/>
                <w:sz w:val="16"/>
              </w:rPr>
              <w:t>and 4,047</w:t>
            </w:r>
            <w:r>
              <w:rPr>
                <w:rFonts w:ascii="Times New Roman" w:hAnsi="Times New Roman"/>
                <w:color w:val="000000"/>
                <w:sz w:val="20"/>
              </w:rPr>
              <w:t> </w:t>
            </w:r>
            <w:r>
              <w:rPr>
                <w:rFonts w:ascii="Times New Roman" w:hAnsi="Times New Roman"/>
                <w:color w:val="000000"/>
                <w:sz w:val="16"/>
              </w:rPr>
              <w:t>shares issued and outstanding at June 30, 2026 and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1,680,274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1,677,179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(1,709,271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(1,706,047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stockholders’ deficit attributable to Kyntra Bio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Nonredeemable non-controlling interests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redeemable non-controlling interests and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101,078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119,594</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696"/>
        <w:gridCol w:w="146"/>
        <w:gridCol w:w="215"/>
        <w:gridCol w:w="752"/>
        <w:gridCol w:w="169"/>
        <w:gridCol w:w="148"/>
        <w:gridCol w:w="215"/>
        <w:gridCol w:w="752"/>
        <w:gridCol w:w="166"/>
        <w:gridCol w:w="146"/>
        <w:gridCol w:w="211"/>
        <w:gridCol w:w="736"/>
        <w:gridCol w:w="166"/>
        <w:gridCol w:w="146"/>
        <w:gridCol w:w="211"/>
        <w:gridCol w:w="736"/>
        <w:gridCol w:w="594"/>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deconsolidation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11,974</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(30,449</w:t>
            </w:r>
          </w:p>
        </w:tc>
        <w:tc>
          <w:tcPr>
            <w:tcW w:w="5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(loss) from continuing operations per share - basic </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(loss) from discontinued operations per share - basic </w:t>
              <w:br/>
              <w:t>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5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used to calculate</w:t>
              <w:br/>
              <w:t>   net income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134" w:type="dxa"/>
        <w:jc w:val="left"/>
        <w:tblInd w:w="0" w:type="dxa"/>
        <w:tblLayout w:type="fixed"/>
        <w:tblCellMar>
          <w:top w:w="28" w:type="dxa"/>
          <w:left w:w="28" w:type="dxa"/>
          <w:bottom w:w="28" w:type="dxa"/>
          <w:right w:w="28" w:type="dxa"/>
        </w:tblCellMar>
      </w:tblPr>
      <w:tblGrid>
        <w:gridCol w:w="4956"/>
        <w:gridCol w:w="146"/>
        <w:gridCol w:w="236"/>
        <w:gridCol w:w="757"/>
        <w:gridCol w:w="163"/>
        <w:gridCol w:w="163"/>
        <w:gridCol w:w="236"/>
        <w:gridCol w:w="707"/>
        <w:gridCol w:w="166"/>
        <w:gridCol w:w="146"/>
        <w:gridCol w:w="218"/>
        <w:gridCol w:w="654"/>
        <w:gridCol w:w="172"/>
        <w:gridCol w:w="151"/>
        <w:gridCol w:w="218"/>
        <w:gridCol w:w="654"/>
        <w:gridCol w:w="391"/>
      </w:tblGrid>
      <w:tr>
        <w:trPr/>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income (loss) on investments, net of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11,977</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sz w:val="20"/>
        </w:rPr>
      </w:pPr>
      <w:bookmarkStart w:id="8" w:name="condensed_consolidated_statements_equity"/>
      <w:bookmarkEnd w:id="8"/>
      <w:r>
        <w:rPr>
          <w:rFonts w:ascii="Times New Roman" w:hAnsi="Times New Roman"/>
          <w:b/>
          <w:color w:val="000000"/>
          <w:sz w:val="20"/>
        </w:rPr>
        <w:t>CONDENSED CONSOLIDATED STATEMENTS OF CHANGES IN REDEEMABLE NON-CONTROLLING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INTERESTS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836" w:type="dxa"/>
        <w:jc w:val="left"/>
        <w:tblInd w:w="0" w:type="dxa"/>
        <w:tblLayout w:type="fixed"/>
        <w:tblCellMar>
          <w:top w:w="28" w:type="dxa"/>
          <w:left w:w="28" w:type="dxa"/>
          <w:bottom w:w="28" w:type="dxa"/>
          <w:right w:w="28" w:type="dxa"/>
        </w:tblCellMar>
      </w:tblPr>
      <w:tblGrid>
        <w:gridCol w:w="1246"/>
        <w:gridCol w:w="146"/>
        <w:gridCol w:w="146"/>
        <w:gridCol w:w="826"/>
        <w:gridCol w:w="166"/>
        <w:gridCol w:w="146"/>
        <w:gridCol w:w="196"/>
        <w:gridCol w:w="511"/>
        <w:gridCol w:w="146"/>
        <w:gridCol w:w="146"/>
        <w:gridCol w:w="196"/>
        <w:gridCol w:w="826"/>
        <w:gridCol w:w="166"/>
        <w:gridCol w:w="146"/>
        <w:gridCol w:w="260"/>
        <w:gridCol w:w="761"/>
        <w:gridCol w:w="166"/>
        <w:gridCol w:w="146"/>
        <w:gridCol w:w="196"/>
        <w:gridCol w:w="886"/>
        <w:gridCol w:w="166"/>
        <w:gridCol w:w="146"/>
        <w:gridCol w:w="250"/>
        <w:gridCol w:w="846"/>
        <w:gridCol w:w="166"/>
        <w:gridCol w:w="146"/>
        <w:gridCol w:w="196"/>
        <w:gridCol w:w="751"/>
        <w:gridCol w:w="166"/>
        <w:gridCol w:w="146"/>
        <w:gridCol w:w="146"/>
        <w:gridCol w:w="269"/>
        <w:gridCol w:w="827"/>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3"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4,048,112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w:t>
              <w:br/>
              <w:t xml:space="preserve">   gain or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xml:space="preserve">   translation </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Deconsolidation of </w:t>
              <w:br/>
              <w:t>   foreign subsidiary (Note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4,049,124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4,041,758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translation </w:t>
              <w:br/>
              <w: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plans, net of payroll taxes</w:t>
              <w:br/>
              <w: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Redemption of fractional</w:t>
              <w:br/>
              <w:t xml:space="preserve">   shares due to reverse </w:t>
              <w:br/>
              <w:t>   stock split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4,043,899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CONSOLIDATED STATEMENTS OF CHANGES IN REDEEMABLE NON-CONTROLLING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INTERESTS AND STOCKHOLDERS’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1856" w:type="dxa"/>
        <w:jc w:val="left"/>
        <w:tblInd w:w="0" w:type="dxa"/>
        <w:tblLayout w:type="fixed"/>
        <w:tblCellMar>
          <w:top w:w="28" w:type="dxa"/>
          <w:left w:w="28" w:type="dxa"/>
          <w:bottom w:w="28" w:type="dxa"/>
          <w:right w:w="28" w:type="dxa"/>
        </w:tblCellMar>
      </w:tblPr>
      <w:tblGrid>
        <w:gridCol w:w="1246"/>
        <w:gridCol w:w="146"/>
        <w:gridCol w:w="146"/>
        <w:gridCol w:w="826"/>
        <w:gridCol w:w="166"/>
        <w:gridCol w:w="146"/>
        <w:gridCol w:w="196"/>
        <w:gridCol w:w="511"/>
        <w:gridCol w:w="166"/>
        <w:gridCol w:w="146"/>
        <w:gridCol w:w="196"/>
        <w:gridCol w:w="826"/>
        <w:gridCol w:w="166"/>
        <w:gridCol w:w="146"/>
        <w:gridCol w:w="260"/>
        <w:gridCol w:w="761"/>
        <w:gridCol w:w="166"/>
        <w:gridCol w:w="146"/>
        <w:gridCol w:w="196"/>
        <w:gridCol w:w="886"/>
        <w:gridCol w:w="166"/>
        <w:gridCol w:w="146"/>
        <w:gridCol w:w="250"/>
        <w:gridCol w:w="846"/>
        <w:gridCol w:w="166"/>
        <w:gridCol w:w="146"/>
        <w:gridCol w:w="196"/>
        <w:gridCol w:w="751"/>
        <w:gridCol w:w="166"/>
        <w:gridCol w:w="146"/>
        <w:gridCol w:w="146"/>
        <w:gridCol w:w="269"/>
        <w:gridCol w:w="827"/>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3"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4,046,827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w:t>
              <w:br/>
              <w:t xml:space="preserve">   gain or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xml:space="preserve">   translation </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Deconsolidation of </w:t>
              <w:br/>
              <w:t>   foreign subsidiary (Note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4,049,124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4,036,678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w:t>
              <w:br/>
              <w:t xml:space="preserve">   gain or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cost under </w:t>
              <w:br/>
              <w:t>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Redemption of fractional</w:t>
              <w:br/>
              <w:t xml:space="preserve">   shares due to reverse </w:t>
              <w:br/>
              <w:t>   stock split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4,043,899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7821" w:type="dxa"/>
        <w:jc w:val="left"/>
        <w:tblInd w:w="0" w:type="dxa"/>
        <w:tblLayout w:type="fixed"/>
        <w:tblCellMar>
          <w:top w:w="28" w:type="dxa"/>
          <w:left w:w="28" w:type="dxa"/>
          <w:bottom w:w="28" w:type="dxa"/>
          <w:right w:w="28" w:type="dxa"/>
        </w:tblCellMar>
      </w:tblPr>
      <w:tblGrid>
        <w:gridCol w:w="4831"/>
        <w:gridCol w:w="146"/>
        <w:gridCol w:w="213"/>
        <w:gridCol w:w="718"/>
        <w:gridCol w:w="180"/>
        <w:gridCol w:w="158"/>
        <w:gridCol w:w="213"/>
        <w:gridCol w:w="751"/>
        <w:gridCol w:w="61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provided by (used in)</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accretion of premium and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income in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deconsolidation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expense related to sale of future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for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related to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deconsolidated upon loss of control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31,761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Repayments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payroll taxes on restricted stock unit releases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issuance cost under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50,644</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KYNTRA BIO, INC.</w:t>
      </w:r>
    </w:p>
    <w:p>
      <w:pPr>
        <w:pStyle w:val="TextBody"/>
        <w:bidi w:val="0"/>
        <w:spacing w:before="240" w:after="283"/>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Kyntra Bio, Inc. (“Kyntra Bio” or the “Company”) is a biopharmaceutical company focused on development of novel therapies in oncology and rare disease.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the Company announced its rebranding from “FibroGen, Inc.” to “Kyntra Bio, Inc.,” representing the next step of its transformation to focus on oncology and rare disease assets. On January 8, 2026, the Company’s common stock began trading under the new Nasdaq symbol “KYNB.”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The Company initiated a Phase 2 monotherapy dose optimization study of FG-3246 for the treatment of mCRPC, along with the exploratory sub-study of FG-3180, in the third quarter of 2025.</w:t>
      </w:r>
    </w:p>
    <w:p>
      <w:pPr>
        <w:pStyle w:val="TextBody"/>
        <w:bidi w:val="0"/>
        <w:spacing w:before="240" w:after="283"/>
        <w:jc w:val="left"/>
        <w:rPr/>
      </w:pPr>
      <w:r>
        <w:rPr>
          <w:rFonts w:ascii="Times New Roman" w:hAnsi="Times New Roman"/>
          <w:color w:val="000000"/>
          <w:sz w:val="20"/>
        </w:rPr>
        <w:t>The Company and its collaboration partners developed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Europe, Japan, the People’s Republic of China (“China”), and numerous other countries for the treatment of anemia in chronic kidney disease (“CKD”) patients on dialysis and not on dialysis.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August 29, 2025, the Company closed the sale of its China operations through FibroGen International (Hong Kong) Ltd. (“FibroGen International”) to AstraZeneca Treasury Limited pursuant to the share purchase agreement entered into by the Company and AstraZeneca Treasury Limited on February 20, 2025, as amended (the “Share Purchase Agreement”) for a total consideration of $220.4 million comprised of $85.0 million in enterprise value and $135.4 million in net cash held in China. AstraZeneca AB (“AstraZeneca”) was the Company’s long-time commercialization partner for roxadustat in greater China. This sale included all of its roxadustat assets in China, including FibroGen International’s subsidiary FibroGen (China) Medical Technology Development Co., Ltd (“FibroGen Beijing”) and its 51.1% interest in Beijing Falikang Pharmaceutical Co. Ltd. (“Falikang”). For additional details, refer to Note 3, </w:t>
      </w:r>
      <w:r>
        <w:rPr>
          <w:rFonts w:ascii="Times New Roman" w:hAnsi="Times New Roman"/>
          <w:i/>
          <w:color w:val="000000"/>
          <w:sz w:val="20"/>
        </w:rPr>
        <w:t>Discontinued Operations and Divestiture.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has retained the rights to roxadustat in the United States of America (“U.S.”), Canada, Mexico, and in all markets not held by AstraZeneca or licensed to Astellas Pharma Inc. (“Astellas”). 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continues to advance its development plan for roxadustat in anemia associated with lower-risk myelodysplastic syndromes (“MDS”), a high-value indication with significant unmet medical need. The Company has finalized the Phase 3 trial protocol for roxadustat for the treatment of anemia in patients with lower-risk MDS with high transfusion burden. The Company is continuing with preparations for the Phase 3 trial, while evaluating internal development and potential partnership opportunities for this late-stage program. The Company’s goal is to initiate the Phase 3 trial in the fourth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Food and Drug Administration granted roxadustat Orphan Drug Designation for the treatment of MDS in December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2025, filed on March 16,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interim financial data as of June 30, 2026 and for the three and six months ended June 30, 2026 are unaudited. In the opinion of management, the interim data includes all adjustments, consisting of normal recurring adjustments, necessary for a fair statement of the results for the interim periods. The condensed consolidated balance sheet presented as of December 31, 2025 has been derived from the consolidated audited financial statements as of that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the Company, its wholly-owned subsidiaries and its majority-owned subsidiaries, as well as any variable interest entity (“VIE”) for which Kyntra Bio is the primary beneficiary. All inter-company transactions and balances have been eliminated in consolidation.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deconsolidates its subsidiary or business in accordance with Accounting Standards Codification (“ASC”) 810, </w:t>
      </w:r>
      <w:r>
        <w:rPr>
          <w:rFonts w:ascii="Times New Roman" w:hAnsi="Times New Roman"/>
          <w:i/>
          <w:color w:val="000000"/>
          <w:sz w:val="20"/>
        </w:rPr>
        <w:t>Consolidation</w:t>
      </w:r>
      <w:r>
        <w:rPr>
          <w:rFonts w:ascii="Times New Roman" w:hAnsi="Times New Roman"/>
          <w:color w:val="000000"/>
          <w:sz w:val="20"/>
        </w:rPr>
        <w:t xml:space="preserve"> (“ASC 810”), as of the date the Company ceased to have a controlling financial interest in the subsidiary. Upon deconsolidation, all assets and liabilities of the former subsidiary are derecognized, any retained investment is recorded at its fair value, and any resulting gain or loss is recognized in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one reportable segment — the development and commercialization of novel therapeutics to treat serious unmet medical needs.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the Company entered into the Share Purchase Agreement with AstraZeneca Treasury Limited pursuant to which the Company and its subsidiary FibroGen China Anemia Holdings, Ltd. agreed to sell all of the issued and outstanding equity interests of FibroGen International to AstraZeneca Treasury Limited (the “Transaction”). This sale included all of the Company’s roxadustat assets in China, including FibroGen International’s subsidiary FibroGen Beijing and its 51.1% interest in Falikang. The Transaction was closed on August 29, 2025 for a total consideration of $220.4 million, subject to certain customary adjustments as set forth in the purchase agreement, comprised of $85.0 million in enterprise value and $135.4 million in net cash held in China.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analyzed the quantitative and qualitative factors and concluded that the sale of FibroGen International represents a strategic shift in the Company’s business and qualified as a discontinued operation since December 31, 2024. As a result, the Company determined that FibroGen International met the “discontinued operations” criteria in accordance with Financial Accounting Standard Board (“FASB”) ASC 205, Presentation of Financial Statements. Accordingly, the operating results related to FibroGen International and the gain (loss) related to the Transaction are classified as discontinued operations, and have been reflected as discontinued operations in the condensed consolidated statements of operations for all periods presented. See Note 3, </w:t>
      </w:r>
      <w:r>
        <w:rPr>
          <w:rFonts w:ascii="Times New Roman" w:hAnsi="Times New Roman"/>
          <w:i/>
          <w:color w:val="000000"/>
          <w:sz w:val="20"/>
        </w:rPr>
        <w:t>Discontinued Operations and Divestiture</w:t>
      </w:r>
      <w:r>
        <w:rPr>
          <w:rFonts w:ascii="Times New Roman" w:hAnsi="Times New Roman"/>
          <w:color w:val="000000"/>
          <w:sz w:val="20"/>
        </w:rPr>
        <w:t>, for related disclosures. Unless otherwise noted, discussion in the notes to the condensed consolidated financial statements, relates solely to the Company’s continuing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are prepared in accordance with the U.S. GAAP applicable to a going concern, which contemplates the realization of assets and the satisfaction of liabilities in the normal course of business. Based on its current operating plan, the Company believes that its existing cash and cash equivalents will be sufficient to fund the Company’s planned operating requirements for at least the 12 months following the issuance of the financial statements for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used by the Company in its presentation of interim financial results are consistent with those presented in Note 2 to the consolidated financial statements included in the Company’s Annual Report on Form 10-K for the year ended December 31, 2025, filed on March 16,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reported net income from continuing operations for the three months ended June 30, 2026. The effect of potentially dilutive securities to the diluted weighted-average shares outstanding is taken into consideration and the resulting impact on diluted net income per share were immaterial. Potential common shares that would have the effect of increasing diluted earnings per share are considered to be anti-dilutive and as such, these shares are not included in the calculation of diluted earnings per share. The Company reported a loss from continuing operations for the six months ended June 30, 2026 and the three and six months ended June 30, 2025. Therefore, dilutive common shares are not assumed to have been issued since their effect is anti-dilutive for these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pStyle w:val="TextBody"/>
        <w:bidi w:val="0"/>
        <w:jc w:val="left"/>
        <w:rPr/>
      </w:pPr>
      <w:r>
        <w:rPr/>
        <w:t> </w:t>
      </w:r>
    </w:p>
    <w:tbl>
      <w:tblPr>
        <w:tblW w:w="7529" w:type="dxa"/>
        <w:jc w:val="left"/>
        <w:tblInd w:w="0" w:type="dxa"/>
        <w:tblLayout w:type="fixed"/>
        <w:tblCellMar>
          <w:top w:w="28" w:type="dxa"/>
          <w:left w:w="28" w:type="dxa"/>
          <w:bottom w:w="28" w:type="dxa"/>
          <w:right w:w="28" w:type="dxa"/>
        </w:tblCellMar>
      </w:tblPr>
      <w:tblGrid>
        <w:gridCol w:w="2566"/>
        <w:gridCol w:w="146"/>
        <w:gridCol w:w="232"/>
        <w:gridCol w:w="668"/>
        <w:gridCol w:w="232"/>
        <w:gridCol w:w="232"/>
        <w:gridCol w:w="232"/>
        <w:gridCol w:w="668"/>
        <w:gridCol w:w="146"/>
        <w:gridCol w:w="146"/>
        <w:gridCol w:w="212"/>
        <w:gridCol w:w="611"/>
        <w:gridCol w:w="212"/>
        <w:gridCol w:w="212"/>
        <w:gridCol w:w="212"/>
        <w:gridCol w:w="611"/>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PRSUs and TSR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Guidance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and relevantly in January 2025, the FASB issued ASU 2025-01, Income Statement - Reporting Comprehensive Income - Expense Disaggregation Disclosures (Subtopic 220-40): Clarifying the Effective Date. The guidance requires entities to disaggregate operating expenses into specific categories to provide enhanced transparency into the nature and function of expenses. This guidance is effective for fiscal years beginning after December 15, 2026, and for interim periods within fiscal years beginning after December 15, 2027, with early adoption permitted. This guidance should be applied either prospectively to financial statements issued for reporting periods after the effective date or retrospectively to any or all prior periods presented in the financial statements. The Company is currently in the process of evaluating the effects of this guidance on its related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Deconsolidation of European Subsidiary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April 2026, the Company’s subsidiary, FibroGen Europe Oy (“FibroGen Europe”), voluntarily filed for bankruptcy with the Finnish bankruptcy court. On April 16, 2026, the Helsinki District Court declared FibroGen Europe bankrupt and appointed an estate administrator to oversee the bankruptcy estate. As a result, the Company determined that it no longer maintained a controlling financial interest in FibroGen Europe and therefore deconsolidated the subsidiary effective April 16, 2026 in accordance with ASC 810. The Company determined that the deconsolidation did not represent a strategic shift that has a major effect on its operations and financial results. Accordingly, the results of the subsidiary have not been presented as discontinued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FibroGen Europe had product development obligations to the Technology Development Center of the Republic of Finland (“TEKES”), consisting of 11 separate advances received between 1996 and 2008 pursuant to note agreements (the “TEKES Loans”). The advances were granted on a project-by-project basis to fund various product development activities undertaken solely by FibroGen Europe. Kyntra Bio was not a guarantor of the TEKES Loans, and the obligations were non-recourse to Kyntra Bio. Repayment of principal and accrued interest was not required unless FibroGen Europe had distributable funds.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FibroGen Europe’s balance sheet before the deconsolidation primarily included $19.2 million of the above-mentioned TEKES Loans, $12.5 million nonredeemable non-controlling interest, and $0.7 million of cumulative foreign currency translation adjustments. Upon deconsolidation, the Company derecognized the subsidiary’s assets and liabilities and recognized a $30.9 million gain on deconsolidation in the condensed consolidated statements of operations for the three and six months ended June 30, 2026.</w:t>
      </w:r>
    </w:p>
    <w:p>
      <w:pPr>
        <w:pStyle w:val="TextBody"/>
        <w:bidi w:val="0"/>
        <w:spacing w:before="80" w:after="160"/>
        <w:jc w:val="left"/>
        <w:rPr>
          <w:rFonts w:ascii="Times New Roman" w:hAnsi="Times New Roman"/>
          <w:sz w:val="20"/>
        </w:rPr>
      </w:pPr>
      <w:r>
        <w:rPr>
          <w:rFonts w:ascii="Times New Roman" w:hAnsi="Times New Roman"/>
          <w:color w:val="000000"/>
          <w:sz w:val="20"/>
        </w:rPr>
        <w:t>Upon deconsolidation, the Company measured any retained equity interest in FibroGen Europe at fair value in accordance with ASC 810 and determined that the fair value of such retained interest was zero as of April 16, 2026. Following deconsolidation, the Company accounts for any retained equity interest in FibroGen Europe under ASC 321, Investments — Equity Securities. The carrying value of the Company’s retained equity interest in FibroGen Europe remained zero as of June 30, 2026</w:t>
      </w:r>
      <w:r>
        <w:rPr>
          <w:rFonts w:ascii="Times New Roman" w:hAnsi="Times New Roman"/>
          <w:i/>
          <w:color w:val="000000"/>
          <w:sz w:val="20"/>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 Discontinued Operations and Divestiture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February 20, 2025, the Company entered into the Share Purchase Agreement with AstraZeneca Treasury Limited, pursuant to which the Company and its subsidiary FibroGen China Anemia Holdings, Ltd. agreed to sell all of the issued and outstanding equity interests of FibroGen International to AstraZeneca Treasury Limited. This sale included all of the Company’s roxadustat assets in China, including FibroGen International’s subsidiary FibroGen Beijing and its 51.1% interest in Falikang. The Company determined that FibroGen International met the “held for sale” criteria and the “discontinued operations” criteria in accordance with FASB ASC 205, </w:t>
      </w:r>
      <w:r>
        <w:rPr>
          <w:rFonts w:ascii="Times New Roman" w:hAnsi="Times New Roman"/>
          <w:i/>
          <w:color w:val="000000"/>
          <w:sz w:val="20"/>
        </w:rPr>
        <w:t>Presentation of Financial Statements</w:t>
      </w:r>
      <w:r>
        <w:rPr>
          <w:rFonts w:ascii="Times New Roman" w:hAnsi="Times New Roman"/>
          <w:color w:val="000000"/>
          <w:sz w:val="20"/>
        </w:rPr>
        <w:t xml:space="preserve">, as of December 31, 2024. Accordingly, the operating results related to the FibroGen International are classified as discontinued operations, and have been reflected as discontinued operations in the condensed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was closed on August 29, 2025 for a total consideration of $220.4 million comprised of $85.0 million in cash for the enterprise value of FibroGen International and $135.4 million in net cash held in China. The total consideration included a $210.4 million in cash paid at closing, and a total of $10.0 million cash payable by AstraZeneca at the closing subject to holdbacks of: (i) a $6.0 million holdback to offset final net cash adjustments which will be released following a customary adjustment process approximately 90 days post-closing (as such time may be extended for the parties to mutually agree upon final adjustments), and (ii) a $4.0 million holdback to satisfy any indemnity claims, which will be released, net of any claims paid or unresolved, nine months after the closing. The Company does not expect such adjustments to be material, therefore have recorded the holdbacks as other receivable. On November 6, 2025, the Company received a $6.4 million payment from AstraZeneca, which is in full satisfaction of the first holdback of $6.0 million, plus $0.4 million that was an additional payment following the final net cash adjustments after closing. On June 2, 2026, the Company received a $4.0 million payment from AstraZeneca, which is in full satisfaction of the final holdback. Such amount was included in the prepaid expenses and other current assets on the condensed consolidated balance sheets as of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Historical Agreements with AstraZeneca and China Performance Obligation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2013, the Company entered into a collaboration agreement with AstraZeneca for the development and commercialization of roxadustat for the treatment of anemia in the U.S. and all other countries in the world, other than China, not previously licensed under the Astellas Europe Agreement and Astellas Japan Agreement as discussed below in Note 4, </w:t>
      </w:r>
      <w:r>
        <w:rPr>
          <w:rFonts w:ascii="Times New Roman" w:hAnsi="Times New Roman"/>
          <w:i/>
          <w:color w:val="000000"/>
          <w:sz w:val="20"/>
        </w:rPr>
        <w:t>Collaboration Agreements, License Agreement and Revenues,</w:t>
      </w:r>
      <w:r>
        <w:rPr>
          <w:rFonts w:ascii="Times New Roman" w:hAnsi="Times New Roman"/>
          <w:color w:val="000000"/>
          <w:sz w:val="20"/>
        </w:rPr>
        <w:t xml:space="preserve"> (“AstraZeneca U.S./RoW Agreement”). Later in 2024, the Company and AstraZeneca entered into an agreement to terminate the AstraZeneca U.S./RoW Agreement, effective as of February 25, 2024 (“AstraZeneca Termination and Transition Agreement”), as amended and restated on August 29, 2025. Neither party incurred any early termination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2013, the Company (through its subsidiaries affiliated with China) entered into a collaboration agreement with AstraZeneca for roxadustat for the treatment of anemia in China (“AstraZeneca China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AstraZeneca Termination and Transition Agreement, the Company evaluated under the ASC 606 and accounted for the AstraZeneca U.S./RoW Agreement and the AstraZeneca China Agreement as a single arrangement with the presumption that two or more agreements executed with a single customer at or around the same time should be presumed to be a single arrangement. The promises identified under the AstraZeneca China Agreement, including the license, co-development services and manufacturing of commercial supplies have been bundled into a single performance obligation (“China Performance Obligation”).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2020, FibroGen China Anemia Holdings, Ltd., FibroGen Beijing, FibroGen International, and AstraZeneca entered into an amendment to the AstraZeneca China Agreement, relating to the development and commercialization of roxadustat in China (the “AstraZeneca China Amendment”). Under the AstraZeneca China Amendment, in 2020, FibroGen Beijing and AstraZeneca completed the establishment of a jointly owned entity, Falikang, which performed roxadustat distribution, as well as conducted sales and marketing through AstraZeneca.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Substantially all direct roxadustat product sales to distributors in China were made by Falikang, while FibroGen Beijing continued to sell roxadustat product directly in limited areas in China. Product revenue, net, which is included in the discontinued operations, consists primarily of revenues from sales of roxadustat commercial product to Falikang. Substantially all direct roxadustat product sales to distributors in China were made by Falikang. The net transaction price for FibroGen Beijing’s product sales to Falikang was based on a gross transaction price, adjusted for the estimated profit share. </w:t>
      </w:r>
    </w:p>
    <w:p>
      <w:pPr>
        <w:pStyle w:val="TextBody"/>
        <w:bidi w:val="0"/>
        <w:spacing w:before="240" w:after="283"/>
        <w:jc w:val="left"/>
        <w:rPr>
          <w:rFonts w:ascii="Times New Roman" w:hAnsi="Times New Roman"/>
          <w:sz w:val="20"/>
        </w:rPr>
      </w:pPr>
      <w:r>
        <w:rPr>
          <w:rFonts w:ascii="Times New Roman" w:hAnsi="Times New Roman"/>
          <w:color w:val="000000"/>
          <w:sz w:val="20"/>
        </w:rPr>
        <w:t>The roxadustat sales to Falikang marked the beginning of the Company’s China Performance Obligation under the Company’s agreements with AstraZeneca</w:t>
      </w:r>
      <w:r>
        <w:rPr>
          <w:rFonts w:ascii="Times New Roman" w:hAnsi="Times New Roman"/>
          <w:i/>
          <w:color w:val="000000"/>
          <w:sz w:val="20"/>
        </w:rPr>
        <w:t>.</w:t>
      </w:r>
      <w:r>
        <w:rPr>
          <w:rFonts w:ascii="Times New Roman" w:hAnsi="Times New Roman"/>
          <w:color w:val="000000"/>
          <w:sz w:val="20"/>
        </w:rPr>
        <w:t xml:space="preserve"> Product revenue was based on the transaction price of the China Performance Obligation. Revenue was recognized when control of the product was transferred to Falikang, in an amount that reflects the allocation of the transaction price to the performance obligation satisfied during the reporting period. Periodically, the Company updated its assumptions such as total sales quantity, timing of China’s volume-based purchasing program, performance period, gross transaction price, profit share and other inputs including foreign currency translation impact, among others. Any net transaction price in excess of the revenue recognized was added to the deferred balance, and recognized in the periods as the performance obligation was satisfied.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divestiture of FibroGen International on August 29, 2025, the performance obligation to AstraZeneca was completely satisfied upon the closing of the divestiture, and all the previously deferred revenues were recognized as revenue during the third quarter of 2025.</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Information of the Discontinued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results of the discontinued operations with respect to FibroGen International reflected in the condensed consolidated statements of operations for the three and six months ended June 30, 2026 and 2025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86"/>
        <w:gridCol w:w="146"/>
        <w:gridCol w:w="268"/>
        <w:gridCol w:w="440"/>
        <w:gridCol w:w="185"/>
        <w:gridCol w:w="185"/>
        <w:gridCol w:w="268"/>
        <w:gridCol w:w="861"/>
        <w:gridCol w:w="166"/>
        <w:gridCol w:w="146"/>
        <w:gridCol w:w="240"/>
        <w:gridCol w:w="429"/>
        <w:gridCol w:w="189"/>
        <w:gridCol w:w="166"/>
        <w:gridCol w:w="240"/>
        <w:gridCol w:w="772"/>
        <w:gridCol w:w="618"/>
      </w:tblGrid>
      <w:tr>
        <w:trPr/>
        <w:tc>
          <w:tcPr>
            <w:tcW w:w="4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59,472</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13,538</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24,531</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34,941</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26,377</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 in unconsolidated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27,485</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product revenue, net, consists primarily of revenues from sales of roxadustat commercial product to Falikang, a distribution entity jointly owned by AstraZeneca and FibroGen Beijing, as discussed above. Falikang was an unconsolidated VIE accounted for as an equity method investment, and considered as a related party to the Company. The net product revenue from sales to Falikang was $16.4 million and $53.3 million for the three and six months ended June 30, 2025, respectively. The other income from Falikang were immaterial for the three and six months ended June 30, 2025. The investment income in Falikang was $1.7 million and $1.1 million for the three and six months ended June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significant non-cash items and capital expenditures for the discontinued operations with respect to FibroGen International included in the condensed consolidated statements of cash flows for the six months ended June 30, 2025 were as follows (in thousands):</w:t>
      </w:r>
    </w:p>
    <w:p>
      <w:pPr>
        <w:pStyle w:val="TextBody"/>
        <w:bidi w:val="0"/>
        <w:jc w:val="both"/>
        <w:rPr/>
      </w:pPr>
      <w:r>
        <w:rPr/>
        <w:t> </w:t>
      </w:r>
    </w:p>
    <w:tbl>
      <w:tblPr>
        <w:tblW w:w="7337" w:type="dxa"/>
        <w:jc w:val="left"/>
        <w:tblInd w:w="0" w:type="dxa"/>
        <w:tblLayout w:type="fixed"/>
        <w:tblCellMar>
          <w:top w:w="28" w:type="dxa"/>
          <w:left w:w="28" w:type="dxa"/>
          <w:bottom w:w="28" w:type="dxa"/>
          <w:right w:w="28" w:type="dxa"/>
        </w:tblCellMar>
      </w:tblPr>
      <w:tblGrid>
        <w:gridCol w:w="5056"/>
        <w:gridCol w:w="468"/>
        <w:gridCol w:w="401"/>
        <w:gridCol w:w="1201"/>
        <w:gridCol w:w="211"/>
      </w:tblGrid>
      <w:tr>
        <w:trPr/>
        <w:tc>
          <w:tcPr>
            <w:tcW w:w="505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4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 in unconsolidated variable interest entity</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property and equipment</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Collaboration Agreements, License Agreement and Revenues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Astellas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2005, the Company entered into a collaboration agreement with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Japan’s Ministry of Health, Labour and Welfare, adjusted for certain elements, after commercial launch.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received under the Astellas Japan Agreement through June 30, 2026 totaled $105.1 million, excluding drug product revenue that is discussed under the </w:t>
      </w:r>
      <w:r>
        <w:rPr>
          <w:rFonts w:ascii="Times New Roman" w:hAnsi="Times New Roman"/>
          <w:i/>
          <w:color w:val="000000"/>
          <w:sz w:val="20"/>
        </w:rPr>
        <w:t>Drug Product Revenue, Net</w:t>
      </w:r>
      <w:r>
        <w:rPr>
          <w:rFonts w:ascii="Times New Roman" w:hAnsi="Times New Roman"/>
          <w:color w:val="000000"/>
          <w:sz w:val="20"/>
        </w:rPr>
        <w:t xml:space="preserve"> section below. Based on its current development plans for roxadustat in Japan, the Company does not expect to receive most or all of the additional potential milestones under the Astellas Japan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recognized as license revenue and development revenue under the Astellas Japan Agreement were not material for the three and six months ended June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related to consideration received through June 30, 2026 and accounts receivable has been allocated to each of the performance obligations under the Astellas Japan Agreement, including $100.3 million for license and $17.1 million for co-development.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license revenue or development revenue resulting from changes to estimated variable consideration in the current period relating to performance obligations satisfied or partially satisfied in previous periods for the three months ended June 30, 2026 under the Astellas Japan Agreement. The Company does not expect material variable consideration from estimated future co-development billing beyond the development period in the transaction price related to the Astellas Japan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2018, the Company and Astellas entered into an amendment to the Astellas Japan Agreement that allows Astellas to manufacture roxadustat drug product for commercialization in Japan (the “Astellas Japan Amendment”). The related drug product revenue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received under the Astellas Europe Agreement through June 30, 2026 totaled $685.0 million, excluding drug product revenue that is discussed under the </w:t>
      </w:r>
      <w:r>
        <w:rPr>
          <w:rFonts w:ascii="Times New Roman" w:hAnsi="Times New Roman"/>
          <w:i/>
          <w:color w:val="000000"/>
          <w:sz w:val="20"/>
        </w:rPr>
        <w:t>Drug Product Revenue, Net</w:t>
      </w:r>
      <w:r>
        <w:rPr>
          <w:rFonts w:ascii="Times New Roman" w:hAnsi="Times New Roman"/>
          <w:color w:val="000000"/>
          <w:sz w:val="20"/>
        </w:rPr>
        <w:t xml:space="preserve"> section below. Based on its current development plans for roxadustat in Europe, the Company does not expect to receive most or all of the additional potential milestones under the Astellas Europe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recognized as license revenue and development revenue under the Astellas Europe Agreement were not material for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related to consideration received through June 30, 2026 and accounts receivable has been allocated to each of the performance obligations under the Astellas Europe Agreement, including $619.0 million for license and $289.0 million for co-development.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license revenue or development revenue resulting from changes to estimated variable consideration in the current period relating to performance obligations satisfied or partially satisfied in previous periods for three months ended June 30, 2026 under the Astellas Europe Agreement. The Company does not expect material variable consideration from estimated future co-development billing beyond the development period in the transaction price related to the Astellas Europe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2021, the Company entered into an EU Supply Agreement with Astellas under the Astellas Europe Agreement (“Astellas EU Supply Agreement”) to define general forecast, order, supply and payment terms for Astellas to purchase roxadustat bulk drug product from the Company in support of commercial supplies. The related drug product revenue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Drug 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product revenue from commercial-grade active pharmaceutical ingredient (“API”) or bulk drug product sales to Astellas was as follows for the three and six months ended June 30, 2026 and 2025 (in thousands):</w:t>
      </w:r>
    </w:p>
    <w:p>
      <w:pPr>
        <w:pStyle w:val="TextBody"/>
        <w:bidi w:val="0"/>
        <w:jc w:val="left"/>
        <w:rPr/>
      </w:pPr>
      <w:r>
        <w:rPr/>
        <w:t> </w:t>
      </w:r>
    </w:p>
    <w:tbl>
      <w:tblPr>
        <w:tblW w:w="7795" w:type="dxa"/>
        <w:jc w:val="left"/>
        <w:tblInd w:w="0" w:type="dxa"/>
        <w:tblLayout w:type="fixed"/>
        <w:tblCellMar>
          <w:top w:w="28" w:type="dxa"/>
          <w:left w:w="28" w:type="dxa"/>
          <w:bottom w:w="28" w:type="dxa"/>
          <w:right w:w="28" w:type="dxa"/>
        </w:tblCellMar>
      </w:tblPr>
      <w:tblGrid>
        <w:gridCol w:w="2536"/>
        <w:gridCol w:w="146"/>
        <w:gridCol w:w="246"/>
        <w:gridCol w:w="738"/>
        <w:gridCol w:w="194"/>
        <w:gridCol w:w="170"/>
        <w:gridCol w:w="246"/>
        <w:gridCol w:w="668"/>
        <w:gridCol w:w="146"/>
        <w:gridCol w:w="146"/>
        <w:gridCol w:w="225"/>
        <w:gridCol w:w="675"/>
        <w:gridCol w:w="177"/>
        <w:gridCol w:w="156"/>
        <w:gridCol w:w="225"/>
        <w:gridCol w:w="610"/>
        <w:gridCol w:w="4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Japan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updates its estimate of variable consideration related to the API shipments fulfilled under the terms of Astellas Japan Amendment at each balance sheet date. As a result, the Company recorded a reduction to the drug product revenue of $2.9 million for the three months ended June 30, 2026. Specifically, the change in estimated variable consideration was based on the API held by Astellas at period end, adjusted to reflect changes in the estimated bulk product strength mix intended to be manufactured by Astellas, and foreign exchange impacts,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the Company updated its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changes in the listed price,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2025, the adjustment to the drug product revenue was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the Company updated its estimate of variable consideration related to the API shipments fulfilled under the terms of Astellas Japan Amendment, and accordingly recorded an adjustment to the drug product revenue of $1.8 million. Specifically, the change in estimated variable consideration was based on the API held by Astellas at period end, adjusted to reflect the changes in the estimated yield from the manufacture of bulk product tablets,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balances related to the API price true-up under the Astellas Japan Agreement were $2.9 million in accrued liabilities, representing the Company’s best estimate of the timing for these amounts to be paid. As of December 31, 2025, the balances related to the API price true-up under the Astellas Japan Agreement were $1.6 million in accrued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transferred bulk drug product for commercial purposes under the terms of the Astellas Europe Agreement and the Astellas EU Supply Agreement in the prior years. The Company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 The Company updates its estimate of variable consideration related to the bulk drug product transferred in prior years at each balance sheet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six months ended June 30, 2026, the Company reclassified $0.8 million from the related deferred revenue to accrued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2026, the Company recorded $3.3 million in drug product revenue for intermediates under the terms of the Astellas Europe Agreement and the Astellas EU Supply Agreement, and received cash during the same quarter. Corresponding to the drug product revenue, the Company recorded the related cost of goods sold of $3.3 million during the three months ended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during the three months ended March 31, 2026, the Company transferred bulk drug product for commercial purposes under the terms of the Astellas Europe Agreement and the Astellas EU Supply Agreement, and recognized the related fully-burdened manufacturing costs of $0.9 million as drug product revenue, and recorded $6.2 million as deferred revenue due to a high degree of uncertainty associated with the variable consideration for revenue recognition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balances related to the bulk drug product price true-up under the Astellas Europe Agreement and the Astellas EU Supply Agreement were $2.3 million in accrued liabilities, representing the Company’s best estimate that these amounts will be paid within the next 12 months. As of December 31, 2025, the related balance in accrued liabilities was $5.4 million, $3.8 million of which was paid to Astellas in the first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royalty revenue of $1.4 million and $1.2 million as drug product revenue from the deferred revenue under the Astellas Europe Agreement for the three months ended June 30, 2026 and 2025, and $2.9 million and $2.0 million for the six months ended June 30, 2026 and 2025, respectively. It is the Company’s best estimate that the remainder of the deferred revenue will be recognized as revenue when uncertainty is resolved, based on the performance of roxadustat product sales in the Astellas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includes a roll-forward of the above-mentioned deferred revenues that are considered as contract liabilities related to drug product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8"/>
        <w:gridCol w:w="146"/>
        <w:gridCol w:w="282"/>
        <w:gridCol w:w="843"/>
        <w:gridCol w:w="166"/>
        <w:gridCol w:w="146"/>
        <w:gridCol w:w="211"/>
        <w:gridCol w:w="631"/>
        <w:gridCol w:w="166"/>
        <w:gridCol w:w="146"/>
        <w:gridCol w:w="350"/>
        <w:gridCol w:w="949"/>
        <w:gridCol w:w="146"/>
        <w:gridCol w:w="146"/>
        <w:gridCol w:w="735"/>
        <w:gridCol w:w="1473"/>
        <w:gridCol w:w="146"/>
        <w:gridCol w:w="146"/>
        <w:gridCol w:w="241"/>
        <w:gridCol w:w="722"/>
        <w:gridCol w:w="296"/>
      </w:tblGrid>
      <w:tr>
        <w:trPr/>
        <w:tc>
          <w:tcPr>
            <w:tcW w:w="2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 as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Reclassified to Accrued Liability / Accounts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June 30, 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product revenue -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values of the Company’s financial assets that are measured on a recurring basis are as follows (in thousands):</w:t>
      </w:r>
    </w:p>
    <w:tbl>
      <w:tblPr>
        <w:tblW w:w="6820" w:type="dxa"/>
        <w:jc w:val="left"/>
        <w:tblInd w:w="0" w:type="dxa"/>
        <w:tblLayout w:type="fixed"/>
        <w:tblCellMar>
          <w:top w:w="28" w:type="dxa"/>
          <w:left w:w="28" w:type="dxa"/>
          <w:bottom w:w="28" w:type="dxa"/>
          <w:right w:w="28" w:type="dxa"/>
        </w:tblCellMar>
      </w:tblPr>
      <w:tblGrid>
        <w:gridCol w:w="2011"/>
        <w:gridCol w:w="146"/>
        <w:gridCol w:w="211"/>
        <w:gridCol w:w="676"/>
        <w:gridCol w:w="146"/>
        <w:gridCol w:w="146"/>
        <w:gridCol w:w="211"/>
        <w:gridCol w:w="676"/>
        <w:gridCol w:w="146"/>
        <w:gridCol w:w="146"/>
        <w:gridCol w:w="239"/>
        <w:gridCol w:w="391"/>
        <w:gridCol w:w="146"/>
        <w:gridCol w:w="146"/>
        <w:gridCol w:w="211"/>
        <w:gridCol w:w="781"/>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during the three months ended June 30, 2026. During the six months ended June 30, 2026, a total of $6.0 million, of U.S. treasury notes and bills were transferred from Level 1 to Level 2 as such instruments were changed to off-the-run when they were issued before the most recent issue and were still outstanding at measurement day. During the three and six months ended June 30, 2025, a total of $1.3 million and $7.8 million, respectively, of U.S. treasury notes and bills were transferred from Level 1 to Level 2 as such instruments were changed to off-the-run when they were issued before the most recent issue and were still outstanding at measurement day.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consisted of the following (in thousands):</w:t>
      </w:r>
    </w:p>
    <w:p>
      <w:pPr>
        <w:pStyle w:val="TextBody"/>
        <w:bidi w:val="0"/>
        <w:jc w:val="left"/>
        <w:rPr/>
      </w:pPr>
      <w:r>
        <w:rPr/>
        <w:t> </w:t>
      </w:r>
    </w:p>
    <w:tbl>
      <w:tblPr>
        <w:tblW w:w="6355" w:type="dxa"/>
        <w:jc w:val="left"/>
        <w:tblInd w:w="0" w:type="dxa"/>
        <w:tblLayout w:type="fixed"/>
        <w:tblCellMar>
          <w:top w:w="28" w:type="dxa"/>
          <w:left w:w="28" w:type="dxa"/>
          <w:bottom w:w="28" w:type="dxa"/>
          <w:right w:w="28" w:type="dxa"/>
        </w:tblCellMar>
      </w:tblPr>
      <w:tblGrid>
        <w:gridCol w:w="2901"/>
        <w:gridCol w:w="146"/>
        <w:gridCol w:w="267"/>
        <w:gridCol w:w="858"/>
        <w:gridCol w:w="146"/>
        <w:gridCol w:w="146"/>
        <w:gridCol w:w="357"/>
        <w:gridCol w:w="1143"/>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Company’s investments consist primarily of available-for-sale debt investments. The amortized cost, gross unrealized holding gains or losses, and fair value of the Company’s investments by major investments type are summarized in the table below (in thousands):</w:t>
      </w:r>
    </w:p>
    <w:p>
      <w:pPr>
        <w:pStyle w:val="TextBody"/>
        <w:bidi w:val="0"/>
        <w:jc w:val="left"/>
        <w:rPr/>
      </w:pPr>
      <w:r>
        <w:rPr/>
        <w:t> </w:t>
      </w:r>
    </w:p>
    <w:tbl>
      <w:tblPr>
        <w:tblW w:w="8276" w:type="dxa"/>
        <w:jc w:val="left"/>
        <w:tblInd w:w="0" w:type="dxa"/>
        <w:tblLayout w:type="fixed"/>
        <w:tblCellMar>
          <w:top w:w="28" w:type="dxa"/>
          <w:left w:w="28" w:type="dxa"/>
          <w:bottom w:w="28" w:type="dxa"/>
          <w:right w:w="28" w:type="dxa"/>
        </w:tblCellMar>
      </w:tblPr>
      <w:tblGrid>
        <w:gridCol w:w="2011"/>
        <w:gridCol w:w="146"/>
        <w:gridCol w:w="296"/>
        <w:gridCol w:w="949"/>
        <w:gridCol w:w="146"/>
        <w:gridCol w:w="146"/>
        <w:gridCol w:w="510"/>
        <w:gridCol w:w="840"/>
        <w:gridCol w:w="146"/>
        <w:gridCol w:w="146"/>
        <w:gridCol w:w="484"/>
        <w:gridCol w:w="866"/>
        <w:gridCol w:w="166"/>
        <w:gridCol w:w="146"/>
        <w:gridCol w:w="211"/>
        <w:gridCol w:w="676"/>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44,686</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61,266</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for all available-for-sale securities in an unrealized loss position as of June 30, 2026, the fair value and gross unrealized loss by length of time the security has been in a continual unrealized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1"/>
        <w:gridCol w:w="146"/>
        <w:gridCol w:w="211"/>
        <w:gridCol w:w="676"/>
        <w:gridCol w:w="146"/>
        <w:gridCol w:w="146"/>
        <w:gridCol w:w="444"/>
        <w:gridCol w:w="794"/>
        <w:gridCol w:w="166"/>
        <w:gridCol w:w="146"/>
        <w:gridCol w:w="328"/>
        <w:gridCol w:w="542"/>
        <w:gridCol w:w="154"/>
        <w:gridCol w:w="154"/>
        <w:gridCol w:w="467"/>
        <w:gridCol w:w="770"/>
        <w:gridCol w:w="146"/>
        <w:gridCol w:w="146"/>
        <w:gridCol w:w="211"/>
        <w:gridCol w:w="676"/>
        <w:gridCol w:w="146"/>
        <w:gridCol w:w="146"/>
        <w:gridCol w:w="444"/>
        <w:gridCol w:w="794"/>
        <w:gridCol w:w="415"/>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5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2025, all available-for-sale securities in an unrealized loss position had immaterial unrealized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available-for-sale investments had remaining contractual maturities within two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assesses whether the unrealized losses on its available-for-sale investments were temporary. The Company considers factors such as the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credit related losses or other impairment loss during the three and six months ended June 30, 2026 and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8135" w:type="dxa"/>
        <w:jc w:val="left"/>
        <w:tblInd w:w="0" w:type="dxa"/>
        <w:tblLayout w:type="fixed"/>
        <w:tblCellMar>
          <w:top w:w="28" w:type="dxa"/>
          <w:left w:w="28" w:type="dxa"/>
          <w:bottom w:w="28" w:type="dxa"/>
          <w:right w:w="28" w:type="dxa"/>
        </w:tblCellMar>
      </w:tblPr>
      <w:tblGrid>
        <w:gridCol w:w="4681"/>
        <w:gridCol w:w="146"/>
        <w:gridCol w:w="303"/>
        <w:gridCol w:w="822"/>
        <w:gridCol w:w="146"/>
        <w:gridCol w:w="146"/>
        <w:gridCol w:w="403"/>
        <w:gridCol w:w="1097"/>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Holdback consideration receivable related to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As of December 31, 2025, the Company recorded a $4.0 million receivable in prepaid expenses and other current assets for the holdbacks related to the closing of the divestiture of FibroGen International. On June 2, 2026, the Company received a $4.0 million payment from AstraZeneca, which is in full satisfaction of the final holdback. See Note 3, </w:t>
      </w:r>
      <w:r>
        <w:rPr>
          <w:rFonts w:ascii="Times New Roman" w:hAnsi="Times New Roman"/>
          <w:i/>
          <w:color w:val="000000"/>
          <w:sz w:val="20"/>
        </w:rPr>
        <w:t xml:space="preserve">Discontinued Operations and Divestiture, </w:t>
      </w:r>
      <w:r>
        <w:rPr>
          <w:rFonts w:ascii="Times New Roman" w:hAnsi="Times New Roman"/>
          <w:color w:val="000000"/>
          <w:sz w:val="20"/>
        </w:rPr>
        <w:t>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current liabilities consisted of the following (in thousands):</w:t>
      </w:r>
    </w:p>
    <w:tbl>
      <w:tblPr>
        <w:tblW w:w="8420" w:type="dxa"/>
        <w:jc w:val="left"/>
        <w:tblInd w:w="0" w:type="dxa"/>
        <w:tblLayout w:type="fixed"/>
        <w:tblCellMar>
          <w:top w:w="28" w:type="dxa"/>
          <w:left w:w="28" w:type="dxa"/>
          <w:bottom w:w="28" w:type="dxa"/>
          <w:right w:w="28" w:type="dxa"/>
        </w:tblCellMar>
      </w:tblPr>
      <w:tblGrid>
        <w:gridCol w:w="4966"/>
        <w:gridCol w:w="146"/>
        <w:gridCol w:w="267"/>
        <w:gridCol w:w="858"/>
        <w:gridCol w:w="146"/>
        <w:gridCol w:w="146"/>
        <w:gridCol w:w="357"/>
        <w:gridCol w:w="1143"/>
        <w:gridCol w:w="3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clinical trial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API and bulk drug product price true-up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liability related to sale of future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The accrued liabilities of $5.2 million and $7.0 million for API and bulk drug product price true-up as of June 30, 2026 and December 31, 2025, respectively, resulted from changes in estimated variable consideration associated with the API shipments fulfilled under the terms of the Astellas Japan Amendment, and the bulk drug product transferred under the terms of the Astellas Europe Agreement and the Astellas EU Supply Agreement. See the </w:t>
      </w:r>
      <w:r>
        <w:rPr>
          <w:rFonts w:ascii="Times New Roman" w:hAnsi="Times New Roman"/>
          <w:i/>
          <w:color w:val="000000"/>
          <w:sz w:val="20"/>
        </w:rPr>
        <w:t xml:space="preserve">Drug Product Revenue, Net </w:t>
      </w:r>
      <w:r>
        <w:rPr>
          <w:rFonts w:ascii="Times New Roman" w:hAnsi="Times New Roman"/>
          <w:color w:val="000000"/>
          <w:sz w:val="20"/>
        </w:rPr>
        <w:t xml:space="preserve">section in Note 4, </w:t>
      </w:r>
      <w:r>
        <w:rPr>
          <w:rFonts w:ascii="Times New Roman" w:hAnsi="Times New Roman"/>
          <w:i/>
          <w:color w:val="000000"/>
          <w:sz w:val="20"/>
        </w:rPr>
        <w:t>Collaboration Agreements, License Agreement and Revenues,</w:t>
      </w:r>
      <w:r>
        <w:rPr>
          <w:rFonts w:ascii="Times New Roman" w:hAnsi="Times New Roman"/>
          <w:color w:val="000000"/>
          <w:sz w:val="20"/>
        </w:rPr>
        <w:t xml:space="preserve"> for details.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Senior Secured Term Loan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the Company entered into a financing agreement (“Financing Agreement”) with investment funds managed by MSTV, as lenders (the “Lenders”), and Wilmington Trust, National Association, as the administrative agent, providing for senior secured term loan facilities, and received $74.1 million, representing a $75.0 million initial term loan (the “Initial Term Loan”), net of $0.9 million issuance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Term Loan accrued interest at a fixed rate of 14.0% per annum, payable monthly in arrears. The Initial Term Loan would mature on May 8, 2026. The Initial Term Loan was subject to amortization payments. The Company was permitted to prepay the Initial Term Loan from time to time, in whole or in part, subject to payment of a make-whole amount equal to the unpaid principal amount of the portion of the Initial Term Loan being repaid or prepaid, plus accrued and unpaid interest of the portion of the Initial Term Loan being repaid or prepaid, plus an amount equal to the remaining scheduled interest payments due on such portion of the Initial Term Loan being repaid or prepaid as if such Initial Term Loan were to remain outstanding until the scheduled maturity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29, 2025, upon the closing of the divestiture FibroGen International, the Company paid the Lenders a total of $80.9 million, including $75.0 million for paying off the senior secured term loan facilities, $0.4 million for outstanding interest and $5.5 million for related premium and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 annual interest rate of the Initial Term Loan was 16.13% for the three and six months ended June 30, 2025. The Company recorded interest expense of $3.0 million and $5.9 million for the three and six months ended June 30, 2025, which was included in discontinued operations as the Company was required to repay the loan upon the closing of the divestiture of FibroGen International.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Liability Related to Sale of Future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NovaQuest will retain this entitlement until it has reached the Payment Cap, at which point 100% of such revenue interest on future global net sales of Astellas will revert to the Company. Based on the current estimates of drug product revenue and revenue from milestone payments under the Astellas Agreements, and taking into the consideration of the terms discussed above, the Company anticipates reaching a Payment Cap up to $125.0 million by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15.16%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activities of the liability related to sale of future revenues for the six months ended June 30, 2026:</w:t>
      </w:r>
    </w:p>
    <w:p>
      <w:pPr>
        <w:pStyle w:val="TextBody"/>
        <w:bidi w:val="0"/>
        <w:jc w:val="left"/>
        <w:rPr/>
      </w:pPr>
      <w:r>
        <w:rPr/>
        <w:t> </w:t>
      </w:r>
    </w:p>
    <w:tbl>
      <w:tblPr>
        <w:tblW w:w="8398" w:type="dxa"/>
        <w:jc w:val="left"/>
        <w:tblInd w:w="0" w:type="dxa"/>
        <w:tblLayout w:type="fixed"/>
        <w:tblCellMar>
          <w:top w:w="28" w:type="dxa"/>
          <w:left w:w="28" w:type="dxa"/>
          <w:bottom w:w="28" w:type="dxa"/>
          <w:right w:w="28" w:type="dxa"/>
        </w:tblCellMar>
      </w:tblPr>
      <w:tblGrid>
        <w:gridCol w:w="5891"/>
        <w:gridCol w:w="146"/>
        <w:gridCol w:w="492"/>
        <w:gridCol w:w="1578"/>
        <w:gridCol w:w="29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classified to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During the three and six months ended June 30, 2026, the Company recognized, under Astellas Agreements, development revenue of $0.1 million and $0.3 million, respectively, and drug product revenue of $(1.6) million and $1.9 million, respectively. During the three and six months ended June 30, 2025, the Company recognized, under Astellas Agreements, development revenue of $0.1 million and $0.3 million, respectively, and drug product revenue of $1.2 million and $3.8 million, respectively. See Note 4, </w:t>
      </w:r>
      <w:r>
        <w:rPr>
          <w:rFonts w:ascii="Times New Roman" w:hAnsi="Times New Roman"/>
          <w:i/>
          <w:color w:val="000000"/>
          <w:sz w:val="20"/>
        </w:rPr>
        <w:t>Collaboration Agreements, License Agreement and Revenue</w:t>
      </w:r>
      <w:r>
        <w:rPr>
          <w:rFonts w:ascii="Times New Roman" w:hAnsi="Times New Roman"/>
          <w:color w:val="000000"/>
          <w:sz w:val="20"/>
        </w:rPr>
        <w:t xml:space="preserve">, for details.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three and six months ended June 30, 2026, the Company recognized the related interest expense of $2.4 million and $4.7 million, respectively. During the three and six months ended June 30, 2025, the Company recognized the related interest expense of $2.0 million and $4.1 million, respectively. During the six months ended June 30, 2026 and 2025, the Company paid $1.3 million and $0.5 million accrued interest,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 from income taxes for the three and six months ended June 30, 2026 and 2025 were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had outstanding total non-cancelable purchase obligations of $5.7 million for manufacture and supply of roxadustat and $1.0 million for general purchases. The Company expects to fulfill its commitments under these agreements in the normal course of business, and as such, no liability has been recorded.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see Note 8, </w:t>
      </w:r>
      <w:r>
        <w:rPr>
          <w:rFonts w:ascii="Times New Roman" w:hAnsi="Times New Roman"/>
          <w:i/>
          <w:color w:val="000000"/>
          <w:sz w:val="20"/>
        </w:rPr>
        <w:t xml:space="preserve">Liability Related to Sale of Future Revenues </w:t>
      </w:r>
      <w:r>
        <w:rPr>
          <w:rFonts w:ascii="Times New Roman" w:hAnsi="Times New Roman"/>
          <w:color w:val="000000"/>
          <w:sz w:val="20"/>
        </w:rPr>
        <w:t>for details of the related obligations.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 and 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As of June 30, 2026, the Company did not have any material accruals for any active legal actions that it is named 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currently one SEC complaint against the Company's former Chief Medical Officer in U.S. District Court. While the Company is not a party to this proceeding, pursuant to its indemnification agreement with the former officer, the Company is obligated to advance certain legal expenses and may be required to indemnify certain costs and judgments; however, certain judgments, settlements, or fines sought by the SEC would not be covered by the Company under the indemnification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Company’s accrued liabilities related to these obligations were approximately $7.0 million based on its best estimate. The Company is unable to reasonably estimate the total amount of future indemnification costs beyond amounts currently accrued due to significant uncertainties regarding the duration, scope, and outcome of the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operating and reportable segment which primarily focuses on the development and commercialization of novel therapeutics to treat serious unmet medical needs. The Company has determined that the chief executive officer is the chief operating decision maker (“CODM”). The CODM assesses performance of the business, monitors budget versus actual results and manages and allocates resources to the Company’s operations using consolidated net income (loss) as the primary measurement. The CODM is regularly provided with entity-wide expense categories that are consistent with those found on the Company’s condensed consolidated statements of operations. These significant segment expenses include cost of goods sold, research and development expenses, selling, general and administrative expenses, and restructuring charge. Other segment items that are presented on the condensed consolidated statements of operations include interest expense, gain on deconsolidation of subsidiary, interest income and other income (expense), net, and provision for (benefit from) income taxes. The measure of segment assets is reported on the balance sheet as total consolidated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2025 filed with the SEC on March 16, 2026 (“2025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Kyntra Bio, Inc. (“Kyntra Bio” or “we”) is a biopharmaceutical company focused on development of novel therapies in oncology and rare disease.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we announced our rebranding from “FibroGen, Inc.” to “Kyntra Bio, Inc.,” representing the next step of our transformation and focus on oncology and rare disease assets. On January 8, 2026, our common stock began trading under the new Nasdaq symbol “KYNB.”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We initiated a Phase 2 monotherapy dose optimization study of FG-3246 for the treatment of mCRPC, along with the exploratory sub-study of FG-3180, in the third quarter of 2025.</w:t>
      </w:r>
    </w:p>
    <w:p>
      <w:pPr>
        <w:pStyle w:val="TextBody"/>
        <w:bidi w:val="0"/>
        <w:spacing w:before="240" w:after="283"/>
        <w:jc w:val="left"/>
        <w:rPr/>
      </w:pPr>
      <w:r>
        <w:rPr>
          <w:rFonts w:ascii="Times New Roman" w:hAnsi="Times New Roman"/>
          <w:color w:val="000000"/>
          <w:sz w:val="20"/>
        </w:rPr>
        <w:t>We and our collaboration partners developed roxadustat (</w:t>
      </w:r>
      <w:r>
        <w:rPr>
          <w:rFonts w:eastAsia="Times New Roman"/>
          <w:color w:val="000000"/>
          <w:sz w:val="20"/>
        </w:rPr>
        <w:t>爱瑞卓</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Europe, Japan, the People’s Republic of China (“China”), and numerous other countries for the treatment of anemia in chronic kidney disease (“CKD”) patients on dialysis and not on dialysis.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29, 2025, we closed the sale of our China operations through FibroGen International (Hong Kong) Ltd. (“FibroGen International”) to AstraZeneca Treasury Limited pursuant to the share purchase agreement entered into with AstraZeneca Treasury Limited on February 20, 2025, as amended (the “Share Purchase Agreement”) for a total consideration of $220.4 million comprised of $85.0 million in enterprise value and $135.4 million in net cash held in China. AstraZeneca AB (“AstraZeneca”) was our long-time commercialization partner for roxadustat in greater China. This sale included all of our roxadustat assets in China, including FibroGen International’s subsidiary FibroGen (China) Medical Technology Development Co., Ltd. (“FibroGen Beijing”) and its 51.1% interest in Beijing Falikang Pharmaceutical Co. Ltd. (“Falikang”). </w:t>
      </w:r>
    </w:p>
    <w:p>
      <w:pPr>
        <w:pStyle w:val="TextBody"/>
        <w:bidi w:val="0"/>
        <w:spacing w:before="240" w:after="283"/>
        <w:jc w:val="left"/>
        <w:rPr>
          <w:rFonts w:ascii="Times New Roman" w:hAnsi="Times New Roman"/>
          <w:sz w:val="20"/>
        </w:rPr>
      </w:pPr>
      <w:r>
        <w:rPr>
          <w:rFonts w:ascii="Times New Roman" w:hAnsi="Times New Roman"/>
          <w:color w:val="000000"/>
          <w:sz w:val="20"/>
        </w:rPr>
        <w:t>Kyntra Bio has retained the rights to roxadustat in the United States of America (“U.S.”), Canada, Mexico, and in all markets not held by AstraZeneca or licensed to Astellas Pharma Inc. (“Astellas”). 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advance our development plan for roxadustat in anemia associated with lower-risk myelodysplastic syndromes (“MDS”), a high-value indication with significant unmet medical need.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finalized the Phase 3 trial protocol for roxadustat for the treatment of anemia in patients with lower-risk MDS with high transfusion burden and are continuing with preparations for the Phase 3 trial, while evaluating internal development and potential partnership opportunities for this late-stage program. Kyntra Bio’s goal is to initiate the Phase 3 trial in the fourth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Food and Drug Administration (“FDA”) granted roxadustat Orphan Drug Designation for the treatment of MDS in December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9"/>
        <w:gridCol w:w="146"/>
        <w:gridCol w:w="219"/>
        <w:gridCol w:w="703"/>
        <w:gridCol w:w="172"/>
        <w:gridCol w:w="151"/>
        <w:gridCol w:w="219"/>
        <w:gridCol w:w="766"/>
        <w:gridCol w:w="166"/>
        <w:gridCol w:w="146"/>
        <w:gridCol w:w="252"/>
        <w:gridCol w:w="811"/>
        <w:gridCol w:w="166"/>
        <w:gridCol w:w="146"/>
        <w:gridCol w:w="302"/>
        <w:gridCol w:w="1055"/>
        <w:gridCol w:w="216"/>
      </w:tblGrid>
      <w:tr>
        <w:trPr/>
        <w:tc>
          <w:tcPr>
            <w:tcW w:w="4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 share data)</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revenue for the three and six months ended June 30, 2026 primarily included $(1.6) million and $1.9 million, respectively, of drug product revenue from commercial-grade active pharmaceutical ingredient (“API”) or bulk drug product sales to Astellas. As a comparison, our revenue for the three and six months ended June 30, 2025 primarily included $1.2 million and $3.8 million, respectively, of drug product revenue from commercial-grade API or bulk drug product sales to Astellas. The revenue decreased compared to the same periods a year ago primarily due to the change in estimate of variable consideration related to the API shipments fulfilled under the terms of Astellas Japan Amendment (as defined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costs and expenses for the three and six months ended June 30, 2026 increased compared to the same periods a year ago primarily as a result of the net effect of the following, respectively: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$3.5 million and $4.3 million higher legal expenses primarily related to estimated indemnification costs associated with a former officer;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$2.2 million and $2.1 million higher clinical trial expenses associated with FG-3246 Phase 2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$0.8 million and $2.2 million lower employee-related expenses primarily due to reduced headcount;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$0.9 million and $2.3 million lower equipment and facilities-related expenses due to cost control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$0.3 million and $1.6 million lower stock-based compensation primarily resulting from lower stock price and reduced headcount;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$3.8 million higher cost of goods sold recorded during the six months ended June 30, 2026 corresponding to drug product 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April 2026, our subsidiary, FibroGen Europe, voluntarily filed for bankruptcy with the Finnish bankruptcy court. On April 16, 2026, the Helsinki District Court declared FibroGen Europe bankrupt and appointed an estate administrator to oversee the bankruptcy estate. As a result, we determined that we no longer maintained a controlling financial interest in FibroGen Europe and therefore deconsolidated the subsidiary effective April 16, 2026. Upon deconsolidation, we derecognized the subsidiary’s assets and liabilities and recognized a $30.9 million gain on deconsolidation. See Note 2, </w:t>
      </w:r>
      <w:r>
        <w:rPr>
          <w:rFonts w:ascii="Times New Roman" w:hAnsi="Times New Roman"/>
          <w:i/>
          <w:color w:val="000000"/>
          <w:sz w:val="20"/>
        </w:rPr>
        <w:t>Deconsolidation of European Subsidiary</w:t>
      </w:r>
      <w:r>
        <w:rPr>
          <w:rFonts w:ascii="Times New Roman" w:hAnsi="Times New Roman"/>
          <w:color w:val="000000"/>
          <w:sz w:val="20"/>
        </w:rPr>
        <w:t>, to the condensed consolidated financial statements for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we had income from continuing operations of $12.0 million, or an earnings per basic and diluted share of $2.96, as compared to a loss of $13.7 million, or a loss per basic and diluted share of $3.38, for the same period a year ago, and for the six months ended June 30, 2026, we had a loss from continuing operations of $3.2 million, or a loss per basic and diluted share of $0.78, as compared to a loss of $30.4 million, or a loss per basic and diluted share of $7.54, for the same period a year ago, primarily due to the gain on deconsolidation of subsidiary, offset by increases in operating costs and expenses and decreases in 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Cash and cash equivalents, investments and accounts receivable totaled $95.7 million at June 30, 2026, a decrease of $13.7 million from December 31, 2025, primarily due to the cash used by operations as discussed under the </w:t>
      </w:r>
      <w:r>
        <w:rPr>
          <w:rFonts w:ascii="Times New Roman" w:hAnsi="Times New Roman"/>
          <w:i/>
          <w:color w:val="000000"/>
          <w:sz w:val="20"/>
        </w:rPr>
        <w:t>Liquidity and Capital Resources</w:t>
      </w:r>
      <w:r>
        <w:rPr>
          <w:rFonts w:ascii="Times New Roman" w:hAnsi="Times New Roman"/>
          <w:color w:val="000000"/>
          <w:sz w:val="20"/>
        </w:rPr>
        <w:t xml:space="preserve"> section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 Development and Research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an overview of our clinical, commercial, and research programs. </w:t>
      </w:r>
    </w:p>
    <w:p>
      <w:pPr>
        <w:pStyle w:val="TextBody"/>
        <w:bidi w:val="0"/>
        <w:spacing w:before="360" w:after="283"/>
        <w:jc w:val="left"/>
        <w:rPr>
          <w:rFonts w:ascii="Times New Roman" w:hAnsi="Times New Roman"/>
          <w:sz w:val="20"/>
        </w:rPr>
      </w:pPr>
      <w:r>
        <w:rPr>
          <w:rFonts w:ascii="Times New Roman" w:hAnsi="Times New Roman"/>
          <w:b/>
          <w:i/>
          <w:color w:val="000000"/>
          <w:sz w:val="20"/>
        </w:rPr>
        <w:t>FG-3246 and FG-3180 in mCRPC</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Disease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Prostate cancer is the second most common malignancy in men, contributing significantly to male mortality rates. Approximately 13% of men will be diagnosed with prostate cancer at some point during their lifetime. In any given year, there are approximately 65,000 drug treatable mCRPC cases in the U.S. across the various lines of therapy, and 5-year survival in mCRPC is approximately 30%.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Standard of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Treatment choice in first and second line mCRPC significantly depends on patients’ prior treatments in the castration sensitive phase. Androgen receptor signaling inhibitors or androgen receptor pathway inhibitors (“ARSIs” / “ARPIs,” often used interchangeably) and chemotherapy are the preferred treatments in patients who have not been exposed to either in earlier lines of therapy. Most patients who previously progressed on an ARPI will subsequently receive chemotherapy. Switching to another ARPIs is another option for these patients but this approach is generally associated with suboptimal outcomes.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25-30% of patients with homologous recombination repair mutation (“HRRm”), poly (ADP-ribose) polymerase PARP inhibitors are the standard of care for mCRPC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recent approval of prostate-specific membrane antigen (“PSMA”)-targeted radiopharmaceutical Pluvicto (lutetium Lu 177 vipivotide tetraxetan) in the post-ARPI and pre-chemotherapy setting has diversified treatment options in first and second line mCRPC for PSMA positive patients. Furthermore, PSMA-PET has been validated as standard of care diagnostic in prostate cancer, while LOCAMETZ or an approved PSMA-11 imaging agent are approved to select patients for treatment with Pluvicto.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Kyntra Bio is developing FG-3246 in the post-ARPI, pre-chemotherapy mCRPC setting. This is an area of high unmet need, where radiographic progression free survival is short: Approximately 5-6 months after switching to a different ARPI, approximately 8 months with chemotherapy, and 9.3 months with Pluvicto in PSMA-positive patients, who are considered appropriate to delay taxane-based chemotherapy. Novel mechanisms of action that extend survival are critical in this setting as well as biomarker driven treatment approaches. FG-3246 and the potential patient selection biomarker FG-3180 are being developed to address these unmet medical needs.</w:t>
      </w:r>
    </w:p>
    <w:p>
      <w:pPr>
        <w:pStyle w:val="TextBody"/>
        <w:bidi w:val="0"/>
        <w:spacing w:before="360" w:after="283"/>
        <w:jc w:val="left"/>
        <w:rPr>
          <w:rFonts w:ascii="Times New Roman" w:hAnsi="Times New Roman"/>
          <w:sz w:val="20"/>
        </w:rPr>
      </w:pPr>
      <w:r>
        <w:rPr>
          <w:rFonts w:ascii="Times New Roman" w:hAnsi="Times New Roman"/>
          <w:b/>
          <w:color w:val="000000"/>
          <w:sz w:val="20"/>
        </w:rPr>
        <w:t>Phase 2 Monotherapy Clinical Trial of FG-3246 and FG-3180 for the Treatment of mCRPC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FG-3246 in mCRPC. FG-3246 is a potential first-in-class ADC targeting CD46, a novel epitope expressed on the surface of prostate and other cancer cells. In addition to CD46 being expressed at high levels in certain tumor types with limited expression in most normal tissues, CD46 is a cell receptor that induces internalization upon antibody binding, which makes it an ideal target for an ADC . The cytotoxic payload of FG-3246 is monomethyl auristatin E (“MMAE”), an anti-mitotic agent that has been utilized in four commercially approved ADC drugs.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actively enrolling our Phase 2 monotherapy dose optimization study of FG-3246 for the treatment of patients with mCRPC in the post-ARPI and pre-chemotherapy setting, with interim results expected in the fourth quarter of 2026. </w:t>
      </w:r>
    </w:p>
    <w:p>
      <w:pPr>
        <w:pStyle w:val="TextBody"/>
        <w:bidi w:val="0"/>
        <w:spacing w:before="240" w:after="283"/>
        <w:jc w:val="left"/>
        <w:rPr>
          <w:rFonts w:ascii="Times New Roman" w:hAnsi="Times New Roman"/>
          <w:sz w:val="20"/>
        </w:rPr>
      </w:pPr>
      <w:r>
        <w:rPr>
          <w:rFonts w:ascii="Times New Roman" w:hAnsi="Times New Roman"/>
          <w:color w:val="000000"/>
          <w:sz w:val="20"/>
        </w:rPr>
        <w:t>The trial is also assessing the diagnostic and predictive performance of FG-3180, a companion PET imaging agent, which shares the same CD46-targeted antibody used in FG-3246. The ability of FG-3180 to identify mCRPC lesions and predict response to FG-3246 is being evaluated</w:t>
      </w:r>
      <w:r>
        <w:rPr>
          <w:rFonts w:ascii="Arial" w:hAnsi="Arial"/>
          <w:color w:val="797979"/>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Our ongoing Phase 2 monotherapy trial (</w:t>
      </w:r>
      <w:r>
        <w:rPr>
          <w:rFonts w:ascii="Times New Roman" w:hAnsi="Times New Roman"/>
          <w:color w:val="000000"/>
          <w:sz w:val="20"/>
          <w:u w:val="single"/>
        </w:rPr>
        <w:t>NCT06842498</w:t>
      </w:r>
      <w:r>
        <w:rPr>
          <w:rFonts w:ascii="Times New Roman" w:hAnsi="Times New Roman"/>
          <w:color w:val="000000"/>
          <w:sz w:val="20"/>
        </w:rPr>
        <w:t xml:space="preserve">) is a randomized, open label, dose optimization trial designed to evaluate the safety, efficacy, tolerability, and pharmacokinetics (PK) of FG-3246 for the treatment of patients with mCRPC who have progressed following ARPI treatment and who have not received chemotherapy for their mCRPC. The trial is scheduled to enroll 75 patients who will be randomized 1:1:1 to receive either 1.8, 2.4 or 2.7 mg/kg AJBW of FG-3246. The primary endpoint of the trial is the determination of the optimal dose for the Phase 3 trial based on efficacy, safety, and PK parameters. Secondary endpoints include radiographic progression-free survival (“rPFS”), prostate-specific antigen (“PSA”) 50 response, and PSA90 response. An interim analysis, made up of a composite response rate of PSA50 response and overall response rate, is currently planned once 12 patients enrolled in each of the three dose arms have completed up to 12 weeks on study or discontinued and is anticipated in the fourth quarter of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exploratory sub-study is evaluating FG-3180, a companion PET imaging agent, as a diagnostic radiopharmaceutical. All patients deemed eligible for participation in the Phase 2 trial will participate in the sub-study evaluating FG-3180 prior to randomization.</w:t>
      </w:r>
    </w:p>
    <w:p>
      <w:pPr>
        <w:pStyle w:val="TextBody"/>
        <w:bidi w:val="0"/>
        <w:spacing w:before="360" w:after="283"/>
        <w:jc w:val="left"/>
        <w:rPr>
          <w:rFonts w:ascii="Times New Roman" w:hAnsi="Times New Roman"/>
          <w:sz w:val="20"/>
        </w:rPr>
      </w:pPr>
      <w:r>
        <w:rPr>
          <w:rFonts w:ascii="Times New Roman" w:hAnsi="Times New Roman"/>
          <w:b/>
          <w:color w:val="000000"/>
          <w:sz w:val="20"/>
        </w:rPr>
        <w:t>Prior Studies of</w:t>
      </w:r>
      <w:r>
        <w:rPr>
          <w:rFonts w:ascii="Times New Roman" w:hAnsi="Times New Roman"/>
          <w:color w:val="000000"/>
          <w:sz w:val="20"/>
        </w:rPr>
        <w:t xml:space="preserve"> </w:t>
      </w:r>
      <w:r>
        <w:rPr>
          <w:rFonts w:ascii="Times New Roman" w:hAnsi="Times New Roman"/>
          <w:b/>
          <w:color w:val="000000"/>
          <w:sz w:val="20"/>
        </w:rPr>
        <w:t>FG-3246 and FG-3180 for the Treatment of mCRPC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Kyntra Bio announced the peer-reviewed publication titled “A Phase 1, First-in-Human Study of FOR46 (FG-3246), an Immune-Modulating Antibody-Drug Conjugate Targeting CD46, in Patients with Metastatic Castration Resistant Prostate Cancer” in the Journal of Clinical Oncology. The manuscript included the complete results from the Fortis Therapeutics, Inc. (“Fortis”)-sponsored Phase 1 study of FG-3246 in heavily-pretreated, biomarker un-selected patients with mCRPC. Key efficacy highlights observed in the RECIST-evaluable set of 25 patients include: (1) confirmed objective response rate was 20% with median duration of response of 7.5 months, (2) all objective responses observed at a starting dose of 2.7 mg/kg or higher, and (3) disease control rate was 80% with duration of treatment exceeding 24 weeks in 12 patients (48%); (4) PSA50 response rate of 36% in 39 evaluable patients (of eight evaluable patients who received docetaxel in the castration-sensitive setting, four (50%) achieved a confirmed PSA50 response); (5) median radiographic progression-free survival of 8.7 months in all 40 subjects in the efficacy analysis set; (6) of 15 evaluable baseline tumors, 12 (80%) were positive for CD46 expression by immunohistochemistry; and (7) FG-3246 responders were found to have a significantly higher frequency of effector T cells and lower frequency of immunosuppressive myeloid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2026, the University of California, San Francisco (“UCSF”) presented positive results from the investigator-sponsored Phase 1b/2 study of FG-3246 in combination with enzalutamide in patients with mCRPC at the 2026 American Society of Clinical Oncology Genitourinary Cancers Symposium (ASCO GU). The presentation includes data from 44 biomarker unselected patients with progressive mCRPC, 17 of which were enrolled in the Phase 1b dose escalation portion of the study with 27 enrolled in the dose expansion phase of the study. Eligibility criteria for the trial included patients who progressed on at least one prior ARPI while patients who were treated with prior chemotherapy in the castration-resistant setting were excluded. Over 60% of the patients progressed on two or more prior ARPIs prior to enrollment, which included prior enzalutamide treatment. The primary endpoint of the escalation phase was assessment of dose-limiting toxicities (“DLT”) and determination of the maximum tolerated dose and recommended dose for the Phase 2 portion of the study – which was determined to be 2.1 mg/kg of FG-3246 and 160mg/day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enzalutamide. The primary endpoint of the Phase 2 expansion portion of the study was composite response rate (PSA50 response and/or objective response per RECIST v1.1). Secondary endpoints were PSA50 response rate, objective response rate, rPFS, overall survival, and treatment-related adverse events (“TRAEs”).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FG-3246 combined with enzalutamide demonstrated anti-tumor activity with a composite response rate of 21% in the overall cohort and 40% in patients who had progressed on only one prior ARPI. Median rPFS of 7.0 months was observed in the overall cohort. Notably, median rPFS of 10.1 months was observed in patients who had progressed on only one prior ARPI, a result which was consistent across the different prior ARPIs administered.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in an exploratory analysis, tumor uptake of FG-3180 (our CD46-targeting PET imaging agent) was numerically associated with PSA50 response (nominal p=0.053), highlighting its potential as a biomarker for patient selection.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Combination therapy of FG-3246 and enzalutamide demonstrated a similar safety profile as was observed in the previous Phase 1 monotherapy trial of FG-3246. Neutropenia risk was successfully mitigated with use of granulocyte colony-stimulating factor (“G-CSF”) prophylaxis.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most frequent TRAEs with the combination therapy included fatigue, peripheral neuropathy, anorexia, and dysgeusia. Cumulative toxicities, including peripheral neuropathy, led to treatment discontinuation for some patients.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ROXADUSTAT IN ANEMIA ASSOCIATED WITH MDS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Disease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MDS are a diverse group of bone marrow disorders characterized by ineffective production of healthy blood cells and premature destruction of blood cells in the bone marrow, leading to anemia. In most MDS patients, the cause of the disease is unknown.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diagnosed prevalence of MDS in the U.S. is estimated to be approximately 74,000, and continues to rise as more therapies become available and patients are living longer with MDS. Annual incidence rates are estimated to be 20,000 adults in the U.S., 70% of whom are considered lower-risk MDS.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Anemia is the most common clinical presentation in MDS, seen in approximately 80% of MDS patients, and produces symptoms of fatigue, weakness, exercise intolerance, shortness of breath, dizziness, and cognitive impairment.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of the Current Standard of Care for Anemia in MDS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Stem cell transplantation is the only potentially curative therapy for MDS, but it is not feasible in most patients due to their advanced age and frailty. The high rate of severe anemia leaves recurring red blood cell (“RBC”) transfusions as the mainstay of care in MDS patients. Transfusion can result in direct organ damage through transfusional iron overload. Transfusion-dependent MDS patients suffer higher rates of cardiac events, infections, and transformation to acute leukemia, a decreased overall survival rate when compared with non-transfused patients with MDS, and decreased survival compared to an age-matched elderly population. Patients receiving RBC transfusions may require an iron chelator in order to address toxic elements of iron overload such as lipid peroxidation and cell membrane, protein, DNA, and organ damage. Lower-risk MDS patients represent approximately 77% of the total diagnosed MDS population. National Comprehensive Cancer Network guidelines recommend the use of ESAs, luspatercept and imetelstat in lower risk MDS patients, depending on patients’ treatment history, serum erythropoietin (“EPO”) levels and </w:t>
      </w:r>
      <w:r>
        <w:rPr>
          <w:rFonts w:ascii="Times New Roman" w:hAnsi="Times New Roman"/>
          <w:i/>
          <w:color w:val="000000"/>
          <w:sz w:val="20"/>
        </w:rPr>
        <w:t>ring sideroblast status</w:t>
      </w:r>
      <w:r>
        <w:rPr>
          <w:rFonts w:ascii="Times New Roman" w:hAnsi="Times New Roman"/>
          <w:color w:val="000000"/>
          <w:sz w:val="20"/>
        </w:rPr>
        <w:t>. Currently available treatment options are effective in only ~50% patients, are challenging to dose-calibrate and can only be administered via subcutaneous injection or through IV infusion. New strategies that provide durable response and the convenience of oral administration are highly desired in managing patients with lower-risk MDS.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Opportunity for Roxadustat in MDS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is a significant need for a safe and convenient option to address anemia in patients with lower-risk MDS that is effective agnostic of ring sideroblast status. Roxadustat, our orally administered small molecule hypoxia-inducible factor prolyl hydroxylase inhibitor, stimulates the body’s natural mechanism of RBC production and iron hemostasis based on cellular-level oxygen-sensing and iron-regulation mechanisms. Unlike ESAs which are limited to providing exogenous EPO, roxadustat activates a coordinated erythropoietic response in the body that includes the stimulation of RBC progenitors, an increase in the body’s production of endogenous EPO, and an increase in iron availability for hemoglobin synthesis, which we believe is important in a broad range of lower-risk MDS patients. Moreover, in anemia of CKD, roxadustat has demonstrated the ability in clinical trials to increase and maintain hemoglobin levels in the presence of inflammation as measured by C-reactive protein (“CRP”), where ESAs have shown limited effect. We believe that roxadustat has the potential to replicate this result in lower-risk MDS anemia patients, where it is not uncommon for patients to present with autoimmune and inflammatory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 to Grand View Research, the global MDS market was estimated at approximately $3 billion in 2023 and is projected to reach approximately $5 billion by 2030 (approximately 9% CAGR from 2024 to 2030), attributed primarily to the rise in novel therapeutics.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Roxadustat in MDS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our rights to roxadustat in the U.S., Canada, Mexico and in all markets not licensed to Astellas or held by AstraZeneca.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had a positive Type-C meeting with the FDA in July 2025, and reached alignment on several elements of our proposed Phase 3 study design for roxadustat in anemia associated with lower-risk MDS, including the starting dose and the patient inclusion criteria.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finalized the Phase 3 trial protocol for roxadustat for the treatment of anemia in patients with lower-risk MDS and high transfusion burden after receiving further comments from the FDA. Our goal is to initiate the Phase 3 trial in the fourth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granted roxadustat Orphan Drug Designation for the treatment of MDS in December 2025. If roxadustat is approved for lower-risk MDS, Orphan Drug Designation would provide seven years regulatory exclusivity for roxadustat in lower-risk MDS in the U.S., along with additional economic and other benefits associated with Orphan Drug Designation.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Phase 3 trial is planned to assess the safety and efficacy of roxadustat in a randomized, double-blind, placebo-controlled design in approximately 200 patients with lower-risk MDS. Alignment was reached with the FDA on key Phase 3 design elements, including the patient population (patients requiring ≥ 4 RBC units in two consecutive 8-week periods prior to randomization, who are refractory to, intolerant to, or ineligible for prior erythropoiesis-stimulating agent (ESA) therapy), dose regimen, and placebo control group with a 2:1 randomization. We have selected 8-week transfusion independence (“TI”) (over the first 24 weeks) as the primary endpoint of the study. The FDA recommended a longer duration of TI as the primary endpoint (16-weeks over 48 weeks), however, an 8-week primary endpoint is consistent with past and current placebo-controlled studies in this indication. We are including 12-week, 16-week, and 24-week TI (each over 48 weeks) as key secondary endpoints. Based on consultation with medical professionals, we believe the design of the study should provide sufficient evidence of patient benefit in this population of high-transfusion burden lower-risk MDS patients. The study is powered to detect meaningful statistically significant differences for the primary endpoint and all key secondary endpoints.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Phase 2/3 Clinical Trial in MDS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Topline 28-week data from MATTERHORN, our Phase 2/3 placebo-controlled, double-blind clinical trial of roxadustat for the treatment of anemia in MDS, was presented in the fourth quarter of 2023 at the American Society of Hematology annual conference. </w:t>
      </w:r>
    </w:p>
    <w:p>
      <w:pPr>
        <w:pStyle w:val="TextBody"/>
        <w:bidi w:val="0"/>
        <w:spacing w:before="240" w:after="283"/>
        <w:jc w:val="left"/>
        <w:rPr>
          <w:rFonts w:ascii="Times New Roman" w:hAnsi="Times New Roman"/>
          <w:sz w:val="20"/>
        </w:rPr>
      </w:pPr>
      <w:r>
        <w:rPr>
          <w:rFonts w:ascii="Times New Roman" w:hAnsi="Times New Roman"/>
          <w:color w:val="000000"/>
          <w:sz w:val="20"/>
        </w:rPr>
        <w:t>As previously disclosed, more patients in the roxadustat arm (47.5% of 80 patients) achieved transfusion independence for 56 consecutive days (within the first 28 weeks) than the placebo arm (33.3% of 57 patients); however, the p-value was not significant. Our European Hematology Association (EHA) Congress 2026 presentation highlighted data from a post hoc analysis of the entire trial population, demonstrating that roxadustat led to similar rates of transfusion independence in both RS+ and RS</w:t>
      </w:r>
      <w:r>
        <w:rPr>
          <w:rFonts w:ascii="Times New Roman" w:hAnsi="Times New Roman"/>
          <w:b/>
          <w:color w:val="000000"/>
          <w:sz w:val="20"/>
        </w:rPr>
        <w:t>-</w:t>
      </w:r>
      <w:r>
        <w:rPr>
          <w:rFonts w:ascii="Times New Roman" w:hAnsi="Times New Roman"/>
          <w:color w:val="000000"/>
          <w:sz w:val="20"/>
        </w:rPr>
        <w:t xml:space="preserve"> patients. In RS</w:t>
      </w:r>
      <w:r>
        <w:rPr>
          <w:rFonts w:ascii="Times New Roman" w:hAnsi="Times New Roman"/>
          <w:b/>
          <w:color w:val="000000"/>
          <w:sz w:val="20"/>
        </w:rPr>
        <w:t>-</w:t>
      </w:r>
      <w:r>
        <w:rPr>
          <w:rFonts w:ascii="Times New Roman" w:hAnsi="Times New Roman"/>
          <w:color w:val="000000"/>
          <w:sz w:val="20"/>
        </w:rPr>
        <w:t xml:space="preserve"> patients, which comprised 84 of the 140 patients enrolled in the trial, treatment with roxadustat led to transfusion independence for ≥8 weeks (within the first 28 weeks) in 48% of patients vs. 28% for placebo.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post-hoc analysis of patients with high transfusion burden (4 or more packed RBC units over two consecutive 8-week periods), 36% of the 22 roxadustat patients achieved transfusion independence (8 weeks within the first 28 weeks), versus 7% of the 15 placebo patients (nominal p-value of 0.04). Treatment-emergent adverse events (“TEAEs”) were generally lower grade and managed medically with no new safety signals.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Roxadustat in Anemia of CKD</w:t>
      </w:r>
    </w:p>
    <w:p>
      <w:pPr>
        <w:pStyle w:val="TextBody"/>
        <w:bidi w:val="0"/>
        <w:spacing w:before="120" w:after="283"/>
        <w:jc w:val="left"/>
        <w:rPr/>
      </w:pPr>
      <w:r>
        <w:rPr>
          <w:rFonts w:ascii="Times New Roman" w:hAnsi="Times New Roman"/>
          <w:color w:val="000000"/>
          <w:sz w:val="20"/>
        </w:rPr>
        <w:t>We and our collaboration partners developed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which is currently approved in China, Europe, Japan, and numerous other countries for the treatment of anemia in CKD patients on dialysis and not on dialysis.</w:t>
      </w:r>
    </w:p>
    <w:p>
      <w:pPr>
        <w:pStyle w:val="TextBody"/>
        <w:bidi w:val="0"/>
        <w:spacing w:before="360" w:after="283"/>
        <w:jc w:val="left"/>
        <w:rPr>
          <w:rFonts w:ascii="Times New Roman" w:hAnsi="Times New Roman"/>
          <w:sz w:val="20"/>
        </w:rPr>
      </w:pPr>
      <w:r>
        <w:rPr>
          <w:rFonts w:ascii="Times New Roman" w:hAnsi="Times New Roman"/>
          <w:b/>
          <w:color w:val="000000"/>
          <w:sz w:val="20"/>
        </w:rPr>
        <w:t>China – Roxadustat Commercial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29, 2025, we closed the sale of our China operations through FibroGen International to AstraZeneca Treasury Limited pursuant to the Share Purchase Agreement for a total consideration of $220.4 million, comprised of $85.0 million in enterprise value and $135.4 million in net cash held in China. This sale included all of our roxadustat assets in China, including FibroGen International’s subsidiary FibroGen Beijing and its 51.1% interest in Falikang. For additional details, refer to Note 3, </w:t>
      </w:r>
      <w:r>
        <w:rPr>
          <w:rFonts w:ascii="Times New Roman" w:hAnsi="Times New Roman"/>
          <w:i/>
          <w:color w:val="000000"/>
          <w:sz w:val="20"/>
        </w:rPr>
        <w:t xml:space="preserve">Discontinued Operations and Divestiture, </w:t>
      </w:r>
      <w:r>
        <w:rPr>
          <w:rFonts w:ascii="Times New Roman" w:hAnsi="Times New Roman"/>
          <w:color w:val="000000"/>
          <w:sz w:val="20"/>
        </w:rPr>
        <w:t>to the condensed consolidated financial statements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U.S., Europe, Japan and Rest of World - Roxadustat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Kyntra Bio has retained the rights to roxadustat in the U.S., Canada, Mexico, and in all markets not held by AstraZeneca or licensed to Astellas. </w:t>
      </w:r>
    </w:p>
    <w:p>
      <w:pPr>
        <w:pStyle w:val="TextBody"/>
        <w:bidi w:val="0"/>
        <w:spacing w:before="240" w:after="283"/>
        <w:jc w:val="left"/>
        <w:rPr>
          <w:rFonts w:ascii="Times New Roman" w:hAnsi="Times New Roman"/>
          <w:sz w:val="20"/>
        </w:rPr>
      </w:pPr>
      <w:r>
        <w:rPr>
          <w:rFonts w:ascii="Times New Roman" w:hAnsi="Times New Roman"/>
          <w:color w:val="000000"/>
          <w:sz w:val="20"/>
        </w:rPr>
        <w:t>Astellas is commercializing roxadustat (EVRENZO</w:t>
      </w:r>
      <w:r>
        <w:rPr>
          <w:rFonts w:ascii="Times New Roman" w:hAnsi="Times New Roman"/>
          <w:color w:val="000000"/>
          <w:sz w:val="13"/>
        </w:rPr>
        <w:t>TM</w:t>
      </w:r>
      <w:r>
        <w:rPr>
          <w:rFonts w:ascii="Times New Roman" w:hAnsi="Times New Roman"/>
          <w:color w:val="000000"/>
          <w:sz w:val="20"/>
        </w:rPr>
        <w:t>) in Europe and Japan to treat anemia under two development and commercialization license agreements: one for Japan, and one for Europe, the Commonwealth of Independent States, the Middle East and South Africa.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License and Option to Acquire Fortis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an exclusive option agreement to acquire Fortis with its novel Phase 1 ADC, FOR46 (now referred to as “FG-3246”) that targets CD46, a novel epitope preferentially expressed on certain cancer cells. FG-3246 is in development for the treatment of mCRPC with potential applicability in other solid tumors and hematologic malignancies.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an evaluation agreement entered into with Fortis concurrent with the option agreement, Kyntra Bio has exclusively licensed FG-3246 and will control and fund future research and development, including a Phase 2 clinical study sponsored by Kyntra Bio, and manufacturing of FG-3246 during the option period (which ends on December 31, 2027). As part of the clinical development strategy, we will continue the work to develop a PET-based biomarker utilizing a radiolabeled version of the targeting antibody for patient selection.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exercise the option to acquire Fortis, we will pay Fortis $80.0 million, and thereafter, Fortis would be eligible to receive from Kyntra Bio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Kyntra Bio chooses not to acquire Fortis, its exclusive license to FG-3246 would expire.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 Partnerships for Roxadustat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current and future research, development, manufacturing and commercialization efforts with respect to roxadustat depend on funds from our collaboration agreements with Astellas and AstraZeneca. See Note 4, </w:t>
      </w:r>
      <w:r>
        <w:rPr>
          <w:rFonts w:ascii="Times New Roman" w:hAnsi="Times New Roman"/>
          <w:i/>
          <w:color w:val="000000"/>
          <w:sz w:val="20"/>
        </w:rPr>
        <w:t>Collaboration Agreements, License Agreement and Revenues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Astellas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2005, we entered into a collaboration agreement with Astellas for the development and commercialization (but not manufacture) of roxadustat for the treatment of anemia in Japan (“Astellas Japan Agreement”). In April 2006, we entered into the Europe Agreement with Astellas for roxadustat for the treatment of anemia in Europe, the Commonwealth of Independent States, the Middle East, and South Africa (“Astellas Europe Agreement”). Under these agreements, the aggregate amount of consideration received through June 30, 2026 totaled $790.1 million. Based on the current development plans for roxadustat in Japan and Europe, we do not expect to receive most or all of the additional potential milestones under the Astellas Japan Agreement or the Astellas Europe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2018, we and Astellas entered into an amendment to the Astellas Japan Agreement that allows Astellas to manufacture roxadustat drug product for commercialization in Japan (the “Astellas Japan Amendment”). The related drug product revenue was $(2.9) million for the three months ended June 30, 2026, and immaterial for the three months ended June 30, 2025, and ($5.1) million and $1.8 million for the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2021, we entered into an EU Supply Agreement with Astellas under the Astellas Europe Agreement to define general forecast, order, supply and payment terms for Astellas to purchase roxadustat bulk drug product from us in support of commercial supplies (the “Astellas EU Supply Agreement”). The related drug product revenue was $1.4 million and $1.2 million for the three months ended June 30, 2026 and 2025, and $7.0 million and $2.0 million for the six months ended June 30, 2026 and 2025, respectively.</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AstraZeneca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2013, we entered into a collaboration agreement with AstraZeneca for roxadustat for the treatment of anemia in the U.S. and all territories, except for China and other territories not previously licensed to Astellas (the “AstraZeneca U.S./RoW Agreement”). In 2020, we entered into a Master Supply Agreement with AstraZeneca under the AstraZeneca U.S./RoW Agreement (the “AstraZeneca Master Supply Agreement”) to define general forecast, order, supply and payment terms for AstraZeneca to purchase roxadustat bulk drug product from us in support of commercial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2024, we entered into an agreement to terminate the AstraZeneca U.S./RoW Agreement with AstraZeneca, as amended and restated on August 29, 2025. Neither party incurred any early termination penalties. The aggregate amount of consideration for milestone and upfront payments received under the AstraZeneca U.S./RoW Agreement through the termination totaled $439.0 million.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2013, through our China subsidiary and related affiliates, we entered into a collaboration agreement with AstraZeneca for roxadustat for the treatment of anemia in China (the “AstraZeneca China Agreement”). On August 29, 2025, we closed the sale of our China operations through FibroGen International to AstraZeneca Treasury Limited pursuant to the Share Purchase Agreement. For additional details, refer to Note 3, </w:t>
      </w:r>
      <w:r>
        <w:rPr>
          <w:rFonts w:ascii="Times New Roman" w:hAnsi="Times New Roman"/>
          <w:i/>
          <w:color w:val="000000"/>
          <w:sz w:val="20"/>
        </w:rPr>
        <w:t xml:space="preserve">Discontinued Operations and Divestiture, </w:t>
      </w:r>
      <w:r>
        <w:rPr>
          <w:rFonts w:ascii="Times New Roman" w:hAnsi="Times New Roman"/>
          <w:color w:val="000000"/>
          <w:sz w:val="20"/>
        </w:rPr>
        <w:t>to the condensed consolidated financial statements. Under the AstraZeneca China Agreement, the aggregate amount of consideration received through the sale of our China operations totaled $81.2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2020, FibroGen China and AstraZeneca entered into an amendment to the AstraZeneca China Agreement, relating to the development and commercialization of roxadustat in China (the “AstraZeneca China Amendment”). Accordingly, in 2020, FibroGen Beijing and AstraZeneca completed the establishment of a jointly owned entity, Falikang, which performs roxadustat distribution, as well as conducts sales and marketing through AstraZeneca.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accounted for our investment in Falikang under the equity method, and Falikang was not consolidated into our consolidated financial statements. Our proportionate share of the reported profits or losses of Falikang, was included in the discontinued operations in the condensed consolidated statement of operations. See Note 3, </w:t>
      </w:r>
      <w:r>
        <w:rPr>
          <w:rFonts w:ascii="Times New Roman" w:hAnsi="Times New Roman"/>
          <w:i/>
          <w:color w:val="000000"/>
          <w:sz w:val="20"/>
        </w:rPr>
        <w:t>Discontinued Operations and Divestiture</w:t>
      </w:r>
      <w:r>
        <w:rPr>
          <w:rFonts w:ascii="Times New Roman" w:hAnsi="Times New Roman"/>
          <w:color w:val="000000"/>
          <w:sz w:val="20"/>
        </w:rPr>
        <w:t>, to the condensed consolidated financial statements 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Product revenue, net, was $19.7 million and $59.5 million for the three and six months ended June 30, 2025, respectively, majority of which were from the sales to Falikang, and was included in the discontinued operations. As discussed in Note 3, </w:t>
      </w:r>
      <w:r>
        <w:rPr>
          <w:rFonts w:ascii="Times New Roman" w:hAnsi="Times New Roman"/>
          <w:i/>
          <w:color w:val="000000"/>
          <w:sz w:val="20"/>
        </w:rPr>
        <w:t>Discontinued Operations and Divestiture,</w:t>
      </w:r>
      <w:r>
        <w:rPr>
          <w:rFonts w:ascii="Times New Roman" w:hAnsi="Times New Roman"/>
          <w:color w:val="000000"/>
          <w:sz w:val="20"/>
        </w:rPr>
        <w:t xml:space="preserve"> to the condensed consolidated financial statements, the divestiture of FibroGen International was completed on August 29, 2025 and accordingly, the performance obligation to AstraZeneca was completely satisfied upon the closing of the divestiture.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jc w:val="left"/>
        <w:rPr/>
      </w:pPr>
      <w:r>
        <w:rPr/>
        <w:t> </w:t>
      </w:r>
    </w:p>
    <w:tbl>
      <w:tblPr>
        <w:tblW w:w="10860" w:type="dxa"/>
        <w:jc w:val="left"/>
        <w:tblInd w:w="0" w:type="dxa"/>
        <w:tblLayout w:type="fixed"/>
        <w:tblCellMar>
          <w:top w:w="28" w:type="dxa"/>
          <w:left w:w="28" w:type="dxa"/>
          <w:bottom w:w="28" w:type="dxa"/>
          <w:right w:w="28" w:type="dxa"/>
        </w:tblCellMar>
      </w:tblPr>
      <w:tblGrid>
        <w:gridCol w:w="1416"/>
        <w:gridCol w:w="146"/>
        <w:gridCol w:w="211"/>
        <w:gridCol w:w="631"/>
        <w:gridCol w:w="166"/>
        <w:gridCol w:w="146"/>
        <w:gridCol w:w="211"/>
        <w:gridCol w:w="571"/>
        <w:gridCol w:w="146"/>
        <w:gridCol w:w="146"/>
        <w:gridCol w:w="211"/>
        <w:gridCol w:w="631"/>
        <w:gridCol w:w="166"/>
        <w:gridCol w:w="146"/>
        <w:gridCol w:w="146"/>
        <w:gridCol w:w="481"/>
        <w:gridCol w:w="166"/>
        <w:gridCol w:w="271"/>
        <w:gridCol w:w="146"/>
        <w:gridCol w:w="211"/>
        <w:gridCol w:w="571"/>
        <w:gridCol w:w="146"/>
        <w:gridCol w:w="146"/>
        <w:gridCol w:w="211"/>
        <w:gridCol w:w="571"/>
        <w:gridCol w:w="146"/>
        <w:gridCol w:w="146"/>
        <w:gridCol w:w="211"/>
        <w:gridCol w:w="631"/>
        <w:gridCol w:w="166"/>
        <w:gridCol w:w="146"/>
        <w:gridCol w:w="146"/>
        <w:gridCol w:w="376"/>
        <w:gridCol w:w="166"/>
        <w:gridCol w:w="716"/>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6"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Development revenue includes co-development and other development related services. We recognize development services as revenue in the period in which they are billed to our partners, excluding China. As of June 30, 2026, we do not expect to incur significant future co-development services. Other revenues consist of contract manufacturing revenue, patent transfer and sales of research and development material. Development and other revenue have not been material for any of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 product revenue includes commercial-grade API or bulk drug product sales to Astellas in support of pre-commercial preparation prior to the new drug application or marketing authorization application approval, and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will continue generating revenue from collaboration agreements in the form of milestone payments and royalties on drug product sales. We expect that any revenues we generate will fluctuate from quarter to quarter due to the uncertain timing and amount of such payments and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decreased $2.8 million, or 209%, for the three months ended June 30, 2026, and decreased $1.8 million, or 45%, for the six months ended June 30, 2026, respectively, compared to the same periods a year ago for the reasons discussed in the sections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Drug Product Revenue, Net</w:t>
      </w:r>
    </w:p>
    <w:p>
      <w:pPr>
        <w:pStyle w:val="TextBody"/>
        <w:bidi w:val="0"/>
        <w:jc w:val="left"/>
        <w:rPr/>
      </w:pPr>
      <w:r>
        <w:rPr/>
        <w:t> </w:t>
      </w:r>
    </w:p>
    <w:tbl>
      <w:tblPr>
        <w:tblW w:w="10990" w:type="dxa"/>
        <w:jc w:val="left"/>
        <w:tblInd w:w="0" w:type="dxa"/>
        <w:tblLayout w:type="fixed"/>
        <w:tblCellMar>
          <w:top w:w="28" w:type="dxa"/>
          <w:left w:w="28" w:type="dxa"/>
          <w:bottom w:w="28" w:type="dxa"/>
          <w:right w:w="28" w:type="dxa"/>
        </w:tblCellMar>
      </w:tblPr>
      <w:tblGrid>
        <w:gridCol w:w="1211"/>
        <w:gridCol w:w="146"/>
        <w:gridCol w:w="211"/>
        <w:gridCol w:w="631"/>
        <w:gridCol w:w="166"/>
        <w:gridCol w:w="146"/>
        <w:gridCol w:w="211"/>
        <w:gridCol w:w="571"/>
        <w:gridCol w:w="146"/>
        <w:gridCol w:w="146"/>
        <w:gridCol w:w="211"/>
        <w:gridCol w:w="631"/>
        <w:gridCol w:w="166"/>
        <w:gridCol w:w="146"/>
        <w:gridCol w:w="146"/>
        <w:gridCol w:w="631"/>
        <w:gridCol w:w="166"/>
        <w:gridCol w:w="271"/>
        <w:gridCol w:w="146"/>
        <w:gridCol w:w="211"/>
        <w:gridCol w:w="631"/>
        <w:gridCol w:w="166"/>
        <w:gridCol w:w="146"/>
        <w:gridCol w:w="211"/>
        <w:gridCol w:w="571"/>
        <w:gridCol w:w="146"/>
        <w:gridCol w:w="146"/>
        <w:gridCol w:w="211"/>
        <w:gridCol w:w="631"/>
        <w:gridCol w:w="166"/>
        <w:gridCol w:w="146"/>
        <w:gridCol w:w="146"/>
        <w:gridCol w:w="481"/>
        <w:gridCol w:w="166"/>
        <w:gridCol w:w="716"/>
      </w:tblGrid>
      <w:tr>
        <w:trPr/>
        <w:tc>
          <w:tcPr>
            <w:tcW w:w="1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1"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 Japan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drug 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Drug product revenue, net decreased $2.8 million, or (230)%, for the three months ended June 30, 2026, and decreased $1.9 million, or 50%, for the six months ended June 30, 2026, respectively, compared to the same periods a year ago.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2026, we updated our estimate of variable consideration related to the API shipments fulfilled under the terms of Astellas Japan Amendment, and accordingly recorded a reduction to the drug product revenue of $2.9 million. Specifically, the change in estimated variable consideration was based on the API held by Astellas at period end, adjusted to reflect changes in the estimated bulk product strength mix intended to be manufactured by Astellas, and foreign exchange impacts,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2026, we updated our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changes in the listed price,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 of 2025, the adjustment to the drug product revenue was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2025, we updated our estimate of variable consideration related to the API shipments fulfilled under the terms of Astellas Japan Amendment, and accordingly recorded an adjustment to the drug product revenue of $1.8 million. Specifically, the change in estimated variable consideration was based on the API held by Astellas at period end, adjusted to reflect the changes in the estimated yield from the manufacture of bulk product tablets, among others.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balances related to the API price true-up under the Astellas Japan Agreement were $2.9 million in accrued liabilities, representing our best estimate of the timing for these amounts to be paid.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royalty revenue as drug product revenue, from the deferred revenue under the Astellas Europe Agreement, of $1.4 million and $1.2 million for the three months ended June 30, 2026 and 2025, and $2.9 million and $2.0 million for the six months ended June 30, 2026 and 2025, respectively. It is our best estimate that the remainder of the deferred revenue will be recognized as revenue when uncertainty is resolved, based on the performance of roxadustat product sales in the Astellas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2026, we recorded $3.3 million to the drug product revenue for intermediates under the terms of the Astellas Europe Agreement and the Astellas EU Supply Agreement, and received cash during the same quarter. In addition, we transferred bulk drug product for commercial purposes under the terms of the Astellas Europe Agreement and the Astellas EU Supply Agreement, and recognized the related fully-burdened manufacturing costs of $0.9 million as drug product revenue, and recorded $6.2 million as deferred revenue due to a high degree of uncertainty associated with the variable consideration for revenue recognition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we further reclassified $0.8 million from the related deferred revenue to accrued liabilities. As of June 30, 2026, the balances related to the bulk drug product price true-up under the Astellas Europe Agreement and the Astellas EU Supply Agreement were $2.3 million in accrued liabilities, representing our best estimate that these amounts will be paid within the next 12 month. As of December 31, 2025, we recorded $5.4 million related balance in accrued liabilities, $3.8 million of which was paid to Astellas in the first quarter of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Costs and Expenses</w:t>
      </w:r>
    </w:p>
    <w:p>
      <w:pPr>
        <w:pStyle w:val="TextBody"/>
        <w:bidi w:val="0"/>
        <w:jc w:val="left"/>
        <w:rPr/>
      </w:pPr>
      <w:r>
        <w:rPr/>
        <w:t> </w:t>
      </w:r>
    </w:p>
    <w:tbl>
      <w:tblPr>
        <w:tblW w:w="11245" w:type="dxa"/>
        <w:jc w:val="left"/>
        <w:tblInd w:w="0" w:type="dxa"/>
        <w:tblLayout w:type="fixed"/>
        <w:tblCellMar>
          <w:top w:w="28" w:type="dxa"/>
          <w:left w:w="28" w:type="dxa"/>
          <w:bottom w:w="28" w:type="dxa"/>
          <w:right w:w="28" w:type="dxa"/>
        </w:tblCellMar>
      </w:tblPr>
      <w:tblGrid>
        <w:gridCol w:w="1491"/>
        <w:gridCol w:w="146"/>
        <w:gridCol w:w="211"/>
        <w:gridCol w:w="676"/>
        <w:gridCol w:w="146"/>
        <w:gridCol w:w="146"/>
        <w:gridCol w:w="211"/>
        <w:gridCol w:w="676"/>
        <w:gridCol w:w="146"/>
        <w:gridCol w:w="146"/>
        <w:gridCol w:w="211"/>
        <w:gridCol w:w="571"/>
        <w:gridCol w:w="166"/>
        <w:gridCol w:w="146"/>
        <w:gridCol w:w="146"/>
        <w:gridCol w:w="376"/>
        <w:gridCol w:w="166"/>
        <w:gridCol w:w="271"/>
        <w:gridCol w:w="146"/>
        <w:gridCol w:w="211"/>
        <w:gridCol w:w="676"/>
        <w:gridCol w:w="146"/>
        <w:gridCol w:w="146"/>
        <w:gridCol w:w="211"/>
        <w:gridCol w:w="676"/>
        <w:gridCol w:w="146"/>
        <w:gridCol w:w="146"/>
        <w:gridCol w:w="211"/>
        <w:gridCol w:w="571"/>
        <w:gridCol w:w="166"/>
        <w:gridCol w:w="146"/>
        <w:gridCol w:w="146"/>
        <w:gridCol w:w="571"/>
        <w:gridCol w:w="166"/>
        <w:gridCol w:w="7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6"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operating costs and expenses increased $2.7 million, or 20%, for the three months ended June 30, 2026, and increased $2.6 million, or 8%, for the six months ended June 30, 2026, respectively, compared to the same periods a year ago for the reasons discussed in the sections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Cost of Goods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goods sold for the three months ended June 30, 2026 and 2025 were immaterial. Cost of goods sold increased $3.8 million, or 1,119%, for the six months ended June 30, 2026, compared to the same period a year ago, primarily due to the cost associated with the intermediates drug product revenue of $3.3 million and the costs of bulk drug product delivered to Astellas of $0.9 million during the six months ended June 30, 2026.</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of independent research and development costs and the gross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three and six months ended June 30, 2026 and 2025:</w:t>
      </w:r>
    </w:p>
    <w:tbl>
      <w:tblPr>
        <w:tblW w:w="9368" w:type="dxa"/>
        <w:jc w:val="left"/>
        <w:tblInd w:w="0" w:type="dxa"/>
        <w:tblLayout w:type="fixed"/>
        <w:tblCellMar>
          <w:top w:w="28" w:type="dxa"/>
          <w:left w:w="28" w:type="dxa"/>
          <w:bottom w:w="28" w:type="dxa"/>
          <w:right w:w="28" w:type="dxa"/>
        </w:tblCellMar>
      </w:tblPr>
      <w:tblGrid>
        <w:gridCol w:w="1806"/>
        <w:gridCol w:w="154"/>
        <w:gridCol w:w="1775"/>
        <w:gridCol w:w="146"/>
        <w:gridCol w:w="298"/>
        <w:gridCol w:w="807"/>
        <w:gridCol w:w="206"/>
        <w:gridCol w:w="206"/>
        <w:gridCol w:w="298"/>
        <w:gridCol w:w="807"/>
        <w:gridCol w:w="146"/>
        <w:gridCol w:w="146"/>
        <w:gridCol w:w="243"/>
        <w:gridCol w:w="780"/>
        <w:gridCol w:w="168"/>
        <w:gridCol w:w="168"/>
        <w:gridCol w:w="243"/>
        <w:gridCol w:w="780"/>
        <w:gridCol w:w="191"/>
      </w:tblGrid>
      <w:tr>
        <w:trPr/>
        <w:tc>
          <w:tcPr>
            <w:tcW w:w="18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Phase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Product Candidate</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Development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FG-3246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Roxadustat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Approved / Phase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6,821</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increased $1.0 million, or 16%, for the three months ended June 30, 2026, compared to the same period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of $2.2 million in clinical trials expenses associated with FG-3246 Phase 2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$0.8 million employee-related costs primarily due to lower headcount.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$0.7 million, or 4%, for the six months ended June 30, 2026, compared to the same period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$1.9 million employee-related costs primarily due to lower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$1.1 million in stock-based compensation primarily resulting from lower stock price and reduced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$0.8 million in drug development expenses due to lower drug substance activities and lower logistic expenses associated with manufacturing activities for FG-3246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of $2.1 million in clinical trials expenses associated with FG-3246 Phase 2 trials; and</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Increase of $1.6 million in outside services due to higher activities associated with FG-3246 studies in the current year period, as compared to activities related to pamrevlumab programs, which were completed and terminated in the prior year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employee-related expenses for executive, operational, finance, legal, compliance, and human resource functions. SG&amp;A expenses also include professional fees, accounting and legal services, other outside services, recruiting fees and expenses associated with obtaining and maintaining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SG&amp;A expenses increased $2.2 million, or 31%, for the three months ended June 30, 2026, compared to the same period a year ago, primarily as a result of the net effect of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of $3.5 million in legal expenses primarily related to estimated indemnification costs associated with a former officer;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$0.7 million in equipment and facilities-related expenses due to cost control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SG&amp;A expenses remained relatively flat for the six months ended June 30, 2026, compared to the same period a year ago, primarily as a result of the net effect of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of $4.3 million in legal expenses primarily related to estimated indemnification costs associated with a former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$1.8 million in equipment and facilities-related expenses and decrease of $1.1 million in outside services due to cost control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$0.6 million in audit services due to lower audit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$0.5 million in stock-based compensation primarily resulting from lower stock price and reduced headcount.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and Other, Net</w:t>
      </w:r>
    </w:p>
    <w:p>
      <w:pPr>
        <w:pStyle w:val="TextBody"/>
        <w:bidi w:val="0"/>
        <w:jc w:val="left"/>
        <w:rPr/>
      </w:pPr>
      <w:r>
        <w:rPr/>
        <w:t> </w:t>
      </w:r>
    </w:p>
    <w:tbl>
      <w:tblPr>
        <w:tblW w:w="11760" w:type="dxa"/>
        <w:jc w:val="left"/>
        <w:tblInd w:w="0" w:type="dxa"/>
        <w:tblLayout w:type="fixed"/>
        <w:tblCellMar>
          <w:top w:w="28" w:type="dxa"/>
          <w:left w:w="28" w:type="dxa"/>
          <w:bottom w:w="28" w:type="dxa"/>
          <w:right w:w="28" w:type="dxa"/>
        </w:tblCellMar>
      </w:tblPr>
      <w:tblGrid>
        <w:gridCol w:w="1641"/>
        <w:gridCol w:w="146"/>
        <w:gridCol w:w="211"/>
        <w:gridCol w:w="676"/>
        <w:gridCol w:w="166"/>
        <w:gridCol w:w="146"/>
        <w:gridCol w:w="211"/>
        <w:gridCol w:w="631"/>
        <w:gridCol w:w="166"/>
        <w:gridCol w:w="146"/>
        <w:gridCol w:w="211"/>
        <w:gridCol w:w="676"/>
        <w:gridCol w:w="166"/>
        <w:gridCol w:w="146"/>
        <w:gridCol w:w="146"/>
        <w:gridCol w:w="631"/>
        <w:gridCol w:w="166"/>
        <w:gridCol w:w="271"/>
        <w:gridCol w:w="146"/>
        <w:gridCol w:w="211"/>
        <w:gridCol w:w="676"/>
        <w:gridCol w:w="166"/>
        <w:gridCol w:w="146"/>
        <w:gridCol w:w="211"/>
        <w:gridCol w:w="631"/>
        <w:gridCol w:w="166"/>
        <w:gridCol w:w="146"/>
        <w:gridCol w:w="211"/>
        <w:gridCol w:w="676"/>
        <w:gridCol w:w="166"/>
        <w:gridCol w:w="146"/>
        <w:gridCol w:w="146"/>
        <w:gridCol w:w="481"/>
        <w:gridCol w:w="166"/>
        <w:gridCol w:w="716"/>
      </w:tblGrid>
      <w:tr>
        <w:trPr/>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1"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deconsolidation of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w:t>
      </w:r>
    </w:p>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represents the interest related to sale of future revenues and interest related to the Technology Development Center of the Republic of Finland product development obligations. Interest expense remained relatively flat for the three and six months ended June 30, 2026, compared to the same periods a year ago.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Gain on deconsolidation of subsidiary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April 2026, our subsidiary, FibroGen Europe, voluntarily filed for bankruptcy with the Finnish bankruptcy court. On April 16, 2026, the Helsinki District Court declared FibroGen Europe bankrupt and appointed an estate administrator to oversee the bankruptcy estate. As a result, we determined that we no longer maintained a controlling financial interest in FibroGen Europe and therefore deconsolidated the subsidiary effective April 16, 2026. Upon deconsolidation, we derecognized the subsidiary’s assets and liabilities and recognized a $30.9 million gain on deconsolidation. See Note 2, </w:t>
      </w:r>
      <w:r>
        <w:rPr>
          <w:rFonts w:ascii="Times New Roman" w:hAnsi="Times New Roman"/>
          <w:i/>
          <w:color w:val="000000"/>
          <w:sz w:val="20"/>
        </w:rPr>
        <w:t>Deconsolidation of European Subsidiary</w:t>
      </w:r>
      <w:r>
        <w:rPr>
          <w:rFonts w:ascii="Times New Roman" w:hAnsi="Times New Roman"/>
          <w:color w:val="000000"/>
          <w:sz w:val="20"/>
        </w:rPr>
        <w:t>, to the condensed consolidated financial statements 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Interest Income and Other Income (Expenses),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and other income (expenses), net increased $0.7 million, or 241%, and increased $1.4 million, or 199%, for the three and six months ended June 30, 2026, respectively, compared to the same periods a year ago, primarily due to higher interest income resulting from overall higher cash equivalents and investment balances during the current year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30"/>
        <w:gridCol w:w="146"/>
        <w:gridCol w:w="211"/>
        <w:gridCol w:w="676"/>
        <w:gridCol w:w="166"/>
        <w:gridCol w:w="271"/>
        <w:gridCol w:w="146"/>
        <w:gridCol w:w="211"/>
        <w:gridCol w:w="736"/>
        <w:gridCol w:w="166"/>
        <w:gridCol w:w="271"/>
        <w:gridCol w:w="146"/>
        <w:gridCol w:w="211"/>
        <w:gridCol w:w="631"/>
        <w:gridCol w:w="166"/>
        <w:gridCol w:w="271"/>
        <w:gridCol w:w="146"/>
        <w:gridCol w:w="211"/>
        <w:gridCol w:w="736"/>
        <w:gridCol w:w="166"/>
        <w:gridCol w:w="391"/>
      </w:tblGrid>
      <w:tr>
        <w:trPr/>
        <w:tc>
          <w:tcPr>
            <w:tcW w:w="4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2"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Benefit from income taxes for the three and six months ended June 30, 2026 and 2025 were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we entered into the Share Purchase Agreement with AstraZeneca Treasury Limited pursuant to which we and our subsidiary FibroGen China Anemia Holdings, Ltd. agreed to sell all of the issued and outstanding equity interests of FibroGen International to AstraZeneca Treasury Limited. This sale includes all of our roxadustat assets in China, including FibroGen International’s subsidiary FibroGen Beijing and its 51.1% interest in Falikang. The transaction was closed on August 29, 2025.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determined that FibroGen International met the “held for sale” criteria and the “discontinued operations” criteria in accordance with Financial Accounting Standard Board Accounting Standards Codification ASC 205, </w:t>
      </w:r>
      <w:r>
        <w:rPr>
          <w:rFonts w:ascii="Times New Roman" w:hAnsi="Times New Roman"/>
          <w:i/>
          <w:color w:val="000000"/>
          <w:sz w:val="20"/>
        </w:rPr>
        <w:t>Presentation of Financial Statements</w:t>
      </w:r>
      <w:r>
        <w:rPr>
          <w:rFonts w:ascii="Times New Roman" w:hAnsi="Times New Roman"/>
          <w:color w:val="000000"/>
          <w:sz w:val="20"/>
        </w:rPr>
        <w:t xml:space="preserve">, as of December 31, 2024. Accordingly, the operating results related to FibroGen International are classified as discontinued operations, and have been reflected as discontinued operations in the condensed consolidated statements of operations. See Note 3, </w:t>
      </w:r>
      <w:r>
        <w:rPr>
          <w:rFonts w:ascii="Times New Roman" w:hAnsi="Times New Roman"/>
          <w:i/>
          <w:color w:val="000000"/>
          <w:sz w:val="20"/>
        </w:rPr>
        <w:t>Discontinued Operations and Divestiture</w:t>
      </w:r>
      <w:r>
        <w:rPr>
          <w:rFonts w:ascii="Times New Roman" w:hAnsi="Times New Roman"/>
          <w:color w:val="000000"/>
          <w:sz w:val="20"/>
        </w:rPr>
        <w:t>, to the condensed consolidated financial statements 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Upon the close of the sale of FibroGen International and its subsidiaries to AstraZeneca Treasury Limited on August 29, 2025, we received $210.4 million in cash paid at closing, and a total of $10.0 million cash payable by AstraZeneca at the closing subject to holdbacks of: (i) a $6.0 million holdback to offset final net cash adjustments which will be released following a customary adjustment process approximately 90 days post-closing (as such time may be extended for the parties to mutually agree upon final adjustments), and (ii) a $4.0 million holdback to satisfy any indemnity claims, which will be released, net of any claims paid or unresolved, nine months after the closing. On November 6, 2025, we received a $6.4 million payment from AstraZeneca, which is in full satisfaction of the first holdback of $6.0 million, plus $0.4 million that was an additional payment following the final net cash adjustments after closing. On June 2, 2026, we received a $4.0 million payment from AstraZeneca, which is in full satisfaction of the final holdback. See Note 3, </w:t>
      </w:r>
      <w:r>
        <w:rPr>
          <w:rFonts w:ascii="Times New Roman" w:hAnsi="Times New Roman"/>
          <w:i/>
          <w:color w:val="000000"/>
          <w:sz w:val="20"/>
        </w:rPr>
        <w:t>Discontinued Operations and Divestiture</w:t>
      </w:r>
      <w:r>
        <w:rPr>
          <w:rFonts w:ascii="Times New Roman" w:hAnsi="Times New Roman"/>
          <w:color w:val="000000"/>
          <w:sz w:val="20"/>
        </w:rPr>
        <w:t>, to the condensed consolidated financial statements for details.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April 2023, we entered into the Financing Agreement with investment funds managed by MSTV (“Lenders”), and Wilmington Trust, National Association, as the administrative agent, providing for senior secured term loan facilities consisting of a $75.0 million initial term loan. Upon the closing of the sale of FibroGen International and its subsidiaries to AstraZeneca Treasury Limited on August 29, 2025, we repaid our term loan facility with the Lenders. For additional details about this financing transaction, see Note 7, </w:t>
      </w:r>
      <w:r>
        <w:rPr>
          <w:rFonts w:ascii="Times New Roman" w:hAnsi="Times New Roman"/>
          <w:i/>
          <w:color w:val="000000"/>
          <w:sz w:val="20"/>
        </w:rPr>
        <w:t>Senior Secured Term Loan Facilities</w:t>
      </w:r>
      <w:r>
        <w:rPr>
          <w:rFonts w:ascii="Times New Roman" w:hAnsi="Times New Roman"/>
          <w:color w:val="000000"/>
          <w:sz w:val="20"/>
        </w:rPr>
        <w:t xml:space="preserve">, to the condensed consolidated financial statements.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2022, we entered into a Revenue Interest Financing Agreement (“RIFA”) with an affiliate of NovaQuest Capital Management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8, </w:t>
      </w:r>
      <w:r>
        <w:rPr>
          <w:rFonts w:ascii="Times New Roman" w:hAnsi="Times New Roman"/>
          <w:i/>
          <w:color w:val="000000"/>
          <w:sz w:val="20"/>
        </w:rPr>
        <w:t>Liability Related to Sale of Future Revenues</w:t>
      </w:r>
      <w:r>
        <w:rPr>
          <w:rFonts w:ascii="Times New Roman" w:hAnsi="Times New Roman"/>
          <w:color w:val="000000"/>
          <w:sz w:val="20"/>
        </w:rPr>
        <w:t xml:space="preserve">, to the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2025, we entered into an Equity Distribution Agreement with BofA Securities, Inc. pursuant to which we may issue and sell, from time to time and through BofA Securities, Inc., shares of our common stock having an aggregate offering price of up to $30.0 million. We did not sell any shares of common stock under this agreement to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disclosed, in April 2026, we received a letter from the Nasdaq Listing Qualifications Staff of the Nasdaq Stock Market notifying us that Kyntra Bio no longer complies with the Nasdaq Global Select Market continued listing requirement of $50 million in total assets and total revenue for the most recently completed fiscal year (or two of the last three most recently completed fiscal years) per Listing Rule 5450(b)(3)(A). This is due to the revenue of FibroGen International being presented as held for sale (in discontinued operations) in our 2024 and 2025 10-Ks. The notification has no immediate effect on the listing of Kyntra Bio’s common stock on Nasdaq Global Select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Kyntra Bio timely submitted a compliance plan to Nasdaq. Kyntra Bio may also consider applying to transfer our securities to the Nasdaq Capital Market. If we are unable to maintain compliance or transfer and regain compliance, our common stock could become subject to delisting, which could adversely affect share price, liquidity, and ability to raise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investments and accounts receivable totaled $95.7 million at June 30, 2026, compared to $109.4 million as of December 31, 2025. Cash is invested in accordance with our investment policy, primarily with a view to liquidity and capital preservation. Investments, consisting of available-for-sale securities, and stated at fair value, are also available as a source of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liquidity is subject to specific risks, including: (i) indemnification obligations to current and former officers and directors, which may require us to advance legal expenses or satisfy judgments or settlements that are not fully covered by insurance, as our insurance policies are subject to exclusions, coverage limits, and potential disputes with insurers; and (ii) our obligations under the RIFA with NovaQuest, pursuant to which we may be required to make substantial payments if the revenue interest payments do not perform sufficiently, including potential balloon payments in 2029 and 2031, which could place significant demands on our cash resources relative to our current liquidity position. There can be no assurance that our cash resources will be sufficient to satisfy these obligations, and we may be required to seek additional financing.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Sources and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primary sources and uses of cash and cash equivalents for each of the periods set forth below (in thousands), including both continuing operations and discontinued operations:</w:t>
      </w:r>
    </w:p>
    <w:p>
      <w:pPr>
        <w:pStyle w:val="TextBody"/>
        <w:bidi w:val="0"/>
        <w:spacing w:before="20" w:after="283"/>
        <w:jc w:val="left"/>
        <w:rPr/>
      </w:pPr>
      <w:r>
        <w:rPr/>
        <w:t> </w:t>
      </w:r>
    </w:p>
    <w:tbl>
      <w:tblPr>
        <w:tblW w:w="8169" w:type="dxa"/>
        <w:jc w:val="left"/>
        <w:tblInd w:w="0" w:type="dxa"/>
        <w:tblLayout w:type="fixed"/>
        <w:tblCellMar>
          <w:top w:w="28" w:type="dxa"/>
          <w:left w:w="28" w:type="dxa"/>
          <w:bottom w:w="28" w:type="dxa"/>
          <w:right w:w="28" w:type="dxa"/>
        </w:tblCellMar>
      </w:tblPr>
      <w:tblGrid>
        <w:gridCol w:w="5286"/>
        <w:gridCol w:w="146"/>
        <w:gridCol w:w="211"/>
        <w:gridCol w:w="736"/>
        <w:gridCol w:w="166"/>
        <w:gridCol w:w="146"/>
        <w:gridCol w:w="211"/>
        <w:gridCol w:w="676"/>
        <w:gridCol w:w="591"/>
      </w:tblGrid>
      <w:tr>
        <w:trPr/>
        <w:tc>
          <w:tcPr>
            <w:tcW w:w="5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$17.9 million for the six months ended June 30, 2026 and consisted primarily of net loss of $3.2 million adjusted for non-operating cash items of $29.0 million, and a net increase in operating assets and liabilities of $14.4 million. The significant non-operating cash items included gain on deconsolidation of subsidiary of $30.9 million and stock-based compensation expense of $2.1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liabilities increased $4.0 million, driven by higher accrued legal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increased $3.8 million driven by timing of invoicing and payments;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Accrued interest expense related to sale of future revenues increased $3.4 million due to the interest expense of $4.7 million accrued, offset by the interest payment of $1.3 million during the period.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 for details;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Deferred revenue increased $2.5 million, driven by $6.2 million associated with the bulk drug product transferred to Astellas under the terms of the Astellas Europe Agreement and the Astellas EU Supply Agreement during the six months ended June 30, 2026; partially offset by $2.8 million royalty revenue recognized, and $0.8 million reclassified to accrued liabilities, resulting from changes in estimated variable consideration associated with the bulk drug product transferred to Astellas. See the </w:t>
      </w:r>
      <w:r>
        <w:rPr>
          <w:rFonts w:ascii="Times New Roman" w:hAnsi="Times New Roman"/>
          <w:i/>
          <w:color w:val="000000"/>
          <w:sz w:val="20"/>
        </w:rPr>
        <w:t>Drug Product Revenue, Net</w:t>
      </w:r>
      <w:r>
        <w:rPr>
          <w:color w:val="000000"/>
        </w:rPr>
        <w:t xml:space="preserve"> </w:t>
      </w:r>
      <w:r>
        <w:rPr>
          <w:rFonts w:ascii="Times New Roman" w:hAnsi="Times New Roman"/>
          <w:color w:val="000000"/>
          <w:sz w:val="20"/>
        </w:rPr>
        <w:t xml:space="preserve">section in Note 4, </w:t>
      </w:r>
      <w:r>
        <w:rPr>
          <w:rFonts w:ascii="Times New Roman" w:hAnsi="Times New Roman"/>
          <w:i/>
          <w:color w:val="000000"/>
          <w:sz w:val="20"/>
        </w:rPr>
        <w:t>Collaboration Agreements, License Agreement and Revenues</w:t>
      </w:r>
      <w:r>
        <w:rPr>
          <w:rFonts w:ascii="Times New Roman" w:hAnsi="Times New Roman"/>
          <w:color w:val="000000"/>
          <w:sz w:val="20"/>
        </w:rPr>
        <w:t>, to the condensed consolidated financial statements for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was $15.4 million for the six months ended June 30, 2025 and consisted primarily of net loss of $3.0 million adjusted for non-operating cash items of $6.2 million, and a net increase in operating assets and liabilities of $12.1 million. The significant non-operating cash items included stock-based compensation expense of $4.7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decreased $51.5 million, primarily due to the $28.5 million distribution of the above-mentioned litigation settlement during the quarter, which is fully recoverable under our insurance policies. The decrease in prepaid expenses and other current assets was also related to the collection from Falikang during the quarter based on the arrangements under the settlement agreements between FibroGen China and AstraZeneca to settle certain historical items, which was unbilled receivables as of December 31,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increased $7.5 million, primarily related to the $10.0 million additional deferred revenue during the quarter due to changes in estimate associated with the China performance obligation; offset by the $2.0 million royalty revenue recognized from the deferred revenue under the Astellas Europe Agreement during the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decreased $4.2 million primarily driven by lower inventory production in China as we have decommissioned our API manufacturing facility in Cangzhou, China in late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interest expense related to sale of future revenues increased $3.7 million due to the interest expense of $4.1 million accrued, offset by the interest paid of $0.5 million during the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liabilities decreased $30.7 million, primarily driven by the $28.5 million distribution of litigation settlement related to our agreement in principle with plaintiffs to settle the class action lawsuit. The accrued and other liabilities were also impacted by cost control efforts and the timing of invoicing and 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decreased $21.7 million, primarily driven by the payments made during the quarter to AstraZeneca under the settlement agreements entered in September 2024 between FibroGen China and AstraZeneca to settle certain historical items;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increased $3.0 million, primarily driven by the billings to Falikang based on the arrangements under the above-mentioned settlement agreements and related to the increase product sales.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 primarily consist of purchases of investments, proceeds from the maturity and sale of investments, and net proceeds from divestiture.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$20.7 million for the six months ended June 30, 2026 and consisted primarily of $31.8 million proceeds from maturity of investments and $4.0 million cash payment received from AstraZeneca, which is in full satisfaction of the final holdback related to divestiture of FibroGen International; partially offset by $15.0 million cash used in purchases of available-for-sale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immaterial for the six months ended June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 primarily reflect proceeds from strategic financing arrangements, cash paid for payroll taxes on restricted stock unit releases, and repayments of our lease liabilities and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immaterial for the six months ended June 30, 2026 and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sz w:val="20"/>
        </w:rPr>
      </w:pPr>
      <w:r>
        <w:rPr>
          <w:rFonts w:ascii="Times New Roman" w:hAnsi="Times New Roman"/>
          <w:color w:val="000000"/>
          <w:sz w:val="20"/>
        </w:rPr>
        <w:t>We generate revenue from commercial sales of roxadustat product in Japan and Europe. Even with these revenues,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development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Part II, Item 1A “</w:t>
      </w:r>
      <w:r>
        <w:rPr>
          <w:rFonts w:ascii="Times New Roman" w:hAnsi="Times New Roman"/>
          <w:i/>
          <w:color w:val="000000"/>
          <w:sz w:val="20"/>
        </w:rPr>
        <w:t>Risk Factors</w:t>
      </w:r>
      <w:r>
        <w:rPr>
          <w:rFonts w:ascii="Times New Roman" w:hAnsi="Times New Roman"/>
          <w:color w:val="000000"/>
          <w:sz w:val="20"/>
        </w:rPr>
        <w:t>” in this Quarterly Report on Form 10-Q, as well as unknown factors that may adversely affect our business. We anticipate that we will need substantial additional funding in connection with our continuing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outstanding total non-cancelable purchase obligations of $5.7 million for manufacture and supply of roxadustat and $1.0 million for general purchases, all of which are expected to be paid within the next 12 months. We expect to fulfill our commitments under these agreements in the normal course of business, and as such, no liability has been recorded.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RIFA with NovaQuest, as of June 30, 2026, we had $70.7 million of liability related to sale of future revenues in the condensed consolidated balance sheets, $0.2 million of which we anticipate to pay within the next 12 month. Based on our current estimates of drug product revenue and revenue from milestone payments under the Astellas Agreements, and taking into the consideration of the terms under the RIFA, we anticipate to reach a payment cap up to $125.0 million by 2031. See Note 8, Liability Related to Sale of Future Revenues, to the condensed consolidated financial statements 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estimates and judgments during the three and six months ended June 30, 2026 compared with the disclosures in Part II, Item 7 of our 2025 Form 10-K.</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Rule 12b-2 of the Exchange Act; therefore, pursuant to Item 305(e) of Regulation S-K,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3" w:name="item_4_controls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of June 30, 2026,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evaluation, the Principal Executive Officer and Principal Financial Officer have concluded that our disclosure controls and procedures were effective at the reasonable assurance level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occurred during the three months ended June 30, 2026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June 30, 2026, as we could not predict the ultimate outcome of these matters, or reasonably estimate the potential exposure. See Note 10,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marked with an asterisk (*) those risks described below that reflect substantive changes from the risks described under Part I, Item 1A “Risk Factors” included in our Annual Report on Form 10-K for the year ended December 31, 2025, filed on March 16,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Kyntra Bio will depend on a number of factors, many of which are beyond our control and involve risks, including but not limited to the following: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lead products roxadustat and FG-3246 (in conjunction with our PET (as defined below) imaging agent FG-3180).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and obtaining marketing authorization are very difficult endeavors, and we may ultimately be unable to obtain regulatory approval for our various product candidates in one or more jurisdictions and one or more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Phase 1, and Phase 2 clinical trial results may not be indicative of the results that may be obtained in larger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ongoing or planned clinical trials will need to be redesigned based on interim results or if we will be able to achieve sufficient patient enrollment or complete planned clinical trials on schedule.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manufacturers or we cannot properly manufacture the appropriate volume of product, we may experience delays in development, regulatory approval, launch, or successful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in the development and commercialization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collaborations were terminated or if our partners were unwilling or unable to contribute or participate in the collaborations, our ability to successfully develop and commercialize the relevant product candidate could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preclinical and clinical trial contractors do not properly perform their agreed-upon obligations, we may not be able to obtain or may be delayed in receiving regulatory approvals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 parties to conduct many aspects of our product manufacturing and distribution, and these third parties may terminate these agreements or not perform satisfactorily.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shortfalls, delays, or excesses in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components of our products are acquired from single-source suppliers or without long-term supply agreements. The loss of these suppliers, or their failure to supply, would materially and adversely affect our business.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efforts to protect our proprietary and exclusively licensed technologies are not adequate,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of some foreign countries do not protect proprietary rights to the same extent as do the laws of the U.S., and we may encounter significant problems in securing and defending our intellectual property rights outside the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is highly uncertain and we may not obtain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International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U.S. and China relations, as well as relations with other countries, and/or regulations may adversely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third party suppliers in China, and there are risks inherent to utilizing third party manufacturing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risk of manufacturing disruption due to geopolitical tensions in China and related to U.S. legislation impacting WuXi AppTec, Wuxi Biologics, and Wuxi XDC.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lead products roxadustat and FG-3246 (in conjunction with our PET (as defined below) imaging agent FG-3180).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value drivers for Kyntra Bio, Inc. (“Kyntra Bio” or the “Company”) depend in large part on the continued commercial success of roxadustat in Europe and Japan, the potential of roxadustat for anemia associated with lower-risk myelodysplastic syndromes (“MDS”), and the development of FG-3246 (in conjunction with our positron emission tomography (“PET”) imaging agent FG-3180), which is in clinical development for metastatic castration-resistant prostate cancer (“mCRPC”).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efforts in these programs are unsuccessful, it may materially and adversely affect our business and financial condition.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Drug development and obtaining marketing authorization are very difficult endeavors, and we may ultimately be unable to obtain regulatory approval for our various product candidates in one or more jurisdictions and in one or more indications.*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manufacturing, marketing, and selling of our products and product candidates are and will continue to be subject to extensive and rigorous review and regulation by numerous government authorities in the United States of America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effective and has an acceptable safety profile for use in each indication for which approval is sought.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development and approval processes are expensive and require substantial resources and time, and in general, very few product candidates that enter development ultimately receive regulatory approval. In addition, our collaboration partner for roxadustat may influence development decisions in their respective territories and they may make decisions with respect to development or regulatory authorities that limit or increase the cost of development. Accordingly, we may be unable to successfully develop any of our other product candidates in one or more indications and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for any clinical trial to support a New Drug Application / Biologics License Application submission for approval, the U.S. Food and Drug Administration (“FDA”) and foreign regulatory authorities require compliance with regulations and standards (including Good Clinical Practice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may take actions or impose requirements that delay, limit or deny approval of our product candidates for many reasons,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adequately demonstrate to the satisfaction of regulatory authorities or an independent advisory committee that our product candidate is effective and has an acceptable safety profile in a particular indication, or that such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clinical trials to meet the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regulatory authorities that additional information (including additional preclinical or clinical data or trials) is necessary to demonstrate the safety and efficacy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over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exhibiting an unacceptable safety signal at any stage of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either by us or the clinical research organizations (“CROs”) or investigators that conduct clinical trials on our behalf, to comply with regulations or GCPs, clinical trial protocols, or contractual agreements, which may adversely impact our clinical trials, as well as, investigator-sponsored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over whether to accept results from clinical trial sites in a country where the standard of care is potentially different from that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either by us or third-party contractors manufacturing our product candidates to maintain Current Good Manufacturing Practices (“cGMP”), successfully pass inspection, or meet other applicable manufacturing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by regulatory authorities to exclude the use of patient data from unreliable clinical trials, or disagreement with our interpretation of the data from our preclinical trials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delay in approval of one of our clinical trial investigational new drug applications or protocol or protocol amendments (in particular, due to a government shutdown or other factor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collaboration partners or other third parties such as clinical investigators to perform or complete their clinical programs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data from investigator-sponsored clinical trials to meet GCP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many of which are beyond our control, could delay or jeopardize our or our collaboration partners’ abilities to obtain regulatory approval for our product candidates in one or more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believe our clinical trials, as well as, investigator-sponsored trials are successful, regulatory authorities may not agree that our completed clinical trials provide adequate data on safety or efficacy. Approval by one regulatory authority does not ensure approval by any other regulatory authority.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obtain regulatory approval, our product candidates may be approved for narrower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that impact commercial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scenarios could materially harm the commercial prospects for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Phase 1, and Phase 2 clinical trial results may not be indicative of the results that may be obtained in larger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after achieving positive results in early-stage development, and we may face similar setbacks.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have an investigator-sponsored trial, we would have to rely on sponsor’s data generated independently under sponsor’s institutional practices. As a result, there is an additional risk that results may differ in future trials run by Kyntra Bio as the sponsor.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know whether our ongoing or planned clinical trials will need to be redesigned based on interim results or if we will be able to achieve sufficient patient enrollment or complete planned clinical trials on schedule.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can be delayed, suspended, or terminated by us, by the relevant institutional review boards at the sites at which such trials are being conducted, or by the FDA or other regulatory authorities, for a variety of reasons or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obtain required regulatory or institutional review board approval or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the drug to pass interim futility criteria for efficacy in a clinical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side effects that meet safety stopping rules for the study in a clinical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reach timely agreement on acceptable terms with prospective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recruit, enroll and retain patients through the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recruitment, enrollment, or retention, clinical site initiation, or retention problems associated with civil unrest, military conflicts around the world, or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maintain clinical sites in compliance with clinical trial protocols or to conduct the clinical trial in accordance with regulatory requirements or our clinical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initiate or add a sufficient number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manufacture sufficient quantities of product candidate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enrolling a sufficient number of patients to conduct our clinical trials, as well as, investigator-sponsored trials as planned;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inspection of the clinical trial operations or trial site by the FDA or other regulatory authorities resulting in the imposition of a clinical hold, warning letter, or other regulatory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identifying and qualifying patients to participate in clinical trials of our product candidates is critical to our success. The timing of our clinical trials, as well as, investigator-sponsored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and design of the study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clinical trials of competitive 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perceptions of the potential advantages of our product candidates being studied in relation to available therapies or other products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and our trial sites’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monitor patients and collect patient data adequately during and after treatment.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or that may be identified as related to our product candidates by physician investigators conducting our clinical trials, as well as, investigator-sponsored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 development plan becoming longer and more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terminating our clinical trials, as well as, investigator-sponsored trials for the product candidates or specific indications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increasing the data and information required to approve our product candidates and imposing other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partners terminating our existing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or all of these events may cause the development of our product candidates to be delayed or terminated, which could materially and adversely affect our business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of our product candidates may not uncover all possible adverse effects that patients may experience.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representative samples of the potential patient population, which may have significant variability. Our drug candidates are being studied in patient populations that are at high risk of death and adverse events, and even if unrelated to our drug candidate,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manufacturers or we cannot properly manufacture the appropriate volume of product, we may experience delays in development, regulatory approval, launch or successful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our clinical trials, as well as, investigator-sponsored trials, and commercialization of our products require access to, or development of, facilities to manufacture and manage our product candidates at sufficient yields, quality and scale. We may need to enter into additional manufacturing agreements and may be unable to do so on satisfactory terms or in a timely manner. In addition, we may experience delays or technical problems associated with technology transfer of manufacturing processes to any new suppliers.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collaboration partner, may not be able to accurately forecast clinical or commercial supply requirements and we may not meet or we may exceed our requirements as to quantities, scale-up, yield, cost, potency or quality in compliance with cGMP.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general risk of delayed drug supply from any third-party provider in the supply chain, including raw material and components suppliers, export and customs locations, and shipping companies. Any delay or interruption in the supply of our product candidates or products could have a material adverse effect on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due to delays in, or not obtaining, marketing approval for any one of our clinical programs, we may have excess supply or excess waste of expiring product supply. Or if product expires due to delays, we may have a shortfall of supply of non-expired product as manufacturing of such product has significant lead times.</w:t>
      </w:r>
    </w:p>
    <w:p>
      <w:pPr>
        <w:pStyle w:val="TextBody"/>
        <w:bidi w:val="0"/>
        <w:spacing w:before="240" w:after="283"/>
        <w:jc w:val="left"/>
        <w:rPr>
          <w:rFonts w:ascii="Times New Roman" w:hAnsi="Times New Roman"/>
          <w:sz w:val="20"/>
        </w:rPr>
      </w:pPr>
      <w:r>
        <w:rPr>
          <w:rFonts w:ascii="Times New Roman" w:hAnsi="Times New Roman"/>
          <w:color w:val="000000"/>
          <w:sz w:val="20"/>
        </w:rPr>
        <w:t>Please see also our risk factor titled “</w:t>
      </w:r>
      <w:r>
        <w:rPr>
          <w:rFonts w:ascii="Times New Roman" w:hAnsi="Times New Roman"/>
          <w:i/>
          <w:color w:val="000000"/>
          <w:sz w:val="20"/>
        </w:rPr>
        <w:t>We may have shortfalls, delays, or excesses in manufacturing.</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partners may add or change manufacturers, change our manufacturing processes, or change packaging specifications to accommodate changes in regulations, manufacturing equipment or to account for different processes at new or second source suppliers. Manufacturing changes made to one of our drugs or drug candidates, include, but are not limited to, demonstration of comparability to approved/ in approval products and processes, additional clinical trials, delays in development or commercialization, earlier expiration dates, shorter shelf life, or specification failures, and those changes may materially impact our operations and potential profitability. This includes the scenario that the change may be unsuccessful and cause delays or other negative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even an experienced third-party manufacturer, may encounter difficulties in production. Difficulties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and challenges associated with scale-up and attaining sufficient manufacturing yields;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additional suppliers and validation/qualification of additional facilities to meet growing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issues, including coordination of multiple contractors in our supply chain and securing necessary licenses (such as export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availability and shelf-life requirements of raw materials and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stability and product shelf life;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maintenance issues or failure;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control and quality assurance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and capital required to manufacture large quantities of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regulatory requirements that vary in each country where a product might be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capacity or forecasting limitations and scheduling availability in contracted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such as pandemics, floods, storms, earthquakes, tsunamis, and droughts, or accidents such as fire, that affect facilities, possibly limit or postpone production, and increase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a license to procure proprietary starting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Kyntra Bio may also elect to transition its manufacturing responsibilities to another party. There may be risks underlying this manufacturing transition, as well as new risks that may emerge after the new organization takes over manufacturing, if that were to happen.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believe we have achieved positive clinical results, regulatory authorities conduct their own benefit-risk analysis and may reach different conclusions. Regulatory authorities may use, among other things, different statistical methods, different endpoints or definitions thereof, and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narrower indications than we request or may grant approval contingent on the performance of costly post-approval clinical trials.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would likely reduce our potential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in the development and commercialization of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develop and commercialize new products with superior efficacy, convenience, tolerability, and safety.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in many cases, the products that we commercialize will compete with existing marketed products of companies that have large, established commercial organizations.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will likely face competition from other companies developing products in the same diseases or indications in which we are developing or commercializing products, particularly for the prostate cancer market. We will also face competition for patient recruitment and enrollment for clinical trials.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success of any or all of these potential competitive products may negatively impact the development and potential for success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Kyntra Bio are not able to compete effectively against existing and potential competitors, our business and financial condition may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of the product candidate as demonstrated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profile and perceptions of safety of our product candidates relative to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product candidate as a safe and effective treatment by healthcare providers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candidate over alternative treatments, including any similar generic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inclusion or exclusion of the product candidate from treatment guidelines established by various physician groups and the viewpoints of influential physicians with respect to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the product candidate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pricing and reimbursement by third parties and government authorities as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unfavorable publicity relating to the product candidate.</w:t>
      </w:r>
    </w:p>
    <w:p>
      <w:pPr>
        <w:pStyle w:val="TextBody"/>
        <w:bidi w:val="0"/>
        <w:spacing w:before="240" w:after="283"/>
        <w:jc w:val="left"/>
        <w:rPr>
          <w:rFonts w:ascii="Times New Roman" w:hAnsi="Times New Roman"/>
          <w:sz w:val="20"/>
        </w:rPr>
      </w:pPr>
      <w:r>
        <w:rPr>
          <w:rFonts w:ascii="Times New Roman" w:hAnsi="Times New Roman"/>
          <w:color w:val="000000"/>
          <w:sz w:val="20"/>
        </w:rPr>
        <w:t>In addition, see the risk factor titled “</w:t>
      </w:r>
      <w:r>
        <w:rPr>
          <w:rFonts w:ascii="Times New Roman" w:hAnsi="Times New Roman"/>
          <w:i/>
          <w:color w:val="000000"/>
          <w:sz w:val="20"/>
        </w:rPr>
        <w:t>Our product candidates may cause or have attributed to them undesirable side effects or have other properties that delay or prevent their regulatory approval or limit their commercial potential</w:t>
      </w:r>
      <w:r>
        <w:rPr>
          <w:rFonts w:ascii="Times New Roman" w:hAnsi="Times New Roman"/>
          <w:color w:val="000000"/>
          <w:sz w:val="20"/>
        </w:rPr>
        <w:t>” above. If any product candidate is approved but does not achieve an adequate level of acceptance by such parties, we may not generate or derive sufficient revenue from that product candidate and may not become or remain profitable.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 or limited reimbursement or insurance coverage of our approved products, by third-party payors may render our products less attractive to patients and healthcare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applicable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In the U.S., government efforts to implement Most Favored Nation pricing policies, which would tie the price of certain drugs to the lowest price paid for the same drug in other economically comparable countries, could result in similar downward pricing pressure domestically if such policies are adopted and applied to our products. The Inflation Reduction Act of 2022 established a Medicare drug price negotiation program administered by CMS, under which selected drugs are subject to government-negotiated “maximum fair prices.” Small-molecule drugs such as roxadustat become eligible for selection earlier in their lifecycle than biologics. If any of our products become subject to this program, or if this framework is expanded, our revenue and our collaboration partners’ commercialization economics could be adversely affected.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collaborations were terminated or if our partners were unwilling or unable to contribute or participate in the collaborations, our ability to successfully develop and commercialize the relevant product candidate could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 Evaluation Agreement with Fortis Therapeutics, Inc. (“Fortis”) under which we rely, in part, on Fortis and its development partners, including University of California, San Francisco, for the continued development of FG-3246 (in conjunction with our PET biomarker). While we control development of FG-3246 for the evaluation period, we will be doing so under our investigational new drug application that references Fortis’s investigational new drug application. If Fortis were unwilling to cooperate with development efforts, our ability to develop FG-3246 (in conjunction with our PET biomarker) could be delayed.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active collaboration agreements with respect to the development and commercialization of roxadustat with Astellas Pharma Inc. (“Astellas”).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agreements with Astellas provide them with the right to terminate their agreements for convenience or for breach, either of which could have an adverse effect on our business and operations. Moreover, if Astellas, or any successor entity, were to determine that their collaborations with us are no longer a strategic priority, or if either of them or a successor were to reduce their level of commitment to their collaborations with us, our ability to profit from the commercialization of roxadustat could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instance, the collaboration agreement between the Company and AstraZeneca, effective as of July 2013, for the development and commercialization of roxadustat for the treatment of anemia in the U.S. and all other countries in the world, other than the People’s Republic of China (“China”), not previously licensed to Astellas (the “AstraZeneca U.S./RoW Agreement”) was terminated on February 25, 2024 as amended and restated on August 29, 2025 (except for South Korea). Our collaboration agreement with AstraZeneca for the development and commercialization of roxadustat for the treatment of anemia in China (the “AstraZeneca China Agreement”) culminated as a result of the completion of the sale of FibroGen International (Hong Kong) Ltd. (“FibroGen International”) and its subsidiaries pursuant to the share purchase agreement entered into by the Company and AstraZeneca Treasury Limited on February 20, 2025, as amended on August 29, 2025 (the “Share Purchase Agreement”). This eliminates any additional potential milestones or other payments AstraZeneca could have made under the AstraZeneca U.S./RoW Agreement or the AstraZeneca China Agreement. And while we are now investigating new licensing opportunities for roxadustat, there can be no assurance that we will find such a partner or be able to agree to a license on reasonable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our collaboration partner Astellas is unsuccessful in their commercialization efforts in Europe and Japan, our results will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as well as potentially impacting our commercial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preclinical and clinical trial contractors do not properly perform their agreed upon obligations, we may not be able to obtain or may be delayed in receiving regulatory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heavily on university, hospital, and other institutions and third parties, including the principal investigators and their staff, to carry out our clinical trials, as well as, investigator-sponsored trials in accordance with GCP, clinical protocols, and designs. We also rely on a number of third-party CROs or other third parties to assist in undertaking, managing, monitoring, imaging and testing, and otherwise executing our ongoing clinical trials. We expect to continue to rely on CROs, clinical data management organizations, medical institutions, clinical investigators, and other third parties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cGMP, and good laboratory practices requirements can occur through periodic inspections of trial sponsors, principal investigators, and trial sites.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ensure the quality and accuracy of our data remains uncompromised and reliable, our third-party service providers and clinical investigators or clinical partners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rely, and expect to continue to rely, on third parties to conduct many aspects of our product manufacturing and distribution, and these third parties may terminate these agreements or not perform satisfactorily.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our own operating manufacturing facilities at this time.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Risks arising from our reliance on third-party manufacturers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control and additional burdens of oversight as a result of using third-party manufacturers and distributors for all aspects of manufacturing activities, including regulatory compliance and quality control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manufacturing agreements, fees associated with such termination, or nonrenewal of manufacturing agreements with third parties that may negatively impact our planned development and commercialization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technology,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regulatory actions taken against one of our contract manufacturers for failure to adhere to GMP;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our third-party manufacturers, distributors or suppliers unrelated to our product, including the merger, acquisition, or bankruptcy of a manufacturer or supplier or a catastrophic event, affecting our manufacturers, distributors or suppliers;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for Kyntra Bio to meet timing and volume obligations to Astellas or other partners due to insufficient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 Furthermore, premature termination of third-party manufacturers may result in additional cost burden for Kyntra Bio.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may have shortfalls, delays, or excesses in manufacturing.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other manufacturers in the event that we have to manufacture lower volumes or not at all depending on the results of our clinical trials. We may be subject to payments to other third-party manufacturers to cover portions or all of the committed manufacturing campaigns even if we do not need the material for clinical or commercial usage. In addition, third-party manufacturers tend to change their upfront fees or postponement/cancelation fees over time or upon initiation of additional contracts, and this may lead to unanticipated financial loss for Kyntra Bio.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also be additional delays in importing or exporting products, intermediates, or raw materials between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components of our products are acquired from single-source suppliers or without long-term supply agreements. The loss of these suppliers, or their failure to supply, would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new long-term commercial supply arrangements on commercially reasonable terms, could take significant time or may not be possible. We currently rely on our contract manufacturers to purchase from third-party suppliers some of the materials necessary to produce our product candidates. We do not have direct control over the acquisition of those materials by our contract manufacturers.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 (“API”), and drug product to meet our and our collaboration partners’ needs to date, the lead-time and regulatory approvals required to source from and into countries outside of the U.S. increase the risk of delay and potential shortages of supply.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efforts to protect our proprietary and exclusively licensed technologies are not adequate,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our proprietary information or technology could compromise our competitive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and may in the future be involved in initiating legal or administrative proceedings involving the product candidates and intellectual property of our competitors. Moreover, we are, have been, and may in the future be involved in legal proceedings initiated by third parties involving our intellectual property. These proceedings can result in significant costs and commitment of management time and attention, and there can be no assurance that our efforts would be successful in preventing or limiting the ability of our competitors to market competing products or defending our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Biotechnology and pharmaceutical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generic manufacturers and competitors with significantly greater resources could threaten our ability to commercialize our product candidates.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w:t>
      </w:r>
      <w:r>
        <w:rPr>
          <w:rFonts w:ascii="Times New Roman" w:hAnsi="Times New Roman"/>
          <w:i/>
          <w:color w:val="000000"/>
          <w:sz w:val="20"/>
        </w:rPr>
        <w:t>inter partes</w:t>
      </w:r>
      <w:r>
        <w:rPr>
          <w:rFonts w:ascii="Times New Roman" w:hAnsi="Times New Roman"/>
          <w:color w:val="000000"/>
          <w:sz w:val="20"/>
        </w:rPr>
        <w:t xml:space="preserve"> review, opposition, invalidation,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disputes may be costly, time consuming, and may negatively affect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may depend on our avoiding infringement of the patents and other proprietary rights of third parties as well as on enforcing our patents and other proprietary rights against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FG-3246 (in conjunction with our PET imaging agent FG-3180). Any litigation involving defense against claims of infringement, regardless of the merit of such claims, would involve substantial litigation expense and would be a substantial diversion of management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and generic competition, is imperative, and any unauthorized use or disclosure could impair our competitive position and may have a material adverse effect on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certain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pStyle w:val="TextBody"/>
        <w:bidi w:val="0"/>
        <w:spacing w:before="360" w:after="283"/>
        <w:jc w:val="left"/>
        <w:rPr>
          <w:rFonts w:ascii="Times New Roman" w:hAnsi="Times New Roman"/>
          <w:sz w:val="20"/>
        </w:rPr>
      </w:pPr>
      <w:r>
        <w:rPr>
          <w:rFonts w:ascii="Times New Roman" w:hAnsi="Times New Roman"/>
          <w:b/>
          <w:i/>
          <w:color w:val="000000"/>
          <w:sz w:val="20"/>
        </w:rPr>
        <w:t>The laws of some foreign countries do not protect proprietary rights to the same extent as do the laws of the U.S., and we may encounter significant problems in securing and defending our intellectual property rights outside the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As we have experienced in multiple jurisdictions,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existence of counterfeit pharmaceutical products in pharmaceutical markets may compromise our brand and reputation and have a material adverse effect on our business,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Counterfeit products, including counterfeit pharmaceutical products, can be a significant problem.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The existence of and any increase in the sales and production of counterfeit pharmaceuticals, or the technological capabilities of counterfeiters, could negatively impact our revenues, brand reputation, business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 is highly uncertain and we may not obtain regulatory approval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our product candidates we may discover, in-license or acquire and seek to develop in the future, will not obtain regulatory approval in any particular jurisdiction or indication.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such laws or any other governmental regulations that apply to us, we may be subject to significant penalties, including administrative, civil and criminal penalties, damages, fines, imprisonment, disgorgement, the curtailment or restructuring of our operations, the exclusion from participation in federal and state healthcare programs and imprisonment, any of which could materially adversely affect our ability to operate our business and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confidential, proprietary, and sensitive information, including personal data, business data, trade secrets, intellectual property, information we collect about trial participants in connection with clinical trials, sensitive third-party data, business plans, transactions, and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as amended by the California Privacy Rights Act of 2020 (collectively,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Although the CCPA exempts some data processed in the context of clinical trials, the CCPA increases compliance costs and potential liability.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upon whom we rely.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U.S., laws, regulations, and industry standards govern data privacy and security. For example, the European Union’s General Data Protection Regulation (“EU GDPR”) and the United Kingdom’s GDPR impose strict requirements for processing personal data, including health-related information. Specifically, under the EU GDPR, companies may face fines of up to 20 million Euros or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companies that transfer personal data out of the European Economic Area and the United Kingdom to other jurisdictions are subject to scrutiny from regulators, individual litigants, and activities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utilizing artificial intelligence (“AI”) within our IT platforms and services. However, our competitors might integrate AI faster or more effectively than us, which could put us at a disadvantage. Additionally, if AI helps create content, analyses, or recommendations that turn out to be flawed or biased, or even just perceived that way, it could hurt our business and financial health. AI can also lead to cybersecurity issues, potentially exposing personal data of users. Such incidents could damage our reputation and affect our performance. As AI technology rapidly evolves, and with the possibility of new regulations, we may need additional resources to ensure we use AI responsibly and ethically to avoid unforeseen negative consequences. Governments have passed and are likely to pass additional laws regulating generative AI. Our use of this technology could result in additional compliance costs, regulatory investigations and actions, and lawsuits.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Preparing for and complying with these obligations requires us to devote resources and may necessitate changes to our services, information technologies, systems, and practices and to those of any third parties that process personal data on our behalf.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restrictions on use of AI tools which may involve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laws and regulations governing corruption, which require us to maintain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comply with a wide range of laws and regulations to prevent corruption, bribery, and other unethical business practices, including the U.S. Foreign Corrupt Practices Act (“FCPA”), anti-bribery and anti-corruption laws in other countries. The implementation and maintenance of compliance programs can be costly and such programs may be difficult to enforce, particularly where reliance on third parties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these anti-bribery laws is expensive and difficult, particularly in countries in which corruption is a recognized problem.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it may result in material misstatements in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compliance with applicable securities laws and the Nasdaq Stock Market LLC listing requirements, we may be subject to regulatory investigations and penalties, investors may lose confidence in our financial reporting, and our stock price may decline. In addition, if our internal control over financial reporting is deemed ineffective, efforts required to remediate an ineffective system of control over financial reporting may place a significant burden on management and add increased pressure on our financial resources and processes.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impact of U.S. healthcare reform may adversely affect our business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Healthcare reform in the U.S. in the future may include changes to Prescription Drug User Fee Act (PDUFA) funding, or other actions that impact FDA programs or personnel funded by user fees. If user fees are cut or eliminated, or if personnel funded by user fees are terminated at FDA, the result could increase uncertainty on review timelines or extend FDA review timelines (e.g., new drug applications, Biologics License Applications), which can result in delays for regulatory action and adversely impact drug development timelines.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or otherwise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Roxadustat is considered a Class 2 substance on the 2019 World Anti-Doping Agency Prohibited List that could limit sales and increase security and distribution costs for our partners and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may engage in misconduct or improper activities, which could result in significant liability or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including intentional failure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FDA regulations or similar regulations of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accurate information to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manufacturing standards we have established;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 with data privacy and security laws protecting personal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federal and state healthcare fraud and abuse laws and regulations and similar laws and regulations established and enforced by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the FCPA and other anti-bribery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 financial information or data accurately;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 unauthorized activities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or safety laws and regulations, we could incur fines, penalties or other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International Risks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and China relations, as well as relations with other countries, and/or regulations may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government, including the SEC, has made statements and taken certain actions that have led to changes to U.S. and international relations, and will impact companies with connections to China, including imposing several rounds of tariffs affecting certain products manufactured in China. It is unknown whether and to what extent new legislation, executive orders, tariffs, laws or regulations will be adopted, or the effect that any such actions would have on companies with connections to China. We have business operations in the U.S., and conduct contract manufacturing in both the U.S. and China. Any unfavorable government policies on cross-border relations and/or international trade, including tariffs, may affect the import of products and product components from China. While we have thus far imported products manufactured in China under exemptions from tariffs, if we are unable to do so in the future, the Company could encounter additional costs to supply our product and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third party suppliers in China, and there are risks inherent to utilizing third-party manufacturing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suppliers are obligated to comply with cGMP requirements but there can be no assurance that they will maintain all of the appropriate licenses required to manufacture our product candidates for clinical and commercial use. Our product suppliers must continually spend time, money and effort in production, record-keeping and quality assurance and appropriate controls in order to ensure that any products manufactured in their facilities meet applicable specifications and other requirements for product safety, efficacy and quality but there can be no assurance that their efforts will continue to be successful in meeting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Manufacturing facilities in China are subject to periodic unannounced inspections by the National Medical Products Administration and other regulatory authorities. We expect to depend on these facilities for our product candidates, and we do not yet have a secondary source supplier for either roxadustat API. Consequently, we carry single source supplier risk for all countries we or our partners are selling in. Natural disasters or other unanticipated catastrophic events, including power interruptions, water shortages, storms, fires, pandemics, earthquakes, terrorist attacks, government appropriation of our facilities, and wars, could significantly impair our suppliers’ abilities to operate their manufacturing facilities. Certain equipment, records and other materials located in such facilities would be difficult to replace or would require substantial replacement lead-time that would impact our ability to successfully commercialize supply roxadustat API or other clinical products.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a risk of manufacturing disruption due to geopolitical tensions in China and related to U.S. legislation impacting WuXi AppTec, WuXi Biologics, and WuXi XDC.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climate of geopolitical tensions in China affecting global supply chains may impact our ability to continually meet market demand. For example, certain U.S. lawmakers have encouraged sanctions and introduced legislation that could affect WuXi AppTec (Hong Kong) Limited and our current supplier of FG-3246, WuXi Biologics (Hong Kong) Limited (“WuXi Biologics”), Wuxi XDC (Hong Kong) Limited (“WuXi XDC”) and companies that do business with WuXi Biologics and WuXi XDC. Shanghai SynTheAll Pharmaceutical Co., Ltd. (“WuXi STA”), our supplier of roxadustat drug substance, is also included in this legislation since it is a branch of WuXi Apptec. This can impact the FG-3246 program as we source the linker and payload from WuXi STA and we manufacture antibody, antibody-drug conjugate (“ADC”) drug substance and ADC drug product at WuXi Biologics and WuXi XDC. This legislation is being developed and it is possible that the content in the legislation continues to change prior to becoming law. There are also risks that new legislation comes up in the future that imposes further restrictions on our ability to source FG-3246 from WuXi Biologics, WuXi XDC, and WuXi STA for U.S. based clinical and commercial demand. This legislation may prevent us from launching FG-3246 in the U.S. or conducting clinical trials after the period specified in the legislation. This may also force us to consider alternative suppliers for which additional time, money and resources may be required without a guarantee of producing comparable product in a timely fashion. The occurrence of any such event could materially and adversely affect our business, financial condition, results of operations, timing of supply deliveries, cash flows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currency exchange rate fluctuations and currency exchange restrictions with respect to our partner</w:t>
      </w:r>
      <w:r>
        <w:rPr>
          <w:rFonts w:ascii="Times New Roman" w:hAnsi="Times New Roman"/>
          <w:color w:val="000000"/>
          <w:sz w:val="20"/>
        </w:rPr>
        <w:t>’</w:t>
      </w:r>
      <w:r>
        <w:rPr>
          <w:rFonts w:ascii="Times New Roman" w:hAnsi="Times New Roman"/>
          <w:b/>
          <w:i/>
          <w:color w:val="000000"/>
          <w:sz w:val="20"/>
        </w:rPr>
        <w:t>s operations in Japan and Europe, which could adversely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tax inefficiencies associated with our offshore corporate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22, 2017, the Tax Cuts and Jobs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Operation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with two lead product candidates in clinical development, roxadustat for anemia in lower-risk MDS in the U.S. and elsewhere, and FG-3246 (in conjunction with our PET imaging agent FG-3180) for mCRPC. Most of our revenue generated to date has been based on our collaboration agreements. We continue to incur significant research and development and other expenses related to our ongoing operations. Our loss from continuing operations were $58.2 million and $153.1 million for the year ended December 31, 2025, and 2024, respectively. As of June 30, 2026, we had an accumulated deficit of $1.7 billion. As of June 30, 2026, we had capital resources from cash and cash equivalents of $50.6 million and short-term and long-term investments of $44.7 million. Despite the commercialization efforts of Astellas for roxadustat for the treatment of anemia caused by chronic kidney disease, we anticipate we will continue to incur losses on an annual basis for the foreseeable future. Furthermore, due to the sale of FibroGen International to AstraZeneca Treasury Limited, we will not be due any royalty, development or milestone payments under the AstraZeneca China Agreement.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we will continue to expend substantial resources for the foreseeable future as we continue our clinical development efforts.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we may seek additional funds sooner than planned. 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terms of any financing may adversely affect the holdings or the rights of our stockholders. If we raise additional funds by issuing equity securities, dilution to our existing stockholders will result. Furthermore,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Our ability to satisfy and meet any future debt service obligations will depend upon our future performance, which will be subject to financial, business and other factors affecting our operations, many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liquidity is subject to specific risks, including: (i) indemnification obligations to current and former officers and directors, which may require us to advance legal expenses or satisfy judgments or settlements that are not fully covered by insurance, as our insurance policies are subject to exclusions, coverage limits, and potential disputes with insurers; and (ii) our obligations under the Revenue Interest Financing Agreement (the “RIFA”) with an affiliate of NovaQuest Capital Management (“NovaQuest”), pursuant to which we may be required to make substantial payments if the revenue interest payments do not perform sufficiently, including potential balloon payments in 2029 and 2031, which could place significant demands on our cash resources relative to our current liquidity position. There can be no assurance that our cash resources will be sufficient to satisfy these obligations, and we may be required to seek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funding, we could delay, reduce or eliminate research and development programs, product portfolio development or future commercialization efforts which could adversely affect our business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required to recognize an impairment of our long-lived assets, which could adversely affect our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non-dilutive transaction with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we entered into a $50 million RIFA financing with NovaQuest with respect to our revenues from Astellas’ sales of roxadustat in Europe, Japan and the other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material inducement for NovaQuest to enter into the RIFA, we granted NovaQuest a security interest over our rights, title and interest in and to the revenue interest payments and intellectual property related to roxadustat in the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under the RIFA with NovaQuest, pursuant to which we may be required to make substantial payments if the revenue interest payments do not perform sufficiently, including potential balloon payments in 2029 and 2031, which could place significant demands on our cash resources relative to our current liquidity position. There can be no assurance that our cash resources will be sufficient to satisfy these obligations, and we may be required to seek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RIFA includes customary reporting obligations and events of default by us. Upon the occurrence of an event of default, NovaQuest may exercise all remedies available to it at law or in equity in respect of the security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details about this financing transaction, see Note 8,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under this financing transaction could have significant negative consequences for our shareholders, and our business, results of operations and financial condition by,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ability to obtain additional non-dilutive financing or enter into collaboration or partnership agreements of a certain size;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the dedication of a portion of our cash flow from operations to service our indebtedness, which will reduce the amount of cash available for other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to plan for, or react to, changes in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comply with the above covenants may be affected by events beyond our control, and future breaches of any of the covenants could result in a default under the RIFA, or any future financing agreements. If not waived, future defaults could cause all of the outstanding indebtedness under either financing transaction to become immediately due and payable and NovaQuest could seek to enforce their security interest in assets that secure such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we incur additional debt, the risks described above could increase. Any of the above risks would negatively impact our ability to operate our business and obtain additional debt or equity financing on favorable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encounter difficulties in managing our growth and expanding our operations, successfully.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exposed to the risks associated with litigation, investigations, regulatory proceedings, and other legal matters, any of which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Legal proceedings, regardless of their merits or their ultimate outcomes, are costly, divert management’s attention and may materially adversely affect our business, results of operations, financial condition, prospects, and stock price. Such costs include indemnification for proceedings against our current or former officers, and there is one ongoing proceeding against a former officer where costs are now material as set forth in the </w:t>
      </w:r>
      <w:r>
        <w:rPr>
          <w:rFonts w:ascii="Times New Roman" w:hAnsi="Times New Roman"/>
          <w:i/>
          <w:color w:val="000000"/>
          <w:sz w:val="20"/>
        </w:rPr>
        <w:t>Indemnification Agreements</w:t>
      </w:r>
      <w:r>
        <w:rPr>
          <w:rFonts w:ascii="Times New Roman" w:hAnsi="Times New Roman"/>
          <w:color w:val="000000"/>
          <w:sz w:val="20"/>
        </w:rPr>
        <w:t xml:space="preserve"> section under Note 10, </w:t>
      </w:r>
      <w:r>
        <w:rPr>
          <w:rFonts w:ascii="Times New Roman" w:hAnsi="Times New Roman"/>
          <w:i/>
          <w:color w:val="000000"/>
          <w:sz w:val="20"/>
        </w:rPr>
        <w:t>Commitments and Contingencies</w:t>
      </w:r>
      <w:r>
        <w:rPr>
          <w:rFonts w:ascii="Times New Roman" w:hAnsi="Times New Roman"/>
          <w:color w:val="000000"/>
          <w:sz w:val="20"/>
        </w:rPr>
        <w:t>. Although we maintain insurance for certain potential liabilities, such insurance does not cover all types and amounts of potential liabilities and is subject to various exclusions and caps on amounts recoverable. Even if we believe a claim is covered by insurance, insurers may dispute its entitlement to recovery for a variety of potential reasons, which may affect the timing and, if the insurers prevail, the amount of our recovery. There can be no assurance that our cash resources will be sufficient to satisfy these obligations, and we may be required to seek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such legal matters could negatively impact our reputation among our customers, collaboration partners or our shareholders. Furthermore, publicity surrounding legal proceedings, including regulatory investigations, even if resolved favorably for us, could result in additional legal proceedings or regulatory investigations, as well as damage to our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have to limit commercial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further development of unapproved product candidates or significantly reduced demand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costs and expenses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time and resources across the entire organization, including our executive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product withdrawals or labeling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our collaboration relationships or disputes with our collaboration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damage negatively impacting our other product candidates in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would suffer in the event of computer system failures.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upon which we rely are subject to a variety of evolving cybersecurity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severe ransomware attacks are becoming increasingly prevalent and can lead to significant interruptions in our operations, loss of confidential, proprietary, and sensitive data and income, reputational harm, and diversion of funds. While it is possible that extortion payments may alleviate the negative impact of a ransomware attack, we may be unwilling or unable to make such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designated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to file timely public reports and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third party service providers may be exposed to natural disasters and other catastrophes.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 party service, cloud and software-as-a-services (SaaS) platform providers, who we rely on for critical support functions, may be exposed to significant risks from natural disasters and other catastrophic events, including earthquakes, power outages, and unforeseen disruptions. Many of these providers are in regions prone to earthquakes and fires, such as the San Francisco Bay Area. These risks could severely impact their operations, infrastructures, or abilities to deliver services, which could in turn disrupt our business continuity and have a material adverse effect on our operations and financial results. Although we have conducted comprehensive risk assessments, the vulnerability of our third-party partners to these events remains a significant risk, particularly as many operate from single sites with limited disaster recovery capabilities. Their inability to recover promptly from such events could result in service delays or interruptions, leading to operational challenges, and increased costs for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common stock may be highly volatile, and you may not be able to resell your shares at or above your purchase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has at times experienced price volatility and may continue to be volatile. For example, during the 12-month period ended June 30, 2026, the closing price of our common stock on the Nasdaq Global Select Market has ranged from $5.25 per share to $12.43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release of results of and regulatory updates regarding our clinical trials, as well as, investigator-sponsored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any of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issues with respect to our product candidates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 candidates and any approved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financial condition and operating results, which will be significantly affected by the manner in which we recognize revenue from the achievement of milestones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collaborations and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of a collaboration or the inability to establish additional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legislation or other regulatory developments affecting our product candidates or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the biotechnology industry and particular companies perceived by investors to be comparable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investigations or regulatory scrutiny of our operations or lawsuits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conditions for biopharmaceutical stocks;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other factors described in this “</w:t>
      </w:r>
      <w:r>
        <w:rPr>
          <w:rFonts w:ascii="Times New Roman" w:hAnsi="Times New Roman"/>
          <w:i/>
          <w:color w:val="000000"/>
          <w:sz w:val="20"/>
        </w:rPr>
        <w:t>Risk Factors</w:t>
      </w:r>
      <w:r>
        <w:rPr>
          <w:color w:val="000000"/>
        </w:rPr>
        <w:t xml:space="preserve">” </w:t>
      </w:r>
      <w:r>
        <w:rPr>
          <w:rFonts w:ascii="Times New Roman" w:hAnsi="Times New Roman"/>
          <w:color w:val="000000"/>
          <w:sz w:val="20"/>
        </w:rPr>
        <w:t>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us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and we are therefore eligible for certain provisions of the Exchange Act, including only being required to provide two years of audited financial statements and reduced disclosure obligations regarding executive compensation in our periodic reports and proxy statements. If some investors find our common shares less attractive as a result of our reliance on these reduced disclosure obligations, there may be a less active trading market for our common shares and our price of our common shares may be more volatile.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a risk that our common stock could be delisted if we are unable to regain compliance with the Nasdaq Global Select Market or, if we are unable to transfer to the Nasdaq Capital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on April 2, 2026, we received a letter from the Nasdaq Listing Qualifications Staff of the Nasdaq Stock Market notifying us that Kyntra Bio no longer complies with the Nasdaq Global Select Market continued listing requirement of $50 million in total assets and total revenue for the most recently completed fiscal year (or two of the last three most recently completed fiscal years) per Listing Rule 5450(b)(3)(A). This is due to the revenue of FibroGen International being presented as held for sale (in discontinued operations) in our 2024 and 2025 10-Ks. We do not currently meet the alternative requirements of Listing Rule 5450(b) (either the shareholders’ equity or the market value of listed securities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notification received has no immediate effect on the listing of Kyntra Bio’s common stock on Nasdaq Global Select Market. We timely submitted a plan to Nasdaq to regain compliance and if such plan is accepted, Nasdaq may grant us with an extension of up to 180 days (September 29, 2026) to evidence 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 Listing Rule 5810(c)(2)(D), we may submit a plan that demonstrates current or near-term compliance with the listing requirements relating to stockholders’ equity or market value of listed securities. In determining whether to accept our plan, Nasdaq will consider such things as the likelihood that the plan will result in compliance with Nasdaq’s continued listing criteria, our past compliance history, the reasons for our current non-compliance, other corporate events that may occur within the review period, our overall financial condition, and our public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consider applying to transfer our securities to the Nasdaq Capital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stock is transferred from the Nasdaq Global Select Market to the Nasdaq Capital Market, we would continue to be listed on a Nasdaq market; however, such a transfer could be perceived negatively by investors. The Nasdaq Capital Market has less stringent listing requirements than the Nasdaq Global Select Market, and a transfer could signal to investors that we no longer meet the higher standards associated with the Nasdaq Global Select Market. As a result, the market price of our common stock could decline and the trading volume and liquidity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our common stock would continue to be listed on a Nasdaq market following such a transfer, we could experience decrease analyst coverage and reduced market visibility compared to companies listed on the Nasdaq Global Select Market. This could make it more difficult for investors (including institutional investors) to obtain research coverage or accurate market information regarding our common stock. Any reduced liquidity or market interest could also result in negative publicity and could also make it more difficult for us to raise additional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maintain compliance with the continued listing requirements of the Nasdaq Capital Market following such a transfer, or if we are unable to transfer and unable to regain compliance with the Nasdaq Global Select Market, our common stock could become subject to delisting. Delisting from the Nasdaq Global Select Market or any Nasdaq market could make trading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common stock more difficult for investors, potentially leading to declines in our share price and liquidity. In that event, the risks with respect to delisting include limited trading markets, ineligibility to sell securities under our current S-3 registration statement under certain circumstances, potential quotation on over-the-counter markets, and the possible application of “penny stock” rules (as “penny stock” is defined in the Exchange Act, and including coverage under Rule 15g-9 of the Exchange Act), and could further adversely affect the market for and value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engage in acquisitions that could dilute stockholders and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stock that would dilute our existing stockholders’ percentage of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debt and assume liabilities;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amortization expenses related to intangible assets or incur large and immediate write-offs.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problems integrating the purchased business, products or technologies, or employees or other assets of the acquisition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to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or undisclosed liabilities of the acquired asset or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 from their day-to-day responsibilities;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reprioritization of our development programs and even cessation of development and commercialization of our current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harm to our operating results or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entrance into markets in which we have limited or no prior experience;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 of key employees, particularly those of the acquired entity.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complete any acquisitions or effectively integrate the operations, products or personnel gained through any such acquisition.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charter documents and Delaware law may have anti-takeover effects that could discourage an acquisition of us by others and may prevent attempts by our stockholders to replace or remove our current directors or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pursuant to a resolution adopted by a majority of the total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prior to the end of their term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the holders of our common stock or the majority vote of our Board of Directors to amend our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the holders of our common stock to amend the classification of our Board of Directors into three classes and to amend certain other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our tax provision or exposure to additional tax liabilities could adversely affect our earnings and financial condition.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tax regulations in the U.S. and other jurisdictions in which we operate are extremely complex and subject to change. Changes in tax regulations could have an adverse effect on our results of operations and financial condition. On July 4, 2025, the One Big Beautiful Bill Act was signed into law in the U.S. which contains a broad range of tax reform provisions affecting businesses. We are still in the process of evaluating the legislation and an estimate of the financial impact cannot be made at this time.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Federal and state tax laws impose substantial restrictions on the utilization of net operating loss and credit carryforwards in the event of an “ownership change” for tax purposes, as defined in IRC Section 382. We would undergo an ownership change if, among other things, the stockholders who own, directly or indirectly, 5% or more of our common stock, or are otherwise treated as “5% shareholders” under Section 382 of the U.S. Internal Revenue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In the event of an ownership change, Section 382 of the U.S. Internal Revenue Code imposes an annual limitation on the amount of taxable income a corporation may offset with NOL carryforwards. The annual limitation is generally equal to the value of the stock of the corporation immediately before the ownership change, multiplied by the long-term tax-exempt rate for the month in which the ownership change occurs (the long-term tax-exempt rate for March 2015 is 2.67%). Any unused annual limitation may generally be carried over to later years until the NOL carryforwards expire. The Company performed an IRC Section 382 analysis and do not believe there were ownership changes as of December 31, 2024. Thus, IRC Section 382 will not limit the use of our net operating loss and tax credit carryforwards. We continue to monitor trading activities in our shares which could cause ownership change in future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160"/>
        <w:jc w:val="left"/>
        <w:rPr>
          <w:rFonts w:ascii="Times New Roman" w:hAnsi="Times New Roman"/>
          <w:b/>
          <w:i/>
          <w:color w:val="000000"/>
          <w:sz w:val="20"/>
        </w:rPr>
      </w:pPr>
      <w:r>
        <w:rPr>
          <w:rFonts w:ascii="Times New Roman" w:hAnsi="Times New Roman"/>
          <w:b/>
          <w:i/>
          <w:color w:val="000000"/>
          <w:sz w:val="20"/>
        </w:rPr>
        <w:t>Tariffs or other trade policy changes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Changes in trade policies, tariffs, and geopolitical tensions may impact our business, supply chain, and costs of operations. Governments worldwide, including the U.S. and key trade partners like China, have imposed and may continue to impose tariffs, export controls, trade restrictions, and other measures that could impact our supply chain and our costs of doing business. If we are impacted by the changing trade relations between the U.S. and other countries, our business and results of operations may be negatively impacted.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certificate of incorporation designates courts located in Delaware as the sole forum for certain proceedings,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plan to pay dividends. Capital appreciation will be your sole possible source of gain, which may never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or our share price could be negatively affected as a result of shareholder proposals or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Kyntra Bio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0" w:name="item_5_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
        <w:gridCol w:w="146"/>
        <w:gridCol w:w="6100"/>
        <w:gridCol w:w="146"/>
        <w:gridCol w:w="511"/>
        <w:gridCol w:w="146"/>
        <w:gridCol w:w="750"/>
        <w:gridCol w:w="146"/>
        <w:gridCol w:w="631"/>
        <w:gridCol w:w="146"/>
        <w:gridCol w:w="733"/>
      </w:tblGrid>
      <w:tr>
        <w:trPr/>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7"/>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5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0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11/21/2014</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8-K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04/04/2025</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First Amendment to Amended and Restated Bylaws.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01/07/2026</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the 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001-36740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06/12/2025</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of the 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01/07/2026</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11/21/2014</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nb-ex31_1.htm">
              <w:r>
                <w:rPr>
                  <w:rStyle w:val="InternetLink"/>
                  <w:rFonts w:ascii="Times New Roman" w:hAnsi="Times New Roman"/>
                  <w:color w:val="0000FF"/>
                  <w:sz w:val="20"/>
                  <w:u w:val="single"/>
                </w:rPr>
                <w:t>Certification of Chief Executive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nb-ex31_2.htm">
              <w:r>
                <w:rPr>
                  <w:rStyle w:val="InternetLink"/>
                  <w:rFonts w:ascii="Times New Roman" w:hAnsi="Times New Roman"/>
                  <w:color w:val="0000FF"/>
                  <w:sz w:val="20"/>
                  <w:u w:val="single"/>
                </w:rPr>
                <w:t>Certification of Chief Financial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nb-ex32_1.htm">
              <w:r>
                <w:rPr>
                  <w:rStyle w:val="InternetLink"/>
                  <w:rFonts w:ascii="Times New Roman" w:hAnsi="Times New Roman"/>
                  <w:color w:val="0000FF"/>
                  <w:sz w:val="20"/>
                  <w:u w:val="single"/>
                </w:rPr>
                <w:t>Certification of Principal Executive Officer and Principal Financial Officer, as required by Rule 13a-14(b) or Rule 15d-14(b) and Section 1350 of Chapter 63 of Title 18 of the United States Code (18 U.S.C. §1350)(1)).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spacing w:before="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5054" w:type="dxa"/>
        <w:jc w:val="left"/>
        <w:tblInd w:w="0" w:type="dxa"/>
        <w:tblLayout w:type="fixed"/>
        <w:tblCellMar>
          <w:top w:w="28" w:type="dxa"/>
          <w:left w:w="28" w:type="dxa"/>
          <w:bottom w:w="28" w:type="dxa"/>
          <w:right w:w="28" w:type="dxa"/>
        </w:tblCellMar>
      </w:tblPr>
      <w:tblGrid>
        <w:gridCol w:w="1951"/>
        <w:gridCol w:w="146"/>
        <w:gridCol w:w="451"/>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KYNTRA BIO,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Thane Wettig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6689" w:type="dxa"/>
        <w:jc w:val="left"/>
        <w:tblInd w:w="0" w:type="dxa"/>
        <w:tblLayout w:type="fixed"/>
        <w:tblCellMar>
          <w:top w:w="28" w:type="dxa"/>
          <w:left w:w="28" w:type="dxa"/>
          <w:bottom w:w="28" w:type="dxa"/>
          <w:right w:w="28" w:type="dxa"/>
        </w:tblCellMar>
      </w:tblPr>
      <w:tblGrid>
        <w:gridCol w:w="1951"/>
        <w:gridCol w:w="146"/>
        <w:gridCol w:w="451"/>
        <w:gridCol w:w="414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DeLucia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kynb-ex31_1.htm"/>
      <w:bookmarkStart w:id="24" w:name="kskynb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Thane Wettig,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Form 10-Q of Kyntra 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472" w:type="dxa"/>
        <w:jc w:val="left"/>
        <w:tblInd w:w="0" w:type="dxa"/>
        <w:tblLayout w:type="fixed"/>
        <w:tblCellMar>
          <w:top w:w="28" w:type="dxa"/>
          <w:left w:w="28" w:type="dxa"/>
          <w:bottom w:w="28" w:type="dxa"/>
          <w:right w:w="28" w:type="dxa"/>
        </w:tblCellMar>
      </w:tblPr>
      <w:tblGrid>
        <w:gridCol w:w="1951"/>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Thane Wettig</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kynb-ex31_2.htm"/>
      <w:bookmarkStart w:id="26" w:name="kskynb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DeLucia,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Form 10-Q of Kyntra 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137" w:type="dxa"/>
        <w:jc w:val="left"/>
        <w:tblInd w:w="0" w:type="dxa"/>
        <w:tblLayout w:type="fixed"/>
        <w:tblCellMar>
          <w:top w:w="28" w:type="dxa"/>
          <w:left w:w="28" w:type="dxa"/>
          <w:bottom w:w="28" w:type="dxa"/>
          <w:right w:w="28" w:type="dxa"/>
        </w:tblCellMar>
      </w:tblPr>
      <w:tblGrid>
        <w:gridCol w:w="1951"/>
        <w:gridCol w:w="4186"/>
      </w:tblGrid>
      <w:tr>
        <w:trPr/>
        <w:tc>
          <w:tcPr>
            <w:tcW w:w="195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4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DeLucia</w:t>
            </w:r>
          </w:p>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kynb-ex32_1.htm"/>
      <w:bookmarkStart w:id="28" w:name="kskynb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Thane Wettig, Chief Executive Officer of Kyntra Bio, Inc. (the “Company”), and David DeLucia,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13, 2026</w:t>
      </w:r>
    </w:p>
    <w:p>
      <w:pPr>
        <w:pStyle w:val="TextBody"/>
        <w:bidi w:val="0"/>
        <w:spacing w:before="360" w:after="24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13</w:t>
      </w:r>
      <w:r>
        <w:rPr>
          <w:rFonts w:ascii="Times New Roman" w:hAnsi="Times New Roman"/>
          <w:color w:val="000000"/>
          <w:sz w:val="13"/>
        </w:rPr>
        <w:t>th</w:t>
      </w:r>
      <w:r>
        <w:rPr>
          <w:rFonts w:ascii="Times New Roman" w:hAnsi="Times New Roman"/>
          <w:color w:val="000000"/>
          <w:sz w:val="20"/>
        </w:rPr>
        <w:t xml:space="preserve"> day of August, 2026.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513" w:type="dxa"/>
        <w:jc w:val="left"/>
        <w:tblInd w:w="0" w:type="dxa"/>
        <w:tblLayout w:type="fixed"/>
        <w:tblCellMar>
          <w:top w:w="28" w:type="dxa"/>
          <w:left w:w="28" w:type="dxa"/>
          <w:bottom w:w="28" w:type="dxa"/>
          <w:right w:w="28" w:type="dxa"/>
        </w:tblCellMar>
      </w:tblPr>
      <w:tblGrid>
        <w:gridCol w:w="2086"/>
        <w:gridCol w:w="146"/>
        <w:gridCol w:w="228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DeLucia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Thane Wettig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DeLucia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Kyntra Bio,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299/000119312514420380/d824859dex31.htm" TargetMode="External"/><Relationship Id="rId3" Type="http://schemas.openxmlformats.org/officeDocument/2006/relationships/hyperlink" Target="https://www.sec.gov/Archives/edgar/data/921299/000095017025051219/fgen-ex3_1.htm" TargetMode="External"/><Relationship Id="rId4" Type="http://schemas.openxmlformats.org/officeDocument/2006/relationships/hyperlink" Target="https://www.sec.gov/Archives/edgar/data/921299/000119312526006327/fgen-ex3_2.htm" TargetMode="External"/><Relationship Id="rId5" Type="http://schemas.openxmlformats.org/officeDocument/2006/relationships/hyperlink" Target="https://www.sec.gov/Archives/edgar/data/921299/000095017025085439/fgen-ex3_1.htm" TargetMode="External"/><Relationship Id="rId6" Type="http://schemas.openxmlformats.org/officeDocument/2006/relationships/hyperlink" Target="https://www.sec.gov/Archives/edgar/data/921299/000119312526006327/fgen-ex3_1.htm" TargetMode="External"/><Relationship Id="rId7" Type="http://schemas.openxmlformats.org/officeDocument/2006/relationships/hyperlink" Target="https://www.sec.gov/Archives/edgar/data/921299/000119312514420380/d824859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44782</Words>
  <Characters>252179</Characters>
  <CharactersWithSpaces>297855</CharactersWithSpaces>
  <Paragraphs>6785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