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4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74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-5080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5"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0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9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409 Illinois Street</w:t>
            </w:r>
          </w:p>
        </w:tc>
        <w:tc>
          <w:tcPr>
            <w:tcW w:w="5100" w:type="dxa"/>
            <w:vAlign w:val="bottom"/>
          </w:tcPr>
          <w:p>
            <w:pPr>
              <w:spacing w:after="0"/>
              <w:rPr>
                <w:sz w:val="24"/>
                <w:szCs w:val="24"/>
                <w:color w:val="auto"/>
              </w:rPr>
            </w:pPr>
          </w:p>
        </w:tc>
      </w:tr>
      <w:tr>
        <w:trPr>
          <w:trHeight w:val="214"/>
        </w:trPr>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510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0"/>
        </w:trPr>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(415) 978-1200</w:t>
            </w:r>
          </w:p>
        </w:tc>
      </w:tr>
      <w:tr>
        <w:trPr>
          <w:trHeight w:val="190"/>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74930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4"/>
          <w:szCs w:val="24"/>
          <w:color w:val="auto"/>
        </w:rPr>
      </w:pPr>
    </w:p>
    <w:p>
      <w:pPr>
        <w:jc w:val="both"/>
        <w:ind w:right="20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48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2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8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outstanding as of July 31, 2017 was 71,195,226.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408305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3" w:right="2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I—FINANCIAL INFORMATION</w:t>
              </w:r>
            </w:hyperlink>
          </w:p>
        </w:tc>
        <w:tc>
          <w:tcPr>
            <w:tcW w:w="3960" w:type="dxa"/>
            <w:vAlign w:val="bottom"/>
            <w:gridSpan w:val="6"/>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6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2017 and December 31, 2016 (Unaudited)</w:t>
              </w:r>
            </w:hyperlink>
          </w:p>
        </w:tc>
        <w:tc>
          <w:tcPr>
            <w:tcW w:w="300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0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June 30, 2017 and 2016 (Unaudited)</w:t>
              </w:r>
            </w:hyperlink>
          </w:p>
        </w:tc>
        <w:tc>
          <w:tcPr>
            <w:tcW w:w="104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(Loss) for the Three and Six Months Ended June 30, 2017 and 2016</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(Unaudited)</w:t>
              </w:r>
            </w:hyperlink>
          </w:p>
        </w:tc>
        <w:tc>
          <w:tcPr>
            <w:tcW w:w="8420" w:type="dxa"/>
            <w:vAlign w:val="bottom"/>
            <w:tcBorders>
              <w:top w:val="single" w:sz="8" w:color="0000EE"/>
            </w:tcBorders>
            <w:gridSpan w:val="17"/>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June 30, 2017 and 2016 (Unaudited)</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3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Condensed Consolidated Financial Statements (Unaudited)</w:t>
              </w:r>
            </w:hyperlink>
          </w:p>
        </w:tc>
        <w:tc>
          <w:tcPr>
            <w:tcW w:w="176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jc w:val="center"/>
              <w:ind w:right="4120"/>
              <w:spacing w:after="0"/>
              <w:rPr>
                <w:rFonts w:ascii="Times New Roman" w:cs="Times New Roman" w:eastAsia="Times New Roman" w:hAnsi="Times New Roman"/>
                <w:sz w:val="18"/>
                <w:szCs w:val="18"/>
                <w:b w:val="1"/>
                <w:bCs w:val="1"/>
                <w:color w:val="0000EE"/>
                <w:w w:val="98"/>
              </w:rPr>
            </w:pPr>
            <w:hyperlink w:anchor="page31">
              <w:r>
                <w:rPr>
                  <w:rFonts w:ascii="Times New Roman" w:cs="Times New Roman" w:eastAsia="Times New Roman" w:hAnsi="Times New Roman"/>
                  <w:sz w:val="18"/>
                  <w:szCs w:val="18"/>
                  <w:b w:val="1"/>
                  <w:bCs w:val="1"/>
                  <w:color w:val="0000EE"/>
                  <w:w w:val="98"/>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80" w:type="dxa"/>
            <w:vAlign w:val="bottom"/>
            <w:gridSpan w:val="1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4"/>
          </w:tcPr>
          <w:p>
            <w:pPr>
              <w:spacing w:after="0"/>
              <w:rPr>
                <w:sz w:val="17"/>
                <w:szCs w:val="17"/>
                <w:color w:val="auto"/>
              </w:rPr>
            </w:pPr>
          </w:p>
        </w:tc>
        <w:tc>
          <w:tcPr>
            <w:tcW w:w="872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Unregistered Sales of Equity Securities and Use of Proceeds</w:t>
              </w:r>
            </w:hyperlink>
          </w:p>
        </w:tc>
        <w:tc>
          <w:tcPr>
            <w:tcW w:w="5700" w:type="dxa"/>
            <w:vAlign w:val="bottom"/>
            <w:gridSpan w:val="10"/>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Defaults Upon Senior Securities</w:t>
              </w:r>
            </w:hyperlink>
          </w:p>
        </w:tc>
        <w:tc>
          <w:tcPr>
            <w:tcW w:w="7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Mine Safety Disclosures</w:t>
              </w:r>
            </w:hyperlink>
          </w:p>
        </w:tc>
        <w:tc>
          <w:tcPr>
            <w:tcW w:w="828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Exhibits</w:t>
              </w:r>
            </w:hyperlink>
          </w:p>
        </w:tc>
        <w:tc>
          <w:tcPr>
            <w:tcW w:w="874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Exhibit Index</w:t>
              </w:r>
            </w:hyperlink>
          </w:p>
        </w:tc>
        <w:tc>
          <w:tcPr>
            <w:tcW w:w="9060" w:type="dxa"/>
            <w:vAlign w:val="bottom"/>
            <w:gridSpan w:val="1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180" w:type="dxa"/>
            <w:vAlign w:val="bottom"/>
            <w:gridSpan w:val="16"/>
          </w:tcPr>
          <w:p>
            <w:pPr>
              <w:ind w:left="474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9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290,277</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($4,739 and $4,102 from a related party)</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time deposits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542,638</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469,552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stockholders’ equity and non-controlling interests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($269 and $1,615 to related parties)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lease financing obligations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$0.01 par value; 125,000 shares authorized at June 30, 2017 and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2016; no shares issued and outstanding at June 30, 2017 and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2016</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$0.01 par value; 225,000 shares authorized at June 30, 2017</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and December 31, 2016; 70,969 and 63,665 shares issued and outstanding at</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June 30, 2017 and December 31, 2016</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(536,086)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230,098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stockholders’ equity and non-controlling interests</w:t>
            </w: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542,638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and milestone revenue (includes $4,278, $13,043,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$7,527 and $16,356 from a related party)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18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73,197</w:t>
            </w:r>
          </w:p>
        </w:tc>
        <w:tc>
          <w:tcPr>
            <w:tcW w:w="16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w:t>
            </w:r>
          </w:p>
        </w:tc>
        <w:tc>
          <w:tcPr>
            <w:tcW w:w="30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Collaboration services and other revenue (includes $445,</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$326, $785 and $678 from a related party)</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118,668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(5,132)</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(33,135)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(66,235)</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calculate net income (loss) per share:</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26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3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(1,249)</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Unrealized gain on investments, net of tax effect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380" w:type="dxa"/>
            <w:vAlign w:val="bottom"/>
            <w:tcBorders>
              <w:top w:val="single" w:sz="8" w:color="CFF0FC"/>
            </w:tcBorders>
            <w:shd w:val="clear" w:color="auto" w:fill="CFF0FC"/>
          </w:tcPr>
          <w:p>
            <w:pPr>
              <w:ind w:left="740"/>
              <w:spacing w:after="0" w:line="205" w:lineRule="exact"/>
              <w:rPr>
                <w:sz w:val="20"/>
                <w:szCs w:val="20"/>
                <w:color w:val="auto"/>
              </w:rPr>
            </w:pPr>
            <w:r>
              <w:rPr>
                <w:rFonts w:ascii="Times New Roman" w:cs="Times New Roman" w:eastAsia="Times New Roman" w:hAnsi="Times New Roman"/>
                <w:sz w:val="18"/>
                <w:szCs w:val="18"/>
                <w:color w:val="auto"/>
              </w:rPr>
              <w:t>Net change in unrealized gain on available-for-sale</w:t>
            </w: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53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20"/>
                <w:szCs w:val="20"/>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520" w:type="dxa"/>
            <w:vAlign w:val="bottom"/>
            <w:gridSpan w:val="2"/>
          </w:tcPr>
          <w:p>
            <w:pPr>
              <w:jc w:val="right"/>
              <w:ind w:right="943"/>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(66,344)</w:t>
            </w: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w:t>
            </w:r>
          </w:p>
        </w:tc>
        <w:tc>
          <w:tcPr>
            <w:tcW w:w="1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(used in) operating activities:</w:t>
            </w:r>
          </w:p>
        </w:tc>
        <w:tc>
          <w:tcPr>
            <w:tcW w:w="1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premium on investments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loss (gain) on short-term investments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17,980</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Tax benefit on unrealized gain on available-for-sale securities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sales of available-for-sale securities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w:t>
            </w:r>
          </w:p>
        </w:tc>
        <w:tc>
          <w:tcPr>
            <w:tcW w:w="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(124)</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(1,130)</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(2,962)</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(3,061)</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financing liability</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(65)</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20" w:type="dxa"/>
            <w:vAlign w:val="bottom"/>
            <w:tcBorders>
              <w:bottom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(46,893)</w:t>
            </w:r>
          </w:p>
        </w:tc>
        <w:tc>
          <w:tcPr>
            <w:tcW w:w="30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(1,612)</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(66)</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sales of available-for-sale securities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maturities of available-for-sale securities</w:t>
            </w:r>
          </w:p>
        </w:tc>
        <w:tc>
          <w:tcPr>
            <w:tcW w:w="14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23,849</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42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40,328</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of lease liability</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(201)</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follow-on offering, net of underwriting discounts and</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commission costs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115,050</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payroll taxes on restricted stock unit releases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(3,673)</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12,244</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of deferred offering costs</w:t>
            </w:r>
          </w:p>
        </w:tc>
        <w:tc>
          <w:tcPr>
            <w:tcW w:w="1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(386)</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420" w:type="dxa"/>
            <w:vAlign w:val="bottom"/>
            <w:tcBorders>
              <w:bottom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123,034</w:t>
            </w:r>
          </w:p>
        </w:tc>
        <w:tc>
          <w:tcPr>
            <w:tcW w:w="300" w:type="dxa"/>
            <w:vAlign w:val="bottom"/>
            <w:tcBorders>
              <w:bottom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 on cash and cash equivalents</w:t>
            </w:r>
          </w:p>
        </w:tc>
        <w:tc>
          <w:tcPr>
            <w:tcW w:w="142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116,495</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and cash equivalents at beginning of period</w:t>
            </w:r>
          </w:p>
        </w:tc>
        <w:tc>
          <w:tcPr>
            <w:tcW w:w="14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173,782</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and cash equivalents at end of period</w:t>
            </w:r>
          </w:p>
        </w:tc>
        <w:tc>
          <w:tcPr>
            <w:tcW w:w="1420" w:type="dxa"/>
            <w:vAlign w:val="bottom"/>
          </w:tcPr>
          <w:p>
            <w:pPr>
              <w:spacing w:after="0"/>
              <w:rPr>
                <w:sz w:val="17"/>
                <w:szCs w:val="17"/>
                <w:color w:val="auto"/>
              </w:rPr>
            </w:pPr>
          </w:p>
        </w:tc>
        <w:tc>
          <w:tcPr>
            <w:tcW w:w="110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290,277</w:t>
            </w:r>
          </w:p>
        </w:tc>
        <w:tc>
          <w:tcPr>
            <w:tcW w:w="300" w:type="dxa"/>
            <w:vAlign w:val="bottom"/>
          </w:tcPr>
          <w:p>
            <w:pPr>
              <w:spacing w:after="0"/>
              <w:rPr>
                <w:sz w:val="17"/>
                <w:szCs w:val="17"/>
                <w:color w:val="auto"/>
              </w:rPr>
            </w:pPr>
          </w:p>
        </w:tc>
        <w:tc>
          <w:tcPr>
            <w:tcW w:w="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right="8460" w:firstLine="8"/>
        <w:spacing w:after="0" w:line="378" w:lineRule="auto"/>
        <w:tabs>
          <w:tab w:leader="none" w:pos="51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Description of Operations</w:t>
      </w:r>
    </w:p>
    <w:p>
      <w:pPr>
        <w:ind w:right="20"/>
        <w:spacing w:after="0" w:line="254" w:lineRule="auto"/>
        <w:rPr>
          <w:sz w:val="20"/>
          <w:szCs w:val="20"/>
          <w:color w:val="auto"/>
        </w:rPr>
      </w:pPr>
      <w:r>
        <w:rPr>
          <w:rFonts w:ascii="Times New Roman" w:cs="Times New Roman" w:eastAsia="Times New Roman" w:hAnsi="Times New Roman"/>
          <w:sz w:val="18"/>
          <w:szCs w:val="18"/>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Pamrevlumab, or FG-3019, is the Company’s monoclonal antibody in Phase 2 clinical development for the treatment of idiopathic pulmonary fibrosis (“IPF”), pancreatic cancer, Duchenne muscular dystrophy (“DMD”) and liver fibrosis. The Company has taken a global approach with respect to the development and future commercialization of its product candidates, and this includes development and commercialization in the People’s Republic of China (“China”). The Company is capitalizing on its extensive experience in fibrosis and hypoxia inducible factor (“HIF”) biology and clinical development to advance a pipeline of innovative medicines for the treatment of anemia, fibrotic disease cancer, corneal blindness and other serious unmet medical needs.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11, 2017, the Company closed the follow-on offering of its common stock. In this offering, the Company sold 5,228,750 shares of its common stock at a public offering price of $22.95 per share. Net proceeds from this offering were $115.1 million, after deducting underwriting discounts and commissions of $4.9 million. In addition, the offering expenses were approximately $0.6 million in total.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December 31, 2016 condensed consolidated balance sheet data contained within this Form 10-Q was derived from audited consolidated financial statements included in the Company’s Annual Report on Form 10-K filed with the SEC for the year ended December 31, 2016 (“2016 Form 10-K”), but does not include all disclosures required by U.S. GAAP.</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financial information included herein should be read in conjunction with the consolidated financial statements and related notes in the 2016 Form 10-K. The accounting policies used by the Company in its presentation of interim financial results are consistent with those presented in Note 2 to the consolidated financial statements included in the 2016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our opinion, the accompanying unaudited condensed consolidated financial statements include all normal recurring adjustments necessary for a fair statement of our financial position, results of operations and cash flows for the interim periods presented.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basic and diluted net income (loss) per share calculation for the periods presented (in thousands, except per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3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(66,344)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62,582</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69,022</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(0.48)</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shares did not include 6.6 million for the three months ended June 30, 2016 as they were anti-dilutive.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w:t>
      </w:r>
      <w:r>
        <w:rPr>
          <w:rFonts w:ascii="Times New Roman" w:cs="Times New Roman" w:eastAsia="Times New Roman" w:hAnsi="Times New Roman"/>
          <w:sz w:val="18"/>
          <w:szCs w:val="18"/>
          <w:color w:val="auto"/>
        </w:rPr>
        <w:t>. This guidance identifies areas for simplification involving several aspects of accounting for share-based payment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was effective for the annual reporting period beginning after December 15, 2016, including interim periods within that reporting period. The Company adopted this guidance as of January 1, 2017 and has elected to continue with its existing policy to estimate forfeitures expected to occur when calculating stock compensation expense. Upon adoption, the Company recorded a retrospective increase of $19.5 million in deferred tax assets for previously unrecognized excess tax benefits that existed as of December 31, 2016, and a corresponding increase of $19.5 million in the valuation allowance against these deferred tax assets, as substantially all of the Company’s U.S. and foreign deferred tax assets, net of deferred tax liabilities, are subject to a full valuation allowance</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As such, the net impact from these retrospective adjustments was zero to the Company’s accumulated deficit. The adoption of this guidance had no impact to the Company’s consolidated financial statements for the three and six months ended June 30, 2017.</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 - Stock Compensation (Topic 718): Scope of Modification Accounting</w:t>
      </w:r>
      <w:r>
        <w:rPr>
          <w:rFonts w:ascii="Times New Roman" w:cs="Times New Roman" w:eastAsia="Times New Roman" w:hAnsi="Times New Roman"/>
          <w:sz w:val="18"/>
          <w:szCs w:val="18"/>
          <w:color w:val="auto"/>
        </w:rPr>
        <w:t>. This guidance provides guidance about which changes to the terms or conditions of a stock-based payment award require an entity to apply modification accounting in Topic 718. This guidance is effective for annual reporting period beginning after December 15, 2017, including interim periods, with early adoption permitted. The Company is currently evaluating the impact on its consolidated financial statements upon the adoption of this guidance.</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The Company is currently evaluating the impact on its consolidated financial statements upon the adoption of this guidance.</w:t>
      </w:r>
    </w:p>
    <w:p>
      <w:pPr>
        <w:spacing w:after="0" w:line="18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supersedes the revenue recognition requirements in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Principal versus Agent Considerations </w:t>
      </w:r>
      <w:r>
        <w:rPr>
          <w:rFonts w:ascii="Times New Roman" w:cs="Times New Roman" w:eastAsia="Times New Roman" w:hAnsi="Times New Roman"/>
          <w:sz w:val="18"/>
          <w:szCs w:val="18"/>
          <w:color w:val="auto"/>
        </w:rPr>
        <w:t>(“ASU 2016-08”); ASU No.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(“ASU 2016-10”); ASU No.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 </w:t>
      </w:r>
      <w:r>
        <w:rPr>
          <w:rFonts w:ascii="Times New Roman" w:cs="Times New Roman" w:eastAsia="Times New Roman" w:hAnsi="Times New Roman"/>
          <w:sz w:val="18"/>
          <w:szCs w:val="18"/>
          <w:color w:val="auto"/>
        </w:rPr>
        <w:t>(“ASU 2016-12”); and ASU No. 2016-20,</w:t>
      </w:r>
      <w:r>
        <w:rPr>
          <w:rFonts w:ascii="Times New Roman" w:cs="Times New Roman" w:eastAsia="Times New Roman" w:hAnsi="Times New Roman"/>
          <w:sz w:val="18"/>
          <w:szCs w:val="18"/>
          <w:i w:val="1"/>
          <w:iCs w:val="1"/>
          <w:color w:val="auto"/>
        </w:rPr>
        <w:t xml:space="preserve"> Technical Corrections and Improvements to Topic 606, Revenue from Contracts with Customers </w:t>
      </w:r>
      <w:r>
        <w:rPr>
          <w:rFonts w:ascii="Times New Roman" w:cs="Times New Roman" w:eastAsia="Times New Roman" w:hAnsi="Times New Roman"/>
          <w:sz w:val="18"/>
          <w:szCs w:val="18"/>
          <w:color w:val="auto"/>
        </w:rPr>
        <w:t>(“ASU 2016-20”). The Company must adopt ASU 2016-08, ASU 2016-10, ASU 2016-12 and ASU 2016-20 with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2014-09 (collectively, the “new revenue standards”). The amendments may be applied retrospectively to each prior period (full retrospective) or retrospectively with the cumulative effect recognized as of the date of initial application (modified retrospective). The Company has commenced its implementation activities related to the adoption of ASU 2014-09 and is in the process of applying the five-step model of the new standard to its various revenue related arrangements. The Company has completed step 1 (Identify the contract(s) with a customer) and concluded that its collaboration agreements with Astellas Pharma Inc. and AstraZeneca AB are the only material contracts which will be impacted by the adoption of the new revenue standards. The Company is in the process of completing step 2 (Identify the performance obligations in the contract) and has not yet reached a conclusion on whether the distinct criteria evaluated under ASC 605-25 for each performance obligation would result in a similar conclusion under the new revenue standards. With respect to milestones that were previously recognized under ASC 605-28, the milestone method is not applicable under the new revenue standards, and they are considered part of the overall arrangement consideration which will result in a deferral of revenue under the new revenue standards as part of the adoption. The Company will adopt the new revenue standards in the first quarter of 2018 and apply the full retrospective method to restate each prior reporting period presented in the consolidated financial statements.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As the Company completes its evaluation of this new standard, new information may arise that could change the Company's current understanding of the impact to revenues recognized and its views on the expected impact to the periods prior to adoption.</w:t>
      </w:r>
    </w:p>
    <w:p>
      <w:pPr>
        <w:spacing w:after="0" w:line="312" w:lineRule="exact"/>
        <w:rPr>
          <w:sz w:val="20"/>
          <w:szCs w:val="20"/>
          <w:color w:val="auto"/>
        </w:rPr>
      </w:pPr>
    </w:p>
    <w:p>
      <w:pPr>
        <w:ind w:right="8840" w:firstLine="8"/>
        <w:spacing w:after="0" w:line="376" w:lineRule="auto"/>
        <w:tabs>
          <w:tab w:leader="none" w:pos="51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Astellas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During the second quarter of 2016, the Company recognized $10.0 million of revenue as a result of the initiation by Astellas of the first Phase 3 clinical study in Japan of roxadustat for treatment of anemia associated with chronic kidney disease in patients on dialysis. The amount was received in early July 2016. The Company evaluated the criteria under ASC 605-28 and concluded that the aforementioned milestone was substantive.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U.S./Rest of World (“RoW”)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were fully received in various amounts through June 2016.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U.S./RoW Agreement, the Company and AstraZeneca will share equally in the development costs of roxadustat not already paid for by Astellas, up to a total of $233.0 million (i.e. the Company’s share of development costs is $116.5 million, which was reached during the fourth quarter of 2015).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which were fully received in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2016, AstraZeneca approved the protocol related to the development of roxadustat for the treatment of anemia in patients with myelodysplastic syndromes (“MDS”), for which the Company has received approval from the China Food and Drug Administration for its clinical trial application for a Phase 2/3 trial and acceptance of its investigational new drug application from the U.S. Food and Drug Administration for a Phase 3 trial. As a result, for revenue recognition purposes, during the third quarter of 2016, the Company extended the estimated joint development service period for the AstraZeneca agreements from the end of 2018 to the end of 2020, to allow for development of MDS.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Revenue Recognized Under the Collaboration Agreements</w:t>
      </w:r>
    </w:p>
    <w:p>
      <w:pPr>
        <w:spacing w:after="0" w:line="121"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Japan Agreement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4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426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2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shd w:val="clear" w:color="auto" w:fill="CFF0FC"/>
          </w:tcPr>
          <w:p>
            <w:pPr>
              <w:spacing w:after="0"/>
              <w:rPr>
                <w:sz w:val="19"/>
                <w:szCs w:val="19"/>
                <w:color w:val="auto"/>
              </w:rPr>
            </w:pPr>
          </w:p>
        </w:tc>
        <w:tc>
          <w:tcPr>
            <w:tcW w:w="44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20" w:right="5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969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Japan Agreement, along with any associated deferred revenue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25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Europe Agreement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18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Borders>
              <w:top w:val="single" w:sz="8" w:color="CFF0FC"/>
            </w:tcBorders>
            <w:shd w:val="clear" w:color="auto" w:fill="CFF0FC"/>
          </w:tcPr>
          <w:p>
            <w:pPr>
              <w:spacing w:after="0"/>
              <w:rPr>
                <w:sz w:val="19"/>
                <w:szCs w:val="19"/>
                <w:color w:val="auto"/>
              </w:rPr>
            </w:pPr>
          </w:p>
        </w:tc>
        <w:tc>
          <w:tcPr>
            <w:tcW w:w="3760" w:type="dxa"/>
            <w:vAlign w:val="bottom"/>
            <w:tcBorders>
              <w:top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980" w:type="dxa"/>
            <w:vAlign w:val="bottom"/>
            <w:gridSpan w:val="2"/>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1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Pr>
          <w:p>
            <w:pPr>
              <w:spacing w:after="0"/>
              <w:rPr>
                <w:sz w:val="20"/>
                <w:szCs w:val="20"/>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80" w:right="240" w:hanging="518"/>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969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Europe Agreement, along with any associated deferred revenue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419,308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419,308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services--in progress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463,636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464,035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U.S./RoW Agreement were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240" w:type="dxa"/>
            <w:vAlign w:val="bottom"/>
          </w:tcPr>
          <w:p>
            <w:pPr>
              <w:spacing w:after="0"/>
              <w:rPr>
                <w:sz w:val="15"/>
                <w:szCs w:val="15"/>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460" w:type="dxa"/>
            <w:vAlign w:val="bottom"/>
            <w:gridSpan w:val="2"/>
            <w:vMerge w:val="continue"/>
          </w:tcPr>
          <w:p>
            <w:pPr>
              <w:spacing w:after="0"/>
              <w:rPr>
                <w:sz w:val="13"/>
                <w:szCs w:val="13"/>
                <w:color w:val="auto"/>
              </w:rPr>
            </w:pPr>
          </w:p>
        </w:tc>
        <w:tc>
          <w:tcPr>
            <w:tcW w:w="424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U.S. / RoW</w:t>
            </w:r>
          </w:p>
        </w:tc>
        <w:tc>
          <w:tcPr>
            <w:tcW w:w="160" w:type="dxa"/>
            <w:vAlign w:val="bottom"/>
            <w:tcBorders>
              <w:top w:val="single" w:sz="8" w:color="CFF0FC"/>
            </w:tcBorders>
            <w:shd w:val="clear" w:color="auto" w:fill="CFF0FC"/>
          </w:tcPr>
          <w:p>
            <w:pPr>
              <w:spacing w:after="0"/>
              <w:rPr>
                <w:sz w:val="17"/>
                <w:szCs w:val="17"/>
                <w:color w:val="auto"/>
              </w:rPr>
            </w:pPr>
          </w:p>
        </w:tc>
        <w:tc>
          <w:tcPr>
            <w:tcW w:w="4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China</w:t>
            </w: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Milestones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2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60,154</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single unit of accounting**</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20" w:right="60" w:hanging="512"/>
        <w:spacing w:after="0" w:line="258"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2090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56" w:lineRule="exact"/>
        <w:rPr>
          <w:sz w:val="20"/>
          <w:szCs w:val="20"/>
          <w:color w:val="auto"/>
        </w:rPr>
      </w:pPr>
    </w:p>
    <w:p>
      <w:pPr>
        <w:ind w:left="520" w:right="14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total arrangement consideration has been allocated to each of the following deliverables under the U.S./RoW Agreement, along with any associated deferred revenue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Revenue at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436,103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Co-development, information sharing &amp;</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services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China-single unit of accounting</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541,401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658,535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revenues consist of royalty payments received, which are recorded on a monthly basis as they are reported to the Company, and collagen feasibility sales. Other revenues were immaterial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financial assets that are measured on a recurring basis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86,305</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86,305</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85,259</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87,341</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193,584</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126,683</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126,683</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94,543</w:t>
            </w:r>
          </w:p>
        </w:tc>
        <w:tc>
          <w:tcPr>
            <w:tcW w:w="1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117,230</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127,720</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244,950</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financial liabilities that are carried at historical cost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98,056</w:t>
            </w:r>
          </w:p>
        </w:tc>
        <w:tc>
          <w:tcPr>
            <w:tcW w:w="100" w:type="dxa"/>
            <w:vAlign w:val="bottom"/>
            <w:tcBorders>
              <w:top w:val="single" w:sz="8" w:color="CFF0FC"/>
            </w:tcBorders>
            <w:shd w:val="clear" w:color="auto" w:fill="CFF0FC"/>
          </w:tcPr>
          <w:p>
            <w:pPr>
              <w:spacing w:after="0"/>
              <w:rPr>
                <w:sz w:val="19"/>
                <w:szCs w:val="19"/>
                <w:color w:val="auto"/>
              </w:rPr>
            </w:pPr>
          </w:p>
        </w:tc>
      </w:tr>
      <w:tr>
        <w:trPr>
          <w:trHeight w:val="392"/>
        </w:trPr>
        <w:tc>
          <w:tcPr>
            <w:tcW w:w="4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97,856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97,856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fair values of our financial liabilities were derived by using an income approach, which required Level 3 inputs such as discounted estimated future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assets or liabilities between levels for any of the periods presented.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205,018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79,239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94,543</w:t>
            </w:r>
          </w:p>
        </w:tc>
        <w:tc>
          <w:tcPr>
            <w:tcW w:w="8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290,277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June 30, 2017 and December 31, 2016, a total of $22.6 million and $24.3 million, respectively, of our cash and cash equivalents were held outside of the U.S. in our foreign subsidiaries to be used primarily for our China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ind w:left="1117"/>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1"/>
                <w:szCs w:val="11"/>
                <w:color w:val="auto"/>
              </w:rPr>
            </w:pPr>
          </w:p>
        </w:tc>
        <w:tc>
          <w:tcPr>
            <w:tcW w:w="16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300" w:type="dxa"/>
            <w:vAlign w:val="bottom"/>
          </w:tcPr>
          <w:p>
            <w:pPr>
              <w:spacing w:after="0"/>
              <w:rPr>
                <w:sz w:val="11"/>
                <w:szCs w:val="11"/>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80" w:type="dxa"/>
            <w:vAlign w:val="bottom"/>
          </w:tcPr>
          <w:p>
            <w:pPr>
              <w:spacing w:after="0"/>
              <w:rPr>
                <w:sz w:val="15"/>
                <w:szCs w:val="15"/>
                <w:color w:val="auto"/>
              </w:rPr>
            </w:pP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3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86,266</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1"/>
                <w:szCs w:val="11"/>
                <w:color w:val="auto"/>
              </w:rPr>
            </w:pPr>
          </w:p>
        </w:tc>
        <w:tc>
          <w:tcPr>
            <w:tcW w:w="16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300" w:type="dxa"/>
            <w:vAlign w:val="bottom"/>
          </w:tcPr>
          <w:p>
            <w:pPr>
              <w:spacing w:after="0"/>
              <w:rPr>
                <w:sz w:val="11"/>
                <w:szCs w:val="11"/>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80" w:type="dxa"/>
            <w:vAlign w:val="bottom"/>
          </w:tcPr>
          <w:p>
            <w:pPr>
              <w:spacing w:after="0"/>
              <w:rPr>
                <w:sz w:val="15"/>
                <w:szCs w:val="15"/>
                <w:color w:val="auto"/>
              </w:rPr>
            </w:pP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3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126,550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At June 30, 2017, all of the available-for-sale investments had contractual maturities within two years. The Company periodically reviews its available-for-sale investments for other-than-temporary impairment. The Company considers factors such as the duration, severity and the reason for the decline in value, the potential recovery period and our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six months ended June 30, 2017 and 2016, the Company did not recognize any other-than-temporary impairment loss.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3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to research and development and general and administrative expense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5"/>
                <w:szCs w:val="15"/>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2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stock options granted and purchases under the Company’s 2014 Employee Share Purchase Plan (“ESPP”)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the Black-Scholes option valuation model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ESPPs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52.8 - 77.2  %</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69.1 - 80.7  %</w:t>
            </w: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52.8 - 77.2  %</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61.9 - 80.7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0.5 - 1.3  %</w:t>
            </w:r>
          </w:p>
        </w:tc>
        <w:tc>
          <w:tcPr>
            <w:tcW w:w="300" w:type="dxa"/>
            <w:vAlign w:val="bottom"/>
          </w:tcPr>
          <w:p>
            <w:pPr>
              <w:spacing w:after="0"/>
              <w:rPr>
                <w:sz w:val="19"/>
                <w:szCs w:val="19"/>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0.2 - 0.9  %</w:t>
            </w:r>
          </w:p>
        </w:tc>
        <w:tc>
          <w:tcPr>
            <w:tcW w:w="300" w:type="dxa"/>
            <w:vAlign w:val="bottom"/>
          </w:tcPr>
          <w:p>
            <w:pPr>
              <w:spacing w:after="0"/>
              <w:rPr>
                <w:sz w:val="19"/>
                <w:szCs w:val="19"/>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0.5 - 1.3  %</w:t>
            </w:r>
          </w:p>
        </w:tc>
        <w:tc>
          <w:tcPr>
            <w:tcW w:w="300" w:type="dxa"/>
            <w:vAlign w:val="bottom"/>
          </w:tcPr>
          <w:p>
            <w:pPr>
              <w:spacing w:after="0"/>
              <w:rPr>
                <w:sz w:val="19"/>
                <w:szCs w:val="19"/>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0.2 - 0.9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provisions for income taxes for the three and six months ended June 30, 2017 were due to foreign taxes. The benefits from income taxes for the three and six months ended June 30, 2016 were due to the discrete tax effect arising from other comprehensive income related to available-for-sale securities.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its historical operating performance, reported cumulative net losses since inception and expected continuing net loss, the Company has established and continues to maintain a full valuation allowance against its deferred tax assets as it does not currently believe that realization of those assets is more likely than not.</w:t>
      </w:r>
    </w:p>
    <w:p>
      <w:pPr>
        <w:spacing w:after="0" w:line="32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Astellas is an equity investor in the Company and considered a related party. The Company recorded revenue related to collaboration agreements with Astellas of $4.7 million and $13.4 million during the three months ended June 30, 2017 and 2016, respectively, and $8.3 million and $17.1 million during the six months ended June 30, 2017 and 2016, respectively.</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recorded expense related to collaboration agreements with Astellas of $0.3 million and $1.4 million during the three months ended June 30, 2017 and 2016, respectively, and $0.5 million and $3.0 million during the six months ended June 30, 2017 and 2016, respectively.</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accounts receivable from Astellas were $4.7 million and $4.1 million, respectively, and amounts due to Astellas were $0.3 million and $1.6 million, respectively.</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Julian N. Stern, a director of the Company since November 1996, is of counsel to the law firm of Goodwin Procter LLP, which he joined in 2008. He has received, and continues to receive, no compensation from Goodwin Procter LLP since joining as counsel. The Company retains Goodwin Procter LLP as legal counsel for various matters, primarily consisting of intellectual property matters. There was no payment to Goodwin Procter LLP during the three and six months ended June 30, 2017. The Company’s payments to Goodwin Procter LLP during the three and six months ended June 30, 2016 were immaterial. As of June 30, 2017 and December 31, 2016, the balance of the accrued liability for Goodwin Proctor LLP was zero.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2016 filed with the SEC on March 1,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in 1993 in Delaware and are a science-based biopharmaceutical company discovering and developing first-in-class therapeutics. Roxadustat (FG-4592), our most advanced product candidate, is an oral small molecule inhibitor of HIF prolyl hydroxylase (“HIF-PH”) activity in Phase 3 clinical development for the treatment of anemia in chronic kidney disease (“CKD”). Pamrevlumab (FG-3019), a fully-human monoclonal antibody that inhibits the activity of connective tissue growth factor (“CTGF”) is in Phase 2 clinical development for the treatment of idiopathic pulmonary fibrosis (“IPF”), pancreatic cancer, and Duchenne muscular dystrophy (“DMD”). We have taken a global approach to the development and future commercialization of our product candidates, and this includes development and commercialization in the People’s Republic of China (“China”). We are capitalizing on our extensive experience in fibrosis and hypoxia inducible factor (“HIF”) biology and clinical development to advance a pipeline of innovative medicines for the treatment of anemia, fibrotic disease cancer, corneal blindness and other serious unmet medical needs.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77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900" w:type="dxa"/>
            <w:vAlign w:val="bottom"/>
            <w:gridSpan w:val="5"/>
          </w:tcPr>
          <w:p>
            <w:pPr>
              <w:jc w:val="right"/>
              <w:ind w:right="65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28,997</w:t>
            </w:r>
          </w:p>
        </w:tc>
        <w:tc>
          <w:tcPr>
            <w:tcW w:w="116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89,280</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55,888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60,406</w:t>
            </w:r>
          </w:p>
        </w:tc>
        <w:tc>
          <w:tcPr>
            <w:tcW w:w="1160" w:type="dxa"/>
            <w:vAlign w:val="bottom"/>
            <w:shd w:val="clear" w:color="auto" w:fill="CFF0FC"/>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62,768</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118,668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117,835</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16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(3,524)</w:t>
            </w: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5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shd w:val="clear" w:color="auto" w:fill="CFF0FC"/>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5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454"/>
        </w:trPr>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24"/>
                <w:szCs w:val="24"/>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56"/>
        </w:trPr>
        <w:tc>
          <w:tcPr>
            <w:tcW w:w="3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gridSpan w:val="3"/>
          </w:tcPr>
          <w:p>
            <w:pPr>
              <w:jc w:val="right"/>
              <w:ind w:right="12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290,277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173,782</w:t>
            </w: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108,325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150,407</w:t>
            </w:r>
          </w:p>
        </w:tc>
        <w:tc>
          <w:tcPr>
            <w:tcW w:w="100" w:type="dxa"/>
            <w:vAlign w:val="bottom"/>
            <w:shd w:val="clear" w:color="auto" w:fill="CFF0FC"/>
          </w:tcPr>
          <w:p>
            <w:pPr>
              <w:spacing w:after="0"/>
              <w:rPr>
                <w:sz w:val="19"/>
                <w:szCs w:val="19"/>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8,933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revenue for the three and six months ended June 30, 2017 decreased compared to the same periods a year ago primarily due to that fact that, during the second quarter of 2016, we received an upfront payment of $62.0 million under our collaboration agreements with AstraZeneca and a $10.0 million development milestone revenue recorded under our collaboration agreements with Astellas, with no corresponding milestones in the current year periods. The decrease was also due to the impact of extension of the estimated joint development service period for the AstraZeneca agreements, for revenue recognition purposes, from the end of 2018 to the end of 2020. We made this extension in the third quarter of 2016 due to the approval of the development budget for roxadustat for the treatment of anemia in patients with myelodysplastic syndromes (“MDS”).</w:t>
      </w:r>
    </w:p>
    <w:p>
      <w:pPr>
        <w:spacing w:after="0" w:line="18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June 30, 2017 decreased compared to the same period a year ago primarily due to lower drug development expenses associated with drug substance manufacturing activities related to pamrevlumab, lower supply chain activities related to roxadustat and lower research and development outside services expense related to other HIF-PH inhibitors. The decreases were partially offset by higher stock-based compensation, higher employee-related expenses and higher corporate legal activities.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expenses for the six months ended June 30, 2017 increased compared to the same period a year ago primarily due to higher clinical trial expenses related to roxadustat, higher stock-based compensation, and higher employee-related expenses. The increases were partially offset by a $3.0 million reduction in assessed property tax resulted from the final assessment we obtained during the first quarter of 2017, lower drug development expenses associated with drug substance manufacturing activities related to pamrevlumab and lower research and development outside services expense related to other HIF-PH inhibitors.</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2017, we had a net loss of $33.2 million, or net loss per basic and diluted share of $0.48, as compared to a net income of $24.3 million for the same period a year ago, due to a decrease in revenue, partially offset by a decrease in operating expenses.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we had a net loss of $66.3 million, or net loss per basic and diluted share of $0.99, as compared to a net loss of $3.5 million for the same period a year ago, due to a decrease in revenue and an increase in operating expenses.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and cash equivalents, investments and accounts receivable totaled $407.5 million at June 30, 2017, an increase of $72.9 million from December 31, 2016, primarily due to the net proceeds of $115.1 million from the follow-on offering closed in April 2017, partially offset by cash used in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Pamrevlumab – Fibrotic Disease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Pamrevlumab (FG-3019) is our fully-human monoclonal antibody that inhibits the activity of CTGF, a central mediator and critical common element of the progression of fibrosis and associated serious diseases. We are currently conducting Phase 2 trials in pancreatic cancer and DMD and recently concluded our Phase 2 double-blind trial in IPF.</w:t>
      </w:r>
    </w:p>
    <w:p>
      <w:pPr>
        <w:spacing w:after="0" w:line="17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IPF is a chronic, progressive, fatal disease characterized by fibrosis in the lungs resulting in loss of lung function. Despite the availability of new drugs for IPF within the last few years, there remains a need for better and safer treatment options. Today, we reported topline results from our randomized, double-blind, placebo-controlled Phase 2 clinical trial designed to evaluate the safety and efficacy of pamrevlumab in patients with IPF with mild-to-moderate disease. We also reported topline results from two sub-studies added to evaluate the safety of combining pamrevlumab with recently approved IPF therapies.</w:t>
      </w:r>
    </w:p>
    <w:p>
      <w:pPr>
        <w:spacing w:after="0" w:line="16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the double-blind, placebo-controlled 48-week portion of this study, one hundred-three (103) patients were randomized (1:1) to receive either 30mg/kg of pamrevlumab or placebo intravenously every 3 weeks. Lung function assessments were conducted at baseline and at weeks 12, 24, 36 and 48. Quantitative HRCT assessments were performed at baseline and on weeks 24 and 48.</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Pamrevlumab met the primary efficacy endpoint of change of forced vital capacity (“FVC”) percent predicted, a measure of a patient’s lung volume as a percentage of what would be expected for such patient’s age, race, sex and height. The average decline (least squares mean) in FVC percent predicted from baseline to week 48 was 2.85 in the pamrevlumab arm as compared to an average decline of 7.17 in the placebo arm, a statistically significant difference of 4.33 (using a linear slope analysis in the Intent to Treat (“ITT”) population).</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Pamrevlumab-treated patients had an average decrease (least squares mean) in FVC of 129 ml at week 48 compared to an average decrease of 308 ml in patients receiving placebo, a statistically significant difference of 178 ml (using a linear slope analysis in the ITT population).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Pamrevlumab was well tolerated in the placebo-controlled study. The treatment emergent adverse events were comparable between the pamrevlumab and placebo arms and the adverse events in the pamrevlumab arm were consistent with the known safety profile of pamrevlumab. There were fewer treatment emergent serious adverse events (“TESAEs”) leading to discontinuation of treatment and a lower number of deaths observed in the pamrevlumab arm versus the placebo arm: (3 TESAE/deaths in the pamrevlumab arm versus 7 TESAEs and 6 deaths (of which 5 were also TESAEs) in the placebo arm).</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double-blind, active-controlled combination sub-studies were designed to assess the safety of combining pamrevlumab with standard of care background medication in IPF patients. Study subjects were on stable doses of pirfenidone or nintedanib for at least 3 months and were randomized 2:1 to receive 30 mg/kg of pamrevlumab or placebo every 3 weeks for 24 weeks. Thirty-six (36) patients were enrolled in the pirfenidone sub-study and twenty-one (21) patients were enrolled in the nintedanib sub-study. Lung function assessments were conducted at baseline and at weeks 12 and 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Pamrevlumab appeared to be well tolerated when given in combination with either pirfenidone or nintedanib.</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June 2017, the U.S. Food and Drug Administration (FDA) granted Orphan Drug Designation status to pamrevlumab for the treatment of pancreatic cancer. We continue to expect to report surgical assessment data in the fourth quarter of 2017 or the first quarter of 2018 from our ongoing open-label, randomized (2:1) Phase 2 trial to determine if pamrevlumab in combination with gemcitabine and nab-paclitaxel, can convert stage 3 inoperable cancer to resectable, or operable, cancer.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enroll patients in our Phase 2 open-label trial of pamrevlumab in up to 22 non-ambulatory Duchenne muscular dystrophy patients.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Roxadustat, the most advanced HIF-PH inhibitor in clinical development, acts by stimulating the body’s natural pathway of erythropoiesis, or red blood cell production. We, along with our collaboration partners Astellas Pharma Inc. (“Astellas”) and AstraZeneca AB (“AstraZeneca”), continue to advance roxadustat through our global Phase 3 program to support regulatory approvals in the United States, Europe, Japan and China in both dialysis-dependent CKD patients and CKD patients who are not dialysis-dependent. We currently anticipate filing a New Drug Application (“NDA”) for roxadustat in the U.S. in 2018.</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January 2017, we reported topline results from our China Phase 3 studies of roxadustat in CKD anemia. We expect to complete the new drug application submission process for our Phase 3 CKD dialysis and non-dialysis studies in China in the third quarter of 2017.</w:t>
      </w:r>
    </w:p>
    <w:p>
      <w:pPr>
        <w:spacing w:after="0" w:line="16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Hepcidin, the key hormone that regulates iron metabolism, is generally elevated and contributory to EPO hyporesponsiveness in patients with inflammation. Consistent with previously reported Phase 2 CKD data from the U.S. and China, a reduction of serum hepcidin levels was observed in our two China Phase 3 studies of roxadustat in CKD. In the Phase 3 dialysis study, the mean decrease in serum hepcidin level from baseline to the end of 26 weeks of treatment was 30.2 ng/mL in the roxadustat arm vs 2.2 ng/mL in the EPO comparator arm. In the Phase 3 non-dialysis study, the mean decrease in hepcidin level at the end of 8-week double blind treatment period was 56.1 ng/mL in roxadustat arm vs 15.1 ng/mL in the placebo arm (p=0.00000005).</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U.S., we plan on initiating a Phase 3 clinical trial to evaluate the safety and efficacy of roxadustat for treatment of anemia in MDS patients in the third quarter of 2017. We plan on initiating a Phase 2/3 MDS clinical trial in China in the fourth quarter of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Update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May and June of this year, the Opposition Division of the European Patent Office conducted oral proceedings relating to oppositions filed against two FibroGen European patents, European Patent Nos. 2322155 and 2322153, within our HIF Anemia-related Technologies Patent Portfolio, relating to various uses of HIF prolyl hydroxylase inhibitors that are structural mimetics of 2-oxoglutarate. (An opposition is a European Patent Office mechanism providing for a third-party challenge to a granted European patent.) The initial decision in the ‘155 case was unfavorable to FibroGen; this decision is currently under appeal, and the ‘155 European patent is valid and enforceable pending resolution of this appeal. The initial decision in the ‘153 case was favorable to FibroGen, with the European Patent Office maintaining the patent. An appeal of this decision may yet be filed by one or more parties to the opposition. The ultimate outcomes of these proceedings remain uncertain, and ultimate resolution of each of the appeal proceedings may take two to four years or</w:t>
      </w:r>
    </w:p>
    <w:p>
      <w:pPr>
        <w:spacing w:after="0" w:line="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longer. While we believe these FibroGen patents will be upheld in relevant part, we note that narrowing or even revocation of either of these patents would not affect our exclusivity for roxadustat or our freedom-to-operate with respect to use of roxadustat for the treatment of anemia.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Astellas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U.S. and the European Union (“EU”)regulatory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we recognized $10.0 million of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June 30, 2017 totals $472.6 million.</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of June 30, 2017, Astellas had separate investments of $80.5 million in the equity of FibroGen,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AstraZeneca</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Now that we have reached the $116.5 million cap on our initial funding obligations (during which time we shared 50% of the joint initial development costs), all development and commercialization costs for roxadustat for the treatment of anemia in CKD in the U.S., Europe, Japan and all other markets outside of China have been paid by Astellas and AstraZeneca since reaching the cap.</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During the second quarter of 2016, we received an upfront payment of $62.0 million as a time based development milestone. The aggregate amount of such consideration received through June 30, 2017 totals $417.2 million.</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September 2016, AstraZeneca approved the protocol related to the development of roxadustat for the treatment of anemia in patients with MDS, for which we have received approval from the China Food and Drug Administration (“CFDA”) for our clinical trial application in China for a Phase 2/3 trial and acceptance of our investigational new drug application (“IND”) from the FDA for a Phase 3 trial in the U.S. As a result, for revenue recognition purposes, during the third quarter of 2016, we extended the estimated joint development service period for the AstraZeneca agreements from the end of 2018 to the end of 2020, to allow for development of MDS.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Related to Collaboration Agreements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Total cash consideration received through June 30, 2017 and potential cash consideration, other than development cost reimbursement, transfer price payments, royalties and profit share, pursuant to our existing collaboration agreements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jc w:val="center"/>
              <w:ind w:left="545"/>
              <w:spacing w:after="0"/>
              <w:rPr>
                <w:sz w:val="20"/>
                <w:szCs w:val="20"/>
                <w:color w:val="auto"/>
              </w:rPr>
            </w:pPr>
            <w:r>
              <w:rPr>
                <w:rFonts w:ascii="Times New Roman" w:cs="Times New Roman" w:eastAsia="Times New Roman" w:hAnsi="Times New Roman"/>
                <w:sz w:val="14"/>
                <w:szCs w:val="14"/>
                <w:b w:val="1"/>
                <w:bCs w:val="1"/>
                <w:color w:val="auto"/>
              </w:rPr>
              <w:t>Cash</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vMerge w:val="restart"/>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jc w:val="center"/>
              <w:ind w:left="545"/>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jc w:val="center"/>
              <w:ind w:left="525"/>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center"/>
              <w:ind w:left="545"/>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center"/>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Astellas--related-party:</w:t>
            </w:r>
          </w:p>
        </w:tc>
        <w:tc>
          <w:tcPr>
            <w:tcW w:w="1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 Agreement</w:t>
            </w:r>
          </w:p>
        </w:tc>
        <w:tc>
          <w:tcPr>
            <w:tcW w:w="2640" w:type="dxa"/>
            <w:vAlign w:val="bottom"/>
            <w:gridSpan w:val="2"/>
          </w:tcPr>
          <w:p>
            <w:pPr>
              <w:jc w:val="right"/>
              <w:ind w:right="134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62,593</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6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Europe Agreement</w:t>
            </w:r>
          </w:p>
        </w:tc>
        <w:tc>
          <w:tcPr>
            <w:tcW w:w="114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Astellas</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AstraZeneca:</w:t>
            </w:r>
          </w:p>
        </w:tc>
        <w:tc>
          <w:tcPr>
            <w:tcW w:w="1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 RoW Agreement</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China Agreement</w:t>
            </w:r>
          </w:p>
        </w:tc>
        <w:tc>
          <w:tcPr>
            <w:tcW w:w="114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AstraZeneca</w:t>
            </w:r>
          </w:p>
        </w:tc>
        <w:tc>
          <w:tcPr>
            <w:tcW w:w="1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4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889,793</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These collaboration agreements also provide for reimbursement of certain fully burdened research and development costs as well as direct out of pocket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0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26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73,197</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(51,845)</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92,935</w:t>
            </w:r>
          </w:p>
        </w:tc>
        <w:tc>
          <w:tcPr>
            <w:tcW w:w="26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(52,002)</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Collaboration services and other 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(8,438)</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(9,673)</w:t>
            </w:r>
          </w:p>
        </w:tc>
        <w:tc>
          <w:tcPr>
            <w:tcW w:w="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3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(68)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(61,675</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74% and 82% of total revenue for the three months ended June 30, 2017 and 2016, respectively, and 73% and 79% of total revenue for the six months ended June 30, 2017 and 2016, respectively.</w:t>
      </w:r>
    </w:p>
    <w:p>
      <w:pPr>
        <w:spacing w:after="0" w:line="18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 89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years presented. Collaboration services and other revenues represented 26% and 18% of total revenue for the three months ended June 30, 2017 and 2016, respectively, and 27% and 21% of total revenue for the six months ended June 30, 2017 and 2016, respectively.</w:t>
      </w:r>
    </w:p>
    <w:p>
      <w:pPr>
        <w:spacing w:after="0" w:line="18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based on the sale of FDA or CFDA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revenue decreased $60.3 million, or 68% for the three months ended June 30, 2017, and decreased $61.7 million, or 52% for the six months ended June 30, 2017, compared to the same periods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and Milestone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gridSpan w:val="6"/>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Astellas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(8,765)</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(8,829)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AstraZeneca</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(43,080)</w:t>
            </w:r>
          </w:p>
        </w:tc>
        <w:tc>
          <w:tcPr>
            <w:tcW w:w="10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76,579</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(43,173)</w:t>
            </w:r>
          </w:p>
        </w:tc>
        <w:tc>
          <w:tcPr>
            <w:tcW w:w="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3"/>
        </w:trPr>
        <w:tc>
          <w:tcPr>
            <w:tcW w:w="3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73,197</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(51,845</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92,935</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(52,002</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License and milestone revenue decreased $51.8 million, or 71% for the three months ended June 30, 2017, and decreased $52.0 million, or 56% for the six months ended June 30, 2017, compared to the same periods a year ago due to decreases in the license and milestone revenue recognized under both of our collaboration agreements with AstraZeneca and with Astellas.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AstraZeneca decreased due to an upfront payment of $62.0 million received during the second quarter of 2016, with no corresponding milestones in the current year periods, and the impact of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Astellas decreased primarily due to a $10.0 million of development milestone revenue recorded during the second quarter of 2016, with no corresponding milestones in the current year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Services and Other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4"/>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Astellas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AstraZeneca</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(8,558)</w:t>
            </w:r>
          </w:p>
        </w:tc>
        <w:tc>
          <w:tcPr>
            <w:tcW w:w="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(9,772)</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3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collaboration services revenue</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2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5"/>
        </w:trPr>
        <w:tc>
          <w:tcPr>
            <w:tcW w:w="348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collaboration services and other</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(8,438)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24,628</w:t>
            </w:r>
          </w:p>
        </w:tc>
        <w:tc>
          <w:tcPr>
            <w:tcW w:w="26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(9,673)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Collaboration services and other revenue decreased $8.4 million, or 52%, for the three months ended June 30, 2017, and decreased $9.7 million, or 39%, compared to the same periods a year ago primarily due to a decrease in the collaboration services revenue recognized under our collaboration agreements with AstraZeneca from the impact of the allocation of the upfront payment of $62.0 million during the second quarter of 2016, with no corresponding milestones in the current year periods, and the impact of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Collaboration services revenue recognized under our collaboration agreements with Astellas remained relatively flat for the three and six months ended June 30, 2017, compared to the same periods a year ago.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56"/>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3"/>
                <w:szCs w:val="13"/>
                <w:color w:val="auto"/>
              </w:rPr>
            </w:pPr>
          </w:p>
        </w:tc>
      </w:tr>
      <w:tr>
        <w:trPr>
          <w:trHeight w:val="156"/>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2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46,981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96,041</w:t>
            </w:r>
          </w:p>
        </w:tc>
        <w:tc>
          <w:tcPr>
            <w:tcW w:w="280" w:type="dxa"/>
            <w:vAlign w:val="bottom"/>
          </w:tcPr>
          <w:p>
            <w:pPr>
              <w:spacing w:after="0"/>
              <w:rPr>
                <w:sz w:val="19"/>
                <w:szCs w:val="19"/>
                <w:color w:val="auto"/>
              </w:rPr>
            </w:pP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6"/>
              </w:rPr>
              <w:t>13,425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60,406</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62,768</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118,668</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$2.4 million, or 4%, for the three months ended June 30, 2017, and increased $0.8 million, or 1%, for the six months ended June 30, 2017, compared to the same periods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and six months ended June 30, 2017 and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Roxadustat</w:t>
            </w: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3</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660" w:type="dxa"/>
            <w:vAlign w:val="bottom"/>
            <w:tcBorders>
              <w:top w:val="single" w:sz="8" w:color="CFF0FC"/>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54,346</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Pamrevlumab</w:t>
            </w: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Phase 2</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FG-6874</w:t>
            </w:r>
          </w:p>
        </w:tc>
        <w:tc>
          <w:tcPr>
            <w:tcW w:w="16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Phase 1</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FG-5200</w:t>
            </w: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Preclinical</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46,981</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$5.4 million, or 10%, for the three months ended June 30, 2017, compared to the same period a year ago. The decrease was primarily due to decreases in drug development expenses of $6.2 million and outside services of $1.2 million, partially offset by increases in employee-related costs of $1.2 million and stock-based compensation expense of $0.6 million. Drug development expenses decreased due to lower drug substance manufacturing activities related to pamrevlumab and lower supply chain activities related to roxadustat. Outside services costs decreased due to lower scientific contract work related to other HIF-PH inhibitors. Stock-based compensation expense increased due to cumulative impact of stock option grant activities. Employee-related costs increased due to higher headcount higher average compensation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decreased $2.3 million, or 2%, for the six months ended June 30, 2017, compared to the same period a year ago.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was primarily due to decreases in outside services of $2.9 million, drug development expenses of $2.8 million and allocated facility related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$2.2 million, partially offset by increases in clinical trial costs of $3.5 million, employee-related costs of $1.3 million and stock-based compensation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Outside services costs decreased due to lower scientific contract work related to other HIF-PH inhibitors. Drug development expenses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lower drug substance manufacturing activities related to pamrevlumab. Facility related expenses, as part of the allocated overhead costs, decreased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final assessment we obtained during the first quarter of 2017, resulting in a total of $3.0 million reduction in assessed property tax. Clinical trial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as a result of the progression of the Phase 3 trials for roxadustat. Employee-related costs increased due to higher headcount and higher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level. Stock-based compensation increased due to cumulative impact of stock option grant activities.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$3.0 million, or 29%, for the three months ended June 30, 2017, compared to the same period a year ago, primarily due to increases in employee-related costs of $1.2 million, stock-based compensation expense of $0.6 million and legal expenses of $0.6 million. Employee-related costs increased due to higher average compensation level, higher headcount, and increased recruiting activities. Stock-based compensation expense increased due to cumulative impact of stock option grant activities. Legal expenses increased due to increased patent-related and corporate related legal activities.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$3.2 million, or 15%, for the six months ended June 30, 2017, compared to the same period a year ago, primarily due to increases in employee-related costs of $1.7 million and stock-based compensation expense of $1.3 million, partially offset by a decrease in facility related expense of $0.8 million. Employee-related costs increased due to higher average compensation level, higher headcount, and increased recruiting activities. Stock-based compensation expense increased due to cumulative impact of stock option grant activities. Facility related expenses decreased due to the final assessment we obtained during the first quarter of 2017, resulting in a total of $3.0 million reduction in assessed property tax.</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 for Roxadustat Covered Under Collaboration Agreements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share responsibility with AstraZeneca for clinical development activities required for U.S. regulatory approval of roxadustat. During the fourth quarter of 2015, the $116.5 million cap on our share of development costs for roxadustat was reached. As such, all development and commercialization costs for roxadustat for the treatment of anemia in CKD in the U.S., Europe, Japan and all other markets outside of China have been paid by Astellas and AstraZeneca since reaching the cap. In China, our subsidiary FibroGen Beijing will conduct the development work for CKD anemia, will hold all of the regulatory licenses issued by China regulatory authorities, and be primarily responsible for regulatory, clinical and manufacturing. All development and commercialization costs for roxadustat in China will be shared equally with AstraZeneca.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3"/>
                <w:szCs w:val="13"/>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gridSpan w:val="6"/>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Interest expense includes payments made for imputed interest related to the facility lease financing obligations for our leased facilities in San Francisco and China, as well as interest related to the Technology Development Center of the Republic of Finland product development obligations. Interest expense increased $0.3 million, or 13%, for the three months ended June 30, 2017, compared to the same period a year ago, primarily due to a reduction in the imputed interest resulting from the government rent subsidy received by FibroGen China during the second quarter of 2016. Interest expense remained relatively flat for the six months ended June 30, 2017, compared to the same period a year ago, with no significant offsetting impacts.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and realized gains (losses) on sales of investments. Interest income and other, net increased $0.9 million, or 699%, for the three months ended June 30, 2017, compared to the same period a year ago primarily due to the unrealized foreign currency translation gain on our monetary assets denominated in foreign currency as a result of U.S. Dollar weakening. Interest income and other, net remained relatively flat for the six months ended June 30, 2017, compared to the same period a year ago, with no significant offsetting impacts.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gridSpan w:val="4"/>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(33,135)</w:t>
            </w:r>
          </w:p>
        </w:tc>
        <w:tc>
          <w:tcPr>
            <w:tcW w:w="90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24,203</w:t>
            </w:r>
          </w:p>
        </w:tc>
        <w:tc>
          <w:tcPr>
            <w:tcW w:w="2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(66,235)</w:t>
            </w:r>
          </w:p>
        </w:tc>
        <w:tc>
          <w:tcPr>
            <w:tcW w:w="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(3,942)</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Effective tax rate</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provisions for income taxes for the three and six months ended June 30, 2017 were due to foreign taxes. The benefits from income taxes for the three and six months ended June 30, 2016 were primarily due to the discrete tax effect arising from other comprehensive income related to available-for-sale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Conditions</w:t>
      </w:r>
    </w:p>
    <w:p>
      <w:pPr>
        <w:spacing w:after="0" w:line="121"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We have historically funded our operations principally from the sale of convertible preferred stock and common stock (including our public offering proceeds) and from the execution of certain collaboration agreements involving license payments, milestones and reimbursement for development services.</w:t>
      </w:r>
    </w:p>
    <w:p>
      <w:pPr>
        <w:spacing w:after="0" w:line="13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April 11, 2017, we closed an offering of our common stock. In this offering, we sold 5,228,750 shares of our common stock at a public offering price of $22.95 per share. Net proceeds from this offering were $115.1 million, after deducting underwriting discounts and commissions of $4.9 million. In addition, the total offering expenses were approximately $0.6 million.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June 30, 2017, we had cash and cash equivalents of approximately $290.3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June 30, 2017, we had short-term and long-term investments of approximately $69.1 million and $39.2 million, respectively. As of June 30, 2017, a total of $22.6 million of our cash and cash equivalents was held outside of the U.S. in our foreign subsidiaries to be used primarily for our China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short-term and long-term investments and accounts receivable will be sufficient to meet our anticipated cash requirements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Times New Roman" w:cs="Times New Roman" w:eastAsia="Times New Roman" w:hAnsi="Times New Roman"/>
          <w:sz w:val="18"/>
          <w:szCs w:val="18"/>
          <w:i w:val="1"/>
          <w:iCs w:val="1"/>
          <w:color w:val="auto"/>
        </w:rPr>
        <w:t>Risk Fact</w:t>
      </w:r>
      <w:r>
        <w:rPr>
          <w:rFonts w:ascii="Times New Roman" w:cs="Times New Roman" w:eastAsia="Times New Roman" w:hAnsi="Times New Roman"/>
          <w:sz w:val="18"/>
          <w:szCs w:val="18"/>
          <w:color w:val="auto"/>
        </w:rPr>
        <w: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set forth below:</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(46,893)</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7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$46.9 million for the six months ended June 30, 2017 and consisted primarily of net loss of $66.3 million adjusted for non-cash items of $22.0 million and a net decrease in operating assets and liabilities of $2.6 million. The significant non-cash items included stock-based compensation expense of $18.0 million and depreciation expense of $3.1 million. The significant items in the changes in operating assets and liabilities included decreases resulted from accrued liabilities of $3.1 million, accounts payable of $3.0 million and other assets of $1.1 million, partially offset by increases resulted from deferred revenue of $2.9 million and accounts receivable of $1.5 million. The change in accounts payable and accrued liabilities were primarily driven by clinical trial activities and the timing of payments. The change in other assets was primarily driven by the payment during the current year period for the land use right fee for the commercial active pharmaceutical ingredients manufacturing facility that we are establishing in China. The changes in deferred revenue and accounts receivable were related to the timing of the receipt of upfront payments and recognition of revenues under our collaboration agreements with Astellas and AstraZeneca.</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$27.4 million for the six months ended June 30, 2016 and consisted primarily of net loss of $3.5 million adjusted for non-cash items of $19.4 million and a net increase in operating assets and liabilities of $11.6 million. The significant non-cash items included stock-based compensation expense of $15.7 million, depreciation expense of $3.0 million and amortization of premium on investments of $1.4 million. The significant items in the changes in operating assets and liabilities included an increase resulted from deferred revenue of $15.1 million, partially offset by decreases resulted from accounts receivable of $2.7 million and accounts payable of $3.0 million. The changes in deferred revenue and accounts receivable were related to the timing of the receipt of upfront payments and recognition of revenues under our collaboration agreements with Astellas and AstraZeneca. The change in accounts payable was primarily driven by clinical trial activities and the timing of payments.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Investing activities primarily consist of purchases of property and equipment, purchases of investments, and proceeds from the maturity and sale of investments.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$40.3 million for the six months ended June 30, 2017 and consisted of proceeds from maturities of available-for-sale securities of $23.8 million and sales of available-for-sale securities of $18.2 million, partially offset by cash used in purchases of property and equipment of $1.6 million.</w:t>
      </w:r>
    </w:p>
    <w:p>
      <w:pPr>
        <w:spacing w:after="0" w:line="17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$7.2 million for the six months ended June 30, 2016 and consisted of proceeds from maturities of available-for-sale securities of $8.2 million, partially offset by cash used in purchases of fixed assets of $1.0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the issuance of our common stock, cash paid for payroll taxes on restricted stock unit releases, repayments of our lease liability.</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$123.0 million for the three months ended June 30, 2017 and consisted primarily of $115.1 million of proceeds from follow-on offering, net of underwriting discounts and commission costs, $12.2 million of proceeds from the issuance of common stock upon exercise of stock options and purchases under ESPP, partially offset by $3.7 million of cash paid for payroll taxes on restricted stock unit releases.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$2.5 million for the six months ended June 30, 2016 and consisted of $4.5 million of proceeds from the issuance of common stock upon exercise of stock options and purchases under ESPP, partially offset by $1.8 million of cash paid for payroll taxes on restricted stock unit releases and $0.2 million of repayments on our lease liability.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2017,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compared to those disclosed in our Annual Report on Form 10-K for the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estimates and judgments during the three and six months ended June 30, 2017 compared with the disclosures in Part II, Item 7 of our Annual Report on Form 10-K for the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w:t>
      </w:r>
      <w:r>
        <w:rPr>
          <w:rFonts w:ascii="Times New Roman" w:cs="Times New Roman" w:eastAsia="Times New Roman" w:hAnsi="Times New Roman"/>
          <w:sz w:val="18"/>
          <w:szCs w:val="18"/>
          <w:color w:val="auto"/>
        </w:rPr>
        <w:t>. This guidance identifies areas for simplification involving several aspects of accounting for share-based payment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was effective for the annual reporting period beginning after December 15, 2016, including interim periods within that reporting period. We adopted this guidance as of January 1, 2017 and have elected to continue with our existing policy to estimate forfeitures expected to occur when calculating stock compensation expense. Upon adoption, we recorded a retrospective increase of $19.5 million in deferred tax assets for previously unrecognized excess tax benefits that existed as of December 31, 2016, and a corresponding increase of $19.5 million in the valuation allowance against these deferred tax assets, as substantially all of our U.S. and foreign deferred tax assets, net of deferred tax liabilities, are subject to a full valuation allowance. As such, the net impact from these retrospective adjustments was zero to our accumulated deficit. The adoption of this guidance had no impact to our consolidated financial statements for the three and six months ended June 30, 2017.</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 - Stock Compensation (Topic 718): Scope of Modification Accounting</w:t>
      </w:r>
      <w:r>
        <w:rPr>
          <w:rFonts w:ascii="Times New Roman" w:cs="Times New Roman" w:eastAsia="Times New Roman" w:hAnsi="Times New Roman"/>
          <w:sz w:val="18"/>
          <w:szCs w:val="18"/>
          <w:color w:val="auto"/>
        </w:rPr>
        <w:t>. This guidance provides guidance about which changes to the terms or conditions of a stock-based payment award require an entity to apply modification accounting in Topic 718. This guidance is effective for annual reporting period beginning after December 15, 2017, including interim periods, with early adoption permitted. We are currently evaluating the impact on our consolidated financial statements upon the adoption of this guidance.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8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periods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which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annual reporting periods beginning after December 15, 2017 and interim periods within those annual periods. We are currently evaluating the impact on our consolidated financial statements upon the adoption of this guidance.</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supersedes the revenue recognition requirements in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606): Principal versus Agent Considerations </w:t>
      </w:r>
      <w:r>
        <w:rPr>
          <w:rFonts w:ascii="Times New Roman" w:cs="Times New Roman" w:eastAsia="Times New Roman" w:hAnsi="Times New Roman"/>
          <w:sz w:val="18"/>
          <w:szCs w:val="18"/>
          <w:color w:val="auto"/>
        </w:rPr>
        <w:t>(“ASU 2016-08”); ASU No.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(“ASU 2016-10”); ASU No.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 </w:t>
      </w:r>
      <w:r>
        <w:rPr>
          <w:rFonts w:ascii="Times New Roman" w:cs="Times New Roman" w:eastAsia="Times New Roman" w:hAnsi="Times New Roman"/>
          <w:sz w:val="18"/>
          <w:szCs w:val="18"/>
          <w:color w:val="auto"/>
        </w:rPr>
        <w:t>(“ASU 2016-12”); and ASU No. 2016-20</w:t>
      </w:r>
      <w:r>
        <w:rPr>
          <w:rFonts w:ascii="Times New Roman" w:cs="Times New Roman" w:eastAsia="Times New Roman" w:hAnsi="Times New Roman"/>
          <w:sz w:val="18"/>
          <w:szCs w:val="18"/>
          <w:i w:val="1"/>
          <w:iCs w:val="1"/>
          <w:color w:val="auto"/>
        </w:rPr>
        <w:t xml:space="preserve">, Technical Corrections and Improvements to Topic 606, Revenue from Contracts with Customers </w:t>
      </w:r>
      <w:r>
        <w:rPr>
          <w:rFonts w:ascii="Times New Roman" w:cs="Times New Roman" w:eastAsia="Times New Roman" w:hAnsi="Times New Roman"/>
          <w:sz w:val="18"/>
          <w:szCs w:val="18"/>
          <w:color w:val="auto"/>
        </w:rPr>
        <w:t>(“ASU 2016-20”). We must adopt ASU 2016-08, ASU 2016-10, ASU 2016-12 and ASU 2016-20 with ASU 2014-09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revenue standards”). The amendments may be applied retrospectively to each prior period (full retrospective) or retrospectively with the cumulative effect recognized as of the date of initial application (modified retrospective). We have commenced our implementation activities related to the adoption of ASU 2014-09 and are in the process of applying the five-step model of the new standard to our various revenue related arrangements. We have completed step 1 (Identify the contract(s) with a customer) and concluded that our collaboration agreements with Astellas and AstraZeneca are the only material contracts which will be impacted by the adoption of the new revenue standards. We are in the process of completing step 2 (Identify the performance obligations in the contract) and have not yet reached a conclusion on whether the distinct criteria evaluated under ASC 605-25 for each performance obligation would result in a similar conclusion under the new revenue standards. With respect to milestones that were previously recognized under ASC 605-28, the milestone method is not applicable under the new revenue standards, and they are considered part of the overall arrangement consideration which will result in a deferral of revenue under the new revenue standards as part of the adoption. We will adopt the new revenue standards in the first quarter of 2018 and apply the full retrospective method to restate each prior reporting period presented in the consolidated financial statements.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As we complete our evaluation of this new standard, new information may arise that could change our current understanding of the impact to revenues recognized and our views on the expected impact to the periods prior to adoption.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believe there has been no material change in our exposure to market risks as disclosed in our Annual Report on Form 10-K for the year ended December 31, 2016.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and procedures as of the end of the period covered by this Quarterly Report on Form 10-Q. Disclosure controls and procedures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13a-15(e) and 15d-15(e) under the Exchange Act) are designed to provide reasonable assurance that information required to be disclosed by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reports that it files or submits under the Exchange Act is recorded, processed, summarized and reported, within the time periods specified in the SEC’s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forms and that such information is accumulated and communicated to the company’s management, including its Chief Executive Officer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as appropriate to allow timely decisions regarding required disclosure.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have concluded that our disclosure controls and procedures were effective as of June 30, 2017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2017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83"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 xml:space="preserve">We have marked with an asterisk (*) those risks described below that reflect substantive changes from the risks described under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included in our Annual Report on Form 10-K for the year ended December 31, 2016.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History of Operating Losses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two lead product candidates in clinical development, roxadustat in anemia in chronic kidney disease (“CKD”) and pamrevlumab (FG-3019), in idiopathic pulmonary fibrosis (“IPF”), pancreatic cancer, Duchenne muscular dystrophy (“DMD”) and liver fibrosis.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2016, 2015 and 2014 was approximately $61.7 million, $85.8 million and $59.5 million, respectively. As of June 30, 2017, we had an accumulated deficit of $536.1 million. As of June 30, 2017, we had capital resources consisting of cash, cash equivalents and short-term investments of $359.4 million plus $39.2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over 8,000 patients for our U.S. and European program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efforts for our product candidates, such as pamrevlumab, that are not subject to reimbursement from our collaboration partners;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entry into new collaborations;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unreimbursed costs necessary to commercialize products in territories in which our product candidates are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from any future sales of our products as well as revenue earned from profit share, royalties and milestones;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or third party payor pricing available to our products;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manufacturing operations and obtaining third party commercial supplies of our products, if any, manufactured in accordance with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domestic and foreign operations, including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the filing, prosecution, maintenance and defense of our extensive patent portfolio and other intellectual property rights.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recent revenue has been earned from collaboration partners for our product candidates under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2016, 2015 and 2014, substantially all of our revenues recognized were from our collaboration partners.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roxadustat, and our second compound in development, pamrevlumab.</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other lead product candidate, pamrevlumab, is currently in clinical development for IPF, pancreatic cancer, DMD, and liver fibrosis.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38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initiation and completion of our Phase 2 clinical trials for pamrevlumab, including in IPF, pancreatic cancer, DMD, and liver fibrosis;</w:t>
      </w:r>
    </w:p>
    <w:p>
      <w:pPr>
        <w:spacing w:after="0" w:line="128" w:lineRule="exact"/>
        <w:rPr>
          <w:rFonts w:ascii="Times New Roman" w:cs="Times New Roman" w:eastAsia="Times New Roman" w:hAnsi="Times New Roman"/>
          <w:sz w:val="17"/>
          <w:szCs w:val="17"/>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safety and efficacy of our product candidates to the satisfaction of the relevant regulatory authorities;</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 including pricing and reimbursement determinations;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right="70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commercialize our product candidates, if approved, for marketing and sale by the FDA or foreign regulatory authorities, whether alone or in collaboration with others;</w:t>
      </w:r>
    </w:p>
    <w:p>
      <w:pPr>
        <w:spacing w:after="0" w:line="53" w:lineRule="exact"/>
        <w:rPr>
          <w:rFonts w:ascii="Times New Roman" w:cs="Times New Roman" w:eastAsia="Times New Roman" w:hAnsi="Times New Roman"/>
          <w:sz w:val="18"/>
          <w:szCs w:val="18"/>
          <w:color w:val="auto"/>
        </w:rPr>
      </w:pPr>
    </w:p>
    <w:p>
      <w:pPr>
        <w:ind w:left="1040" w:right="180" w:hanging="519"/>
        <w:spacing w:after="0" w:line="313" w:lineRule="auto"/>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30" w:lineRule="exact"/>
        <w:rPr>
          <w:rFonts w:ascii="Times New Roman" w:cs="Times New Roman" w:eastAsia="Times New Roman" w:hAnsi="Times New Roman"/>
          <w:sz w:val="17"/>
          <w:szCs w:val="17"/>
          <w:color w:val="auto"/>
        </w:rPr>
      </w:pPr>
    </w:p>
    <w:p>
      <w:pPr>
        <w:ind w:left="1040" w:right="62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health care providers and patients about the benefits, risks, administration and use of our product candidates, if approved;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as safe and effective by patients and the healthcare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enter into relationships with large dialysis organizations involving the administration of roxadustat to dialysis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maintenance of compliance with all regulatory requirements applicable to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an acceptable safety profile of our products following any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pricing or reimbursement for our products by third party payors;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successfully our intellectual property rights for our product candidates and against the products of potential competitors;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68" w:lineRule="exact"/>
        <w:rPr>
          <w:sz w:val="20"/>
          <w:szCs w:val="20"/>
          <w:color w:val="auto"/>
        </w:rPr>
      </w:pPr>
    </w:p>
    <w:p>
      <w:pPr>
        <w:ind w:left="1040" w:right="6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that roxadustat is safe and effective in treating anemia in CKD or that pamrevlumab is safe and effective in treating IPF, pancreatic cancer, DMD or liver fibrosis;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exhibit an unacceptable safety signal as they advance through clinical trials, in particular controlled Phase 3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right="30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research organizations (“CROs”) that conduct clinical trials on our behalf may take actions outside of our control that materially adversely impact our clinical trials;</w:t>
      </w:r>
    </w:p>
    <w:p>
      <w:pPr>
        <w:spacing w:after="0" w:line="53"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interpretation of the data from our preclinical trials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may not perform or complete their clinical programs in a timely manner, or at all; or</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9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and Phase 2 results to date for pamrevlumab may not be indicative of the results that may be obtained in larger, controlled Phase 2 clinical trials or Phase 3 clinical trials required for approval.</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We have conducted only a limited number of Phase 2 clinical trials with pamrevlumab. We have conducted an open-label Phase 2 dose escalation study of pamrevlumab for IPF in 89 patients, a Phase 2 dose finding trial of pamrevlumab combined with gemcitabine plus erlotinib in 75 patients with pancreatic cancer and a randomized double-blind placebo controlled study for liver fibrosis in subjects with hepatitis B. We cannot be sure that the results of these trials will be substantiated in double-blinded trials with larger numbers of patients, that larger trials will demonstrate the efficacy of pamrevlumab for these or other indications or that safety issues will not be uncovered in further trials. In the Phase 2 clinical trial for IPF, we used quantitative high resolution computed tomography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suggest that pamrevlumab has the potential to arrest or reverse fibrosis and reduce tumor mass, we cannot be sure that these results will be indicative of the effects of pamrevlumab in human trials. In addition, the IPF and pancreatic cancer patient populations are extremely ill and routinely experience SAEs, including death, which may be attributed to pamrevlumab in a manner that negatively impacts the safety profile of our product candidate. If the additional Phase 2 clinical trials that we are planning for pamrevlumab do not show favorable efficacy results or result in safety concerns, or if we do not meet our clinical endpoints with statistical significance, or demonstrate an acceptable risk-benefit profile, we may be prevented from or delayed in obtaining marketing approval for pamrevlumab in one or both of these indications.</w:t>
      </w:r>
    </w:p>
    <w:p>
      <w:pPr>
        <w:spacing w:after="0" w:line="3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physician or patient safety concerns that arise during the course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or institutional review board (“IRB”) approval or guidance;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clinical trial protocols;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76"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3 clinical trial development plan becoming longer and more extensive;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Times New Roman" w:cs="Times New Roman" w:eastAsia="Times New Roman" w:hAnsi="Times New Roman"/>
          <w:sz w:val="18"/>
          <w:szCs w:val="18"/>
          <w:i w:val="1"/>
          <w:iCs w:val="1"/>
          <w:color w:val="auto"/>
        </w:rPr>
        <w:t>Business — Our Development Program for Roxadustat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 Pamrevlumab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Fibrosis and Cancer</w:t>
      </w:r>
      <w:r>
        <w:rPr>
          <w:rFonts w:ascii="Times New Roman" w:cs="Times New Roman" w:eastAsia="Times New Roman" w:hAnsi="Times New Roman"/>
          <w:sz w:val="18"/>
          <w:szCs w:val="18"/>
          <w:color w:val="auto"/>
        </w:rPr>
        <w:t>” for a discussion of the adverse events and SAEs that have emerged in clinical trials of roxadustat and pamrevlumab.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68"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right="8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as to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30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our third-party manufacturers and for roxadustat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 limited amount of roxadustat and pamrevlumab in storage, limited capacity reserved at our third-party manufacturers, and there are long lead times required to manufacture and scale-up the manufacture of additional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68" w:lineRule="exact"/>
        <w:rPr>
          <w:sz w:val="20"/>
          <w:szCs w:val="20"/>
          <w:color w:val="auto"/>
        </w:rPr>
      </w:pPr>
    </w:p>
    <w:p>
      <w:pPr>
        <w:ind w:left="1040" w:right="72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 in particular for biologic products such as pamrevlumab, which is a monoclonal antibody;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coordination of multiple contractors in our supply chain;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 life requirements of raw materials and supplies;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 and</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floods, storms, earthquakes, tsunamis, and droughts, or accidents such as fire, that affect facilities, possibly limit or postpone production, and increase costs.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Times New Roman" w:cs="Times New Roman" w:eastAsia="Times New Roman" w:hAnsi="Times New Roman"/>
          <w:sz w:val="18"/>
          <w:szCs w:val="18"/>
          <w:i w:val="1"/>
          <w:iCs w:val="1"/>
          <w:color w:val="auto"/>
        </w:rPr>
        <w:t>Business — Roxadustat for the Treatment of Anemia in Chronic Kidney Disease — Limitations of the Current Standard of Care for Anemia in CKD</w:t>
      </w:r>
      <w:r>
        <w:rPr>
          <w:rFonts w:ascii="Times New Roman" w:cs="Times New Roman" w:eastAsia="Times New Roman" w:hAnsi="Times New Roman"/>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currently conducting Phase 2 clinical trials for pamrevlumab and we may need to conduct additional Phase 2 clinical trials before initiating our Phase 3 clinical trials for pamrevlumab. We have initiated Phase 3 clinical trials of roxadustat, and if our Phase 2 clinical trials are successful for pamrevlumab, we intend to conduct Phase 3 clinical trials for pamrevlumab.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the China Food and Drug Administration (“CFDA”) recently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300"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54"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geographically dispersed sales and marketing teams;</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0"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 xml:space="preserve">If roxadustat is approved and launched commercially, competing drugs are expected to include ESAs, particularly in those patient segments where ESAs are used. Currently available ESAs include epoetin alfa (EPOGEN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marketed by Amgen Inc. in the U.S., Procrit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and Erypo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/Eprex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marketed by Johnson &amp; Johnson Inc., and Espo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marketed by Kyowa Hakko Kirin (“KHK”), in Japan and China), darbepoetin (Amgen/KHK’s Aranesp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and NESP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 and Mircera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marketed by Hoffmann-La Roche (“Roche”) outside of the U.S. and by Galenica, a Roche licensee, in the U.S. and Puerto Rico, as well as biosimilar versions of these currently marketed ESA products. ESAs have been used in the treatment of anemia in CKD for over 20 years, serving a significant majority of dialysis dependent CKD patients. While NDD-CKD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also face competition from potential new anemia therapies currently in clinical development, including those patient segments not currently addressed by ESAs. Companies such as GlaxoSmithKline plc (“GSK”), Bayer Corporation (“Bayer”), Akebia Therapeutics, Inc. (“Akebia”), and Japan Tobacco, who are currently developing HIF prolyl hydroxylase (“HIF-PH”) inhibitors for anemia in CKD indications, may be in competition with roxadustat for patient recruitment and enrollment for clinical trials and may be in direct competition with roxadustat if and when it is approved and launched commercially. Akebia is currently conducting two Phase 3 studies in non-dialysis dependent CKD patients primarily in the U.S., one started in December 2015 and the other in February 2016, and initiated two Phase 3 studies in DD-CKD, one in July 2016 and the other in August 2016, also primarily in the U.S. More recently, Akebia started a phase 2 study with three-times-weekly 20-week dosing in dialysis patients in May 2017. GSK started Phase 3 studies in NDD-CKD and DD-CKD in the U.S. in September 2016, and in Japan in June 2016. Bayer has completed global Phase 2 studies and recently announced its HIF-PH inhibitor is now in continued development in Japan only, currently in Phase 2. Japan Tobacco is in Phase 2b in Japan. Some of these product candidates may enter the market prior to roxadustat.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there are other companies developing biologic therapies for the treatment of other anemia indications that we may also seek to pursue in the future, including anemia of myelodysplastic syndromes (“MDS”), for which we received approval from the CFDA for our phase 2/3 clinical trial application in China and acceptance of our investigational new drug application and the phase 3 pivotal study protocol from the FDA, and expected to start those studies in the second half of 2017.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There may also be new therapies for renal-related diseases that could limit the market or level of reimbursement available for roxadustat if and when it is commercialized.</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China, biosimilars of epoetin alfa are offered by Chinese pharmaceutical companies such as EPIAO marketed by 3SBio Inc. as well as over 15 other local manufacturers. We may also face competition by HIF-PH inhibitors from other companies such as Akebia, Bayer, and GSK who recently was authorized by the CFDA to conduct trials in China to support its ex-China regulatory filings. Akebia announced in December 2015 that it has entered into a development and commercialization partnership with Mitsubishi Tanabe Pharmaceutical Corporation for its HIF-PH inhibitor vadadustat in Japan, Taiwan, South Korea, India and certain other countries in Asia and recently announced an expansion of their U.S. collaboration with Otsuka to add markets including China. 3SBio Inc. also announced in 2016 its plan on beginning a Phase 1 clinical trial of a HIF-PH inhibitor for the China market.</w:t>
      </w:r>
    </w:p>
    <w:p>
      <w:pPr>
        <w:spacing w:after="0" w:line="18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 xml:space="preserve">The introduction of biosimilar ESAs into the market in the U.S. may occur by the time roxadustat enters the market and may alter the competitive and pricing landscape of anemia therapy in DD-CKD patients under the end stage renal disease bundle. The patents for Amgen’s epoetin alfa, EPOGEN, expired in 2004 in the European Union (“EU”), and the final material patents in the U.S. expired in May 2015. Several biosimilar versions of currently marketed ESAs are available for sale in the EU, China and other territories. In the U.S., a few ESA biosimilars are currently under development or regulatory review, including Retacrit® (epoetin zeta), marketed by Pfizer in Europe and for which Pfizer resubmitted a Biologics License Application (“BLA”) after receiving a complete response letter (“CRL”) from the FDA denying approval of its BLA submitted in October 2015. While FDA’s Advisory Committee recommended approving the BLA in May 2017, FDA issued another CRL on June 22, 2017. Sandoz, a division of Novartis, markets Binocrit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(epoetin alfa) in Europe and plans to file a biosimilar BLA in 2017 in the U.S.</w:t>
      </w:r>
    </w:p>
    <w:p>
      <w:pPr>
        <w:spacing w:after="0" w:line="20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 xml:space="preserve">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the U.S. dialysis patients, and therefore have historically won long-term contracts including rebate terms with Amgen. DaVita recently entered into a new 6-year sourcing and supply agreement with Amgen effective through 2022. Fresenius’ contract with Amgen expired in 2015, and Fresenius is now administering Mircera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in a significant portion of its U.S. dialysis patients since Mircera was made available by Galenica. Successful penetration of this market may require AstraZeneca to reach a significant agreement with Fresenius or DaVita on favorable terms and on a timely basis.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pamrevlumab is approved and launched commercially to treat IPF, competing drugs are expected to include Roche’s pirfenidone, which is approved for marketing in Europe, Canada, Japan and the U.S., and Boehringer Ingelheim’s nintedanib which has been approved in the U.S. and EU. Nintedanib is also in development for non-small cell lung cancer and ovarian cancer. Other potential competitive product candidates in various stages of Phase 2 development for IPF include Promedior Inc.’s PRM-151, Bristol-Myers Squibb’s BMS-986020 and Biogen-Idec’s STX-100.</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If pamrevlumab is approved and launched commercially to treat pancreatic cancer, we expect it to be used in combination instead of as monotherapy, and, likely competition for pamrevlumab would be from other agents also seeking approval in combination with gemcitibine and nab-paclitaxel from companies such as NewLink Genetics Corporation, Merrimack Pharmaceuticals, Inc. (“Merrimack”) and Halozyme Therapeutics, Inc. Gemcitabine and/or nab-paclitaxel are the current standard of care in the first-line treatment of metastatic pancreatic cancer. Celgene Corporation’s Abraxane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was launched in the U.S. and Europe in 2013 and 2014, and was the first drug approved in this disease in nearly a decade. In 2015, Merrimack received FDA approval for the use of ONIVYDE (irinotecan liposome injection) for the treatment of patients with metastatic adenocarcinoma of the pancreas after disease progression following gemcitabine-based therapy.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If pamrevlumab is approved and launched commercially to treat DMD, pamrevlumab may face competition for some patients from Sarepta Therapeutics, Inc. (“Sarepta”), as well as PTC Therapeutics, Santhera Pharmaceuticals, Pfizer, Summit plc and Tivorsan Pharmaceuticals. Sarepta is researching and developing clinical candidates for many of the specific mutations in the dystrophin gene and recently received accelerated approval in the United States for its first drug Exondys 51 (eteplirsen). The approval is limited to patients who have a confirmed mutation in the DMD gene that is amenable to exon 51 skipping. This mutation represents a subset of approximately 13% of patients with DMD. Marathon Pharmaceuticals received approval for its drug Emflaza (deflazacort) on February 9, 2017 and on March 16, 2017 announced that it had sold the commercialization rights to Emflaza to PTC Therapeutics. PTC Therapeutics’ product ataluren (Translarna </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xml:space="preserve"> ) received conditional approval in Europe in 2014 and a Refuse to File letter from the FDA in March 2016. Translarna targets a different set of DMD patients from those being targeted by Sarepta’s existing exon-skipping therapeutic candidate; however it is also limited to a subset of patients who carry a specific mutation.</w:t>
      </w:r>
    </w:p>
    <w:p>
      <w:pPr>
        <w:spacing w:after="0" w:line="20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 xml:space="preserve">Conversely, pamrevlumab and some other potential competitors are intended to treat DMD patients regardless of the specific mutation. For example, Santhera Pharmaceuticals recently reported positive Phase 3 data with its drug idebenone (Raxone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/Catena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in a trial measuring changes in lung function for DMD patients, however the FDA has asked for additional data from an ongoing trial prior to considering Raxone for approval. Previously the company had expected this additional trial to be confirmatory rather than necessary for submission. Separately, the EMEA has accepted Santhera’s filing for Raxone in DMD patients. Idebenone is a synthetic short-chain benzoquinone and a cofactor for the enzyme NAD(P)H:quinone oxidoreductase (NQO1). Pfizer’s product candidate, which is in Phase 2 development to treat DMD,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that is potentially implicated in all DMD patients. Summit is conducting a Phase 2 trial and Tivorsan intends to submit an investigational new drug application and start Phase 1 in 2017. Summit and Sarepta recently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U.S.</w:t>
      </w:r>
    </w:p>
    <w:p>
      <w:pPr>
        <w:spacing w:after="0" w:line="19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comparators, whether placebo or active, in order to compare pamrevlumab against another drug, which may be the new standard of care.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5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68" w:lineRule="exact"/>
        <w:rPr>
          <w:sz w:val="20"/>
          <w:szCs w:val="20"/>
          <w:color w:val="auto"/>
        </w:rPr>
      </w:pPr>
    </w:p>
    <w:p>
      <w:pPr>
        <w:ind w:left="1040" w:right="6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efficacy and convenience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or pricing by third party payors and government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treatment providers, such as dialysis clinics, to enter into relationships with us without violating their existing agreement;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3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68"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6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with our collaboration partners could jeopardize our collaboration agreements and our ability to commercialize product candidates.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72" w:lineRule="exact"/>
        <w:rPr>
          <w:sz w:val="20"/>
          <w:szCs w:val="20"/>
          <w:color w:val="auto"/>
        </w:rPr>
      </w:pPr>
    </w:p>
    <w:p>
      <w:pPr>
        <w:ind w:left="1040" w:right="32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53"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 and</w:t>
      </w:r>
    </w:p>
    <w:p>
      <w:pPr>
        <w:spacing w:after="0" w:line="117" w:lineRule="exact"/>
        <w:rPr>
          <w:rFonts w:ascii="Times New Roman" w:cs="Times New Roman" w:eastAsia="Times New Roman" w:hAnsi="Times New Roman"/>
          <w:sz w:val="18"/>
          <w:szCs w:val="18"/>
          <w:color w:val="auto"/>
        </w:rPr>
      </w:pPr>
    </w:p>
    <w:p>
      <w:pPr>
        <w:ind w:left="1040" w:right="96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w:t>
      </w:r>
    </w:p>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with third parties and competitors may be costly and time consuming, and may negatively affect our competitive position.*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before the U.S. Patent and Trademark Office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oppositions have been filed against four FibroGen European patents within our HIF Anemia-related Technologies Patent Portfolio. (An opposition is a European Patent Office mechanism providing for a third-party challenge to a granted European patent.) In three of these proceedings, for FibroGen European Patent Nos. 1463823, 1633333 and 2322155, the European Patent Office has handed down decisions unfavorable to FibroGen. These decisions are currently under appeal, and these three patents are valid and enforceable pending resolution of the appeals. In the fourth of the challenged cases, the European Patent Office issued a decision favorable to FibroGen, maintaining FibroGen European Patent No. 2322153. An appeal of this decision may be filed by one or more parties to the opposition. The ultimate outcomes of these proceedings remain uncertain, and ultimate resolution of each of the appeal proceedings may take two to four years or longer. While we believe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9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8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6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1040" w:right="16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the commercialization of our product candidates.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efficacy results from clinical trial sites outside the U.S.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disapproval of the manufacturing processes or facilities of either our manufacturing plant or third party manufacturers with whom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68" w:lineRule="exact"/>
        <w:rPr>
          <w:sz w:val="20"/>
          <w:szCs w:val="20"/>
          <w:color w:val="auto"/>
        </w:rPr>
      </w:pPr>
    </w:p>
    <w:p>
      <w:pPr>
        <w:ind w:left="1040" w:hanging="519"/>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8" w:lineRule="exact"/>
        <w:rPr>
          <w:rFonts w:ascii="Times New Roman" w:cs="Times New Roman" w:eastAsia="Times New Roman" w:hAnsi="Times New Roman"/>
          <w:sz w:val="18"/>
          <w:szCs w:val="18"/>
          <w:color w:val="auto"/>
        </w:rPr>
      </w:pPr>
    </w:p>
    <w:p>
      <w:pPr>
        <w:jc w:val="both"/>
        <w:ind w:left="1040" w:right="260" w:hanging="519"/>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40" w:right="20" w:hanging="519"/>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hanging="519"/>
        <w:spacing w:after="0" w:line="255"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81" w:lineRule="exact"/>
        <w:rPr>
          <w:rFonts w:ascii="Times New Roman" w:cs="Times New Roman" w:eastAsia="Times New Roman" w:hAnsi="Times New Roman"/>
          <w:sz w:val="18"/>
          <w:szCs w:val="18"/>
          <w:color w:val="auto"/>
        </w:rPr>
      </w:pPr>
    </w:p>
    <w:p>
      <w:pPr>
        <w:ind w:left="1040" w:right="40" w:hanging="519"/>
        <w:spacing w:after="0" w:line="25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Agreements Act (“TAA”), which requires that drugs sold to the United States Government must be manufactured in the United States or in TAA approved and designated countries. Drugs manufactured in countries not approved under the TAA, may not be sold to the United States without specific regulatory approval. We have little experience with this regulation and there is a risk that drugs made from Chinese-made API may not be sold to an entity of the United States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8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2"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that may be approved for sale;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profitability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coverage and reimbursement applicable to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position and market any approved product;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taxes applicable to our pharmaceutical product revenues.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others to conduct, animal testing in the future, which could harm our research and development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of risks related with our international operations, many of which may be beyond our control. These risks include:</w:t>
      </w:r>
    </w:p>
    <w:p>
      <w:pPr>
        <w:spacing w:after="0" w:line="117" w:lineRule="exact"/>
        <w:rPr>
          <w:sz w:val="20"/>
          <w:szCs w:val="20"/>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right="22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indications for which our product candidates are being developed;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and other anti-corruption and anti-bribery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foreign distributors;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Refer to “</w:t>
      </w:r>
      <w:r>
        <w:rPr>
          <w:rFonts w:ascii="Times New Roman" w:cs="Times New Roman" w:eastAsia="Times New Roman" w:hAnsi="Times New Roman"/>
          <w:sz w:val="18"/>
          <w:szCs w:val="18"/>
          <w:i w:val="1"/>
          <w:iCs w:val="1"/>
          <w:color w:val="auto"/>
        </w:rPr>
        <w:t>Business — Government Regulation — Regulation in China</w:t>
      </w:r>
      <w:r>
        <w:rPr>
          <w:rFonts w:ascii="Times New Roman" w:cs="Times New Roman" w:eastAsia="Times New Roman" w:hAnsi="Times New Roman"/>
          <w:sz w:val="18"/>
          <w:szCs w:val="18"/>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Patients’ use of traditional Chinese medicine in violation of study protocols in our China studies may lead the China Food and Drug Administration (“CFDA”) and regulators in other jurisdictions in which we are seeking approval to suspend our studies, reject our study data and withhold approval for roxadustat.</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planning on using our own manufacturing facility in China to produce roxadustat drug product, and possibly API, and FG-5200 for corneal implants.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2014, we received a Pharmaceutical Production Permit (“PPP”) for our facility in China in which we intend to manufacture roxadustat. The PPP allowed us to produce the NDA registration campaign of roxadustat according to cGMP.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subsidiary FibroGen (China) Medical Technology Development Co., Ltd. (“FibroGen Beijing”), plans to seek approval for roxadustat in China as a Domestic Class 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20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there are new and evolving environmental and manufacturing regulations in China. The application thereof may impact our API manufacturing location or strategy. In order to prevent or mitigate any delay in commercialization, we are establishing a 5,500 square meter commercial API manufacturing facility in Cangzhou, Hebei, with the intention of being operational shortly after NDA approval. Any delays related to these regulations or our new manufacturing facility could adversely affect the cost timing of our commercialization in China.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May 2016, China announced implementation of a three-year pilot program for the Marketing Authorization Holder System (“MAH”) in certain piloted regions. We are considering applying to participate in this program, and if accepted, we may be able to outsource drug product or API manufacturing to third parties while retaining the manufacturing license. However, we cannot know if we will be accepted into the MAH program, or how long such program will be available.</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treatments of anemia in CKD in China is highly competitive.</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Even if roxadustat is approved in China, it will face intense competition in the market for treatments of anemia in CKD. Roxadustat would compete with ESAs, which are offered by established multinational pharmaceutical companies such as Kyowa Hakko Kirin China Pharmaceutical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roxadustat will be included in the Medical Insurance Catalogs.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Regulation in China</w:t>
      </w:r>
      <w:r>
        <w:rPr>
          <w:rFonts w:ascii="Times New Roman" w:cs="Times New Roman" w:eastAsia="Times New Roman" w:hAnsi="Times New Roman"/>
          <w:sz w:val="18"/>
          <w:szCs w:val="18"/>
          <w:color w:val="auto"/>
        </w:rPr>
        <w:t>.” We believe that the inclusion of a drug in the Medical Insurance Catalogs can substantially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 drug.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the tender processes for the purchase of medicines by state-owned and state-controlled hospitals.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FG-5200 can be manufactured successfully and achieve regulatory approval, we may not achieve commercial success.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not yet received a license to manufacture FG-5200 in our China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9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2017, approximately $10.0 million of our cash and cash equivalents is held in China.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In the U.S., comprehensive tax reform has been announced as a priority by the new President’s administration and the U.S. Congress. Various proposals are under evaluation and consideration but it is not possible to accurately ascertain at this time the overall impact of such proposals on our future effective tax rate and corporate structure.</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will require us to develop and implement costly compliance programs.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could have a material adverse effect on us.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became effective in 2008 and provides stronger protections for employees and imposes more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relating to the United Kingdom’s referendum vote in favor of leaving the European Union could adversely affect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5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6"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3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have recently upgraded our disaster data recovery program,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 </w:t>
      </w:r>
      <w:r>
        <w:rPr>
          <w:rFonts w:ascii="Times New Roman" w:cs="Times New Roman" w:eastAsia="Times New Roman" w:hAnsi="Times New Roman"/>
          <w:sz w:val="18"/>
          <w:szCs w:val="18"/>
          <w:b w:val="1"/>
          <w:bCs w:val="1"/>
          <w:i w:val="1"/>
          <w:iCs w:val="1"/>
          <w:color w:val="auto"/>
        </w:rPr>
        <w:t>We depend on sophisticated information technology systems to operate our business and a cyber-attack or other breach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systems could have a material adverse effect on our business.*</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2"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including roxadustat and pamrevlumab;</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reports by securities analysts about us or our competitors or our industry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ineffectiveness of our internal controls;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decisions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other calamities;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our underwritten public offering of common stock on April 11, 2017 (the “Offering”) and may not use them effectively.*</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net proceeds from the Offering will be used to fund the expansion of product development in China, including developing roxadustat in additional indications beyond CKD, manufacturing and commercialization activities, as well as for general corporate purposes, which may include, among other things, funding research and development, clinical trials, vendor payables, potential regulatory submissions, hiring additional personnel and capital expenditures; however, we have no current commitments or obligations to do so. Our management has broad discretion in the application of the balance of the net proceeds from the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July 31, 2017, our executive officers, directors and principal stockholders, together with their respective affiliates, owned approximately 23.93%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July 31, 2017.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68"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2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0" w:lineRule="exact"/>
        <w:rPr>
          <w:sz w:val="20"/>
          <w:szCs w:val="20"/>
          <w:color w:val="auto"/>
        </w:rPr>
      </w:pPr>
    </w:p>
    <w:p>
      <w:pPr>
        <w:ind w:left="1040" w:right="6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40" w:right="70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(“NOLs”) to offset future taxable income may be subject to certain limitations.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general, under Section 382 of the Internal Revenue Code of 1986, as amended (“Code”), a corporation that undergoes an “ownership change” is subject to limitations on its ability to utilize its pre-change NOL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 </w:t>
      </w:r>
      <w:r>
        <w:rPr>
          <w:rFonts w:ascii="Times New Roman" w:cs="Times New Roman" w:eastAsia="Times New Roman" w:hAnsi="Times New Roman"/>
          <w:sz w:val="18"/>
          <w:szCs w:val="18"/>
          <w:i w:val="1"/>
          <w:iCs w:val="1"/>
          <w:color w:val="auto"/>
        </w:rPr>
        <w:t>Risks Related to Our Financial Condition and History of Operating Losses</w:t>
      </w:r>
      <w:r>
        <w:rPr>
          <w:rFonts w:ascii="Times New Roman" w:cs="Times New Roman" w:eastAsia="Times New Roman" w:hAnsi="Times New Roman"/>
          <w:sz w:val="18"/>
          <w:szCs w:val="18"/>
          <w:color w:val="auto"/>
        </w:rPr>
        <w:t>,” we have incurred significant net losses since our inception and anticipate that we will continue to incur significant losses for the foreseeable future; thus, we do not know whether or when we will generate the U.S. federal or state taxable income necessary to utilize our NOLs or credits. A full valuation allowance has been provided for all of our NOLs and credits.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 In the U.S., comprehensive tax reform has been announced as a priority by the new President’s administration and the U.S. Congress. Various proposals are under evaluation and consideration but it is not possible to accurately ascertain at this time the overall impact of such proposals on our future tax liabilities, profitability, and financial condition.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280"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Exhibit Index are filed or incorporated by reference (as stated therein) as part of this Quarterly Report on From 10-Q.</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FibroGen, Inc.</w:t>
            </w:r>
          </w:p>
        </w:tc>
        <w:tc>
          <w:tcPr>
            <w:tcW w:w="2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2017</w:t>
            </w:r>
          </w:p>
        </w:tc>
        <w:tc>
          <w:tcPr>
            <w:tcW w:w="292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Thomas B. Neff</w:t>
            </w:r>
          </w:p>
        </w:tc>
        <w:tc>
          <w:tcPr>
            <w:tcW w:w="20" w:type="dxa"/>
            <w:vAlign w:val="bottom"/>
          </w:tcPr>
          <w:p>
            <w:pPr>
              <w:spacing w:after="0"/>
              <w:rPr>
                <w:sz w:val="24"/>
                <w:szCs w:val="24"/>
                <w:color w:val="auto"/>
              </w:rPr>
            </w:pPr>
          </w:p>
        </w:tc>
      </w:tr>
      <w:tr>
        <w:trPr>
          <w:trHeight w:val="191"/>
        </w:trPr>
        <w:tc>
          <w:tcPr>
            <w:tcW w:w="36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c>
          <w:tcPr>
            <w:tcW w:w="20" w:type="dxa"/>
            <w:vAlign w:val="bottom"/>
          </w:tcPr>
          <w:p>
            <w:pPr>
              <w:spacing w:after="0"/>
              <w:rPr>
                <w:sz w:val="16"/>
                <w:szCs w:val="16"/>
                <w:color w:val="auto"/>
              </w:rPr>
            </w:pPr>
          </w:p>
        </w:tc>
      </w:tr>
      <w:tr>
        <w:trPr>
          <w:trHeight w:val="214"/>
        </w:trPr>
        <w:tc>
          <w:tcPr>
            <w:tcW w:w="3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0" w:type="dxa"/>
            <w:vAlign w:val="bottom"/>
          </w:tcPr>
          <w:p>
            <w:pPr>
              <w:spacing w:after="0"/>
              <w:rPr>
                <w:sz w:val="18"/>
                <w:szCs w:val="18"/>
                <w:color w:val="auto"/>
              </w:rPr>
            </w:pPr>
          </w:p>
        </w:tc>
      </w:tr>
      <w:tr>
        <w:trPr>
          <w:trHeight w:val="236"/>
        </w:trPr>
        <w:tc>
          <w:tcPr>
            <w:tcW w:w="3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 w:type="dxa"/>
            <w:vAlign w:val="bottom"/>
          </w:tcPr>
          <w:p>
            <w:pPr>
              <w:spacing w:after="0"/>
              <w:rPr>
                <w:sz w:val="20"/>
                <w:szCs w:val="20"/>
                <w:color w:val="auto"/>
              </w:rPr>
            </w:pP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2017</w:t>
            </w:r>
          </w:p>
        </w:tc>
        <w:tc>
          <w:tcPr>
            <w:tcW w:w="292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Pat Cotroneo</w:t>
            </w:r>
          </w:p>
        </w:tc>
        <w:tc>
          <w:tcPr>
            <w:tcW w:w="20" w:type="dxa"/>
            <w:vAlign w:val="bottom"/>
          </w:tcPr>
          <w:p>
            <w:pPr>
              <w:spacing w:after="0"/>
              <w:rPr>
                <w:sz w:val="24"/>
                <w:szCs w:val="24"/>
                <w:color w:val="auto"/>
              </w:rPr>
            </w:pPr>
          </w:p>
        </w:tc>
      </w:tr>
      <w:tr>
        <w:trPr>
          <w:trHeight w:val="191"/>
        </w:trPr>
        <w:tc>
          <w:tcPr>
            <w:tcW w:w="36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c>
          <w:tcPr>
            <w:tcW w:w="20" w:type="dxa"/>
            <w:vAlign w:val="bottom"/>
          </w:tcPr>
          <w:p>
            <w:pPr>
              <w:spacing w:after="0"/>
              <w:rPr>
                <w:sz w:val="16"/>
                <w:szCs w:val="16"/>
                <w:color w:val="auto"/>
              </w:rPr>
            </w:pPr>
          </w:p>
        </w:tc>
      </w:tr>
      <w:tr>
        <w:trPr>
          <w:trHeight w:val="214"/>
        </w:trPr>
        <w:tc>
          <w:tcPr>
            <w:tcW w:w="3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20" w:type="dxa"/>
            <w:vAlign w:val="bottom"/>
          </w:tcPr>
          <w:p>
            <w:pPr>
              <w:spacing w:after="0"/>
              <w:rPr>
                <w:sz w:val="18"/>
                <w:szCs w:val="18"/>
                <w:color w:val="auto"/>
              </w:rPr>
            </w:pPr>
          </w:p>
        </w:tc>
      </w:tr>
      <w:tr>
        <w:trPr>
          <w:trHeight w:val="236"/>
        </w:trPr>
        <w:tc>
          <w:tcPr>
            <w:tcW w:w="3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0" w:type="dxa"/>
            <w:vAlign w:val="bottom"/>
          </w:tcPr>
          <w:p>
            <w:pPr>
              <w:spacing w:after="0"/>
              <w:rPr>
                <w:sz w:val="20"/>
                <w:szCs w:val="20"/>
                <w:color w:val="auto"/>
              </w:rPr>
            </w:pPr>
          </w:p>
        </w:tc>
      </w:tr>
      <w:tr>
        <w:trPr>
          <w:trHeight w:val="864"/>
        </w:trPr>
        <w:tc>
          <w:tcPr>
            <w:tcW w:w="3640" w:type="dxa"/>
            <w:vAlign w:val="bottom"/>
          </w:tcPr>
          <w:p>
            <w:pPr>
              <w:spacing w:after="0"/>
              <w:rPr>
                <w:sz w:val="24"/>
                <w:szCs w:val="24"/>
                <w:color w:val="auto"/>
              </w:rPr>
            </w:pPr>
          </w:p>
        </w:tc>
        <w:tc>
          <w:tcPr>
            <w:tcW w:w="29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42"/>
        </w:trPr>
        <w:tc>
          <w:tcPr>
            <w:tcW w:w="1480" w:type="dxa"/>
            <w:vAlign w:val="bottom"/>
            <w:gridSpan w:val="2"/>
            <w:vMerge w:val="continue"/>
          </w:tcPr>
          <w:p>
            <w:pPr>
              <w:spacing w:after="0"/>
              <w:rPr>
                <w:sz w:val="12"/>
                <w:szCs w:val="12"/>
                <w:color w:val="auto"/>
              </w:rPr>
            </w:pPr>
          </w:p>
        </w:tc>
        <w:tc>
          <w:tcPr>
            <w:tcW w:w="5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2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358"/>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FibroGen, Inc.</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FibroGen, Inc.</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its stockholders, dated as of December 1995.</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its warrant holders, dated as of February 8, 2000.</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Warrant to Purchase 11,076 Shares of Common Stock issued to Bristow</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L.P, dated as of February 8, 2000.</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by and among FibroGen China Anemia</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Holdings, Ltd. and certain of its shareholders, dated as of July 11, 2012.</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by and among FibroGen China Anemia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Holdings, Ltd. and the purchasers party thereto, dated as of July 11,</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Purchase Agreement by and between FibroGen, Inc.</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and AstraZeneca AB, dated as of October 20, 2014.</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as required by Rule 13a-14(a)</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or Rule 15d-14(a).</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as required by Rule 13a-14(a)</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or Rule 15d-14(a).</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Officer, as required by Rule 13a-14(b) or Rule 15d-14(b) and Section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1350 of Chapter 63 of Title 18 of the United States Code (18 U.S.C.</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§1350)(1)).</w:t>
            </w: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from the quarterly report on Form 10-Q of the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Company for the quarter ended June 30, 2016, formatted in XBRL:</w:t>
            </w:r>
          </w:p>
        </w:tc>
        <w:tc>
          <w:tcPr>
            <w:tcW w:w="0" w:type="dxa"/>
            <w:vAlign w:val="bottom"/>
          </w:tcPr>
          <w:p>
            <w:pPr>
              <w:spacing w:after="0"/>
              <w:rPr>
                <w:sz w:val="1"/>
                <w:szCs w:val="1"/>
                <w:color w:val="auto"/>
              </w:rPr>
            </w:pPr>
          </w:p>
        </w:tc>
      </w:tr>
    </w:tbl>
    <w:p>
      <w:pPr>
        <w:ind w:left="1480" w:right="300"/>
        <w:spacing w:after="0" w:line="253" w:lineRule="auto"/>
        <w:tabs>
          <w:tab w:leader="none" w:pos="16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2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858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58"/>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365"/>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365"/>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365"/>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58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r>
      <w:tr>
        <w:trPr>
          <w:trHeight w:val="89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58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8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8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013"/>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2">
            <w:col w:w="6700" w:space="100"/>
            <w:col w:w="4620"/>
          </w:cols>
          <w:pgMar w:left="240" w:top="121"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960" w:firstLine="526"/>
        <w:spacing w:after="0" w:line="282" w:lineRule="auto"/>
        <w:tabs>
          <w:tab w:leader="none" w:pos="76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00" w:firstLine="526"/>
        <w:spacing w:after="0" w:line="282" w:lineRule="auto"/>
        <w:tabs>
          <w:tab w:leader="none" w:pos="77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2017</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Neff</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1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40" w:firstLine="526"/>
        <w:spacing w:after="0" w:line="266" w:lineRule="auto"/>
        <w:tabs>
          <w:tab w:leader="none" w:pos="7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960" w:firstLine="526"/>
        <w:spacing w:after="0" w:line="282" w:lineRule="auto"/>
        <w:tabs>
          <w:tab w:leader="none" w:pos="7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 w:firstLine="526"/>
        <w:spacing w:after="0" w:line="266" w:lineRule="auto"/>
        <w:tabs>
          <w:tab w:leader="none" w:pos="7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40" w:firstLine="526"/>
        <w:spacing w:after="0" w:line="282" w:lineRule="auto"/>
        <w:tabs>
          <w:tab w:leader="none" w:pos="7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00" w:firstLine="526"/>
        <w:spacing w:after="0" w:line="282" w:lineRule="auto"/>
        <w:tabs>
          <w:tab w:leader="none" w:pos="7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2017</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191"/>
        </w:trPr>
        <w:tc>
          <w:tcPr>
            <w:tcW w:w="686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117"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176" w:lineRule="exact"/>
        <w:rPr>
          <w:sz w:val="20"/>
          <w:szCs w:val="20"/>
          <w:color w:val="auto"/>
        </w:rPr>
      </w:pPr>
    </w:p>
    <w:p>
      <w:pPr>
        <w:ind w:left="520" w:right="8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2017, to which this Certification is attached as Exhibit 32.1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B. Neff</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Pat Cotroneo</w:t>
            </w:r>
          </w:p>
        </w:tc>
      </w:t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5"/>
    </w:lvl>
  </w:abstractNum>
  <w:abstractNum w:abstractNumId="10">
    <w:nsid w:val="71F32454"/>
    <w:multiLevelType w:val="hybridMultilevel"/>
    <w:lvl w:ilvl="0">
      <w:lvlJc w:val="left"/>
      <w:lvlText w:val="%1."/>
      <w:numFmt w:val="decimal"/>
      <w:start w:val="6"/>
    </w:lvl>
  </w:abstractNum>
  <w:abstractNum w:abstractNumId="11">
    <w:nsid w:val="2CA88611"/>
    <w:multiLevelType w:val="hybridMultilevel"/>
    <w:lvl w:ilvl="0">
      <w:lvlJc w:val="left"/>
      <w:lvlText w:val="%1."/>
      <w:numFmt w:val="decimal"/>
      <w:start w:val="7"/>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lvl w:ilvl="1">
      <w:lvlJc w:val="left"/>
      <w:lvlText w:val="(%2)"/>
      <w:numFmt w:val="lowerRoman"/>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2019-12-29T05:25:40Z</dcterms:created>
  <dcterms:modified xsi:type="dcterms:W3CDTF">2019-12-29T05:25:40Z</dcterms:modified>
</cp:coreProperties>
</file>