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217805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234950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81915</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8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113665</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5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8" w:lineRule="exact"/>
        <w:rPr>
          <w:sz w:val="24"/>
          <w:szCs w:val="24"/>
          <w:color w:val="auto"/>
        </w:rPr>
      </w:pPr>
    </w:p>
    <w:p>
      <w:pPr>
        <w:ind w:left="520" w:right="380" w:hanging="512"/>
        <w:spacing w:after="0" w:line="237" w:lineRule="auto"/>
        <w:tabs>
          <w:tab w:leader="none" w:pos="52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7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2019</w:t>
      </w:r>
    </w:p>
    <w:p>
      <w:pPr>
        <w:spacing w:after="0" w:line="1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08" w:lineRule="exact"/>
        <w:rPr>
          <w:sz w:val="24"/>
          <w:szCs w:val="24"/>
          <w:color w:val="auto"/>
        </w:rPr>
      </w:pPr>
    </w:p>
    <w:p>
      <w:pPr>
        <w:ind w:left="520" w:right="360" w:hanging="512"/>
        <w:spacing w:after="0" w:line="262" w:lineRule="auto"/>
        <w:tabs>
          <w:tab w:leader="none" w:pos="520" w:val="left"/>
        </w:tabs>
        <w:numPr>
          <w:ilvl w:val="0"/>
          <w:numId w:val="2"/>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51" w:lineRule="exact"/>
        <w:rPr>
          <w:sz w:val="24"/>
          <w:szCs w:val="24"/>
          <w:color w:val="auto"/>
        </w:rPr>
      </w:pPr>
    </w:p>
    <w:p>
      <w:pPr>
        <w:ind w:left="3740"/>
        <w:spacing w:after="0"/>
        <w:tabs>
          <w:tab w:leader="none" w:pos="676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3876675</wp:posOffset>
            </wp:positionH>
            <wp:positionV relativeFrom="paragraph">
              <wp:posOffset>-5080</wp:posOffset>
            </wp:positionV>
            <wp:extent cx="1009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09650" cy="8890"/>
                    </a:xfrm>
                    <a:prstGeom prst="rect">
                      <a:avLst/>
                    </a:prstGeom>
                    <a:noFill/>
                  </pic:spPr>
                </pic:pic>
              </a:graphicData>
            </a:graphic>
          </wp:anchor>
        </w:drawing>
      </w:r>
    </w:p>
    <w:p>
      <w:pPr>
        <w:spacing w:after="0" w:line="9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001-36740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80010</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7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FIBROGEN, INC.</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55880</wp:posOffset>
            </wp:positionV>
            <wp:extent cx="1449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81" w:lineRule="exact"/>
        <w:rPr>
          <w:sz w:val="24"/>
          <w:szCs w:val="24"/>
          <w:color w:val="auto"/>
        </w:rPr>
      </w:pPr>
    </w:p>
    <w:tbl>
      <w:tblPr>
        <w:tblLayout w:type="fixed"/>
        <w:tblInd w:w="1580" w:type="dxa"/>
        <w:tblCellMar>
          <w:top w:w="0" w:type="dxa"/>
          <w:left w:w="0" w:type="dxa"/>
          <w:bottom w:w="0" w:type="dxa"/>
          <w:right w:w="0" w:type="dxa"/>
        </w:tblCellMar>
      </w:tblPr>
      <w:tr>
        <w:trPr>
          <w:trHeight w:val="214"/>
        </w:trPr>
        <w:tc>
          <w:tcPr>
            <w:tcW w:w="2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5100" w:type="dxa"/>
            <w:vAlign w:val="bottom"/>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77-0357827</w:t>
            </w:r>
          </w:p>
        </w:tc>
      </w:tr>
      <w:tr>
        <w:trPr>
          <w:trHeight w:val="149"/>
        </w:trPr>
        <w:tc>
          <w:tcPr>
            <w:tcW w:w="2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5100" w:type="dxa"/>
            <w:vAlign w:val="bottom"/>
          </w:tcPr>
          <w:p>
            <w:pPr>
              <w:jc w:val="center"/>
              <w:ind w:left="3900"/>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5100" w:type="dxa"/>
            <w:vAlign w:val="bottom"/>
          </w:tcPr>
          <w:p>
            <w:pPr>
              <w:jc w:val="center"/>
              <w:ind w:left="3900"/>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298"/>
        </w:trPr>
        <w:tc>
          <w:tcPr>
            <w:tcW w:w="2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409 Illinois Street</w:t>
            </w:r>
          </w:p>
        </w:tc>
        <w:tc>
          <w:tcPr>
            <w:tcW w:w="5100" w:type="dxa"/>
            <w:vAlign w:val="bottom"/>
          </w:tcPr>
          <w:p>
            <w:pPr>
              <w:spacing w:after="0"/>
              <w:rPr>
                <w:sz w:val="24"/>
                <w:szCs w:val="24"/>
                <w:color w:val="auto"/>
              </w:rPr>
            </w:pPr>
          </w:p>
        </w:tc>
      </w:tr>
      <w:tr>
        <w:trPr>
          <w:trHeight w:val="214"/>
        </w:trPr>
        <w:tc>
          <w:tcPr>
            <w:tcW w:w="2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San Francisco, CA</w:t>
            </w:r>
          </w:p>
        </w:tc>
        <w:tc>
          <w:tcPr>
            <w:tcW w:w="5100" w:type="dxa"/>
            <w:vAlign w:val="bottom"/>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94158</w:t>
            </w:r>
          </w:p>
        </w:tc>
      </w:tr>
      <w:tr>
        <w:trPr>
          <w:trHeight w:val="190"/>
        </w:trPr>
        <w:tc>
          <w:tcPr>
            <w:tcW w:w="2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5100" w:type="dxa"/>
            <w:vAlign w:val="bottom"/>
          </w:tcPr>
          <w:p>
            <w:pPr>
              <w:jc w:val="center"/>
              <w:ind w:left="3920"/>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282"/>
        </w:trPr>
        <w:tc>
          <w:tcPr>
            <w:tcW w:w="2500" w:type="dxa"/>
            <w:vAlign w:val="bottom"/>
          </w:tcPr>
          <w:p>
            <w:pPr>
              <w:spacing w:after="0"/>
              <w:rPr>
                <w:sz w:val="24"/>
                <w:szCs w:val="24"/>
                <w:color w:val="auto"/>
              </w:rPr>
            </w:pPr>
          </w:p>
        </w:tc>
        <w:tc>
          <w:tcPr>
            <w:tcW w:w="5100" w:type="dxa"/>
            <w:vAlign w:val="bottom"/>
          </w:tcPr>
          <w:p>
            <w:pPr>
              <w:jc w:val="right"/>
              <w:ind w:right="2820"/>
              <w:spacing w:after="0"/>
              <w:rPr>
                <w:sz w:val="20"/>
                <w:szCs w:val="20"/>
                <w:color w:val="auto"/>
              </w:rPr>
            </w:pPr>
            <w:r>
              <w:rPr>
                <w:rFonts w:ascii="Times New Roman" w:cs="Times New Roman" w:eastAsia="Times New Roman" w:hAnsi="Times New Roman"/>
                <w:sz w:val="18"/>
                <w:szCs w:val="18"/>
                <w:b w:val="1"/>
                <w:bCs w:val="1"/>
                <w:color w:val="auto"/>
              </w:rPr>
              <w:t>(415) 978-1200</w:t>
            </w:r>
          </w:p>
        </w:tc>
      </w:tr>
      <w:tr>
        <w:trPr>
          <w:trHeight w:val="190"/>
        </w:trPr>
        <w:tc>
          <w:tcPr>
            <w:tcW w:w="2500" w:type="dxa"/>
            <w:vAlign w:val="bottom"/>
          </w:tcPr>
          <w:p>
            <w:pPr>
              <w:spacing w:after="0"/>
              <w:rPr>
                <w:sz w:val="16"/>
                <w:szCs w:val="16"/>
                <w:color w:val="auto"/>
              </w:rPr>
            </w:pPr>
          </w:p>
        </w:tc>
        <w:tc>
          <w:tcPr>
            <w:tcW w:w="5100" w:type="dxa"/>
            <w:vAlign w:val="bottom"/>
          </w:tcPr>
          <w:p>
            <w:pPr>
              <w:jc w:val="center"/>
              <w:ind w:right="174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40640</wp:posOffset>
            </wp:positionV>
            <wp:extent cx="14490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20" w:lineRule="exact"/>
        <w:rPr>
          <w:sz w:val="24"/>
          <w:szCs w:val="24"/>
          <w:color w:val="auto"/>
        </w:rPr>
      </w:pPr>
    </w:p>
    <w:p>
      <w:pPr>
        <w:jc w:val="both"/>
        <w:ind w:right="220" w:firstLine="518"/>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30" w:lineRule="exact"/>
        <w:rPr>
          <w:sz w:val="24"/>
          <w:szCs w:val="24"/>
          <w:color w:val="auto"/>
        </w:rPr>
      </w:pPr>
    </w:p>
    <w:p>
      <w:pPr>
        <w:ind w:firstLine="518"/>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w:t>
      </w:r>
    </w:p>
    <w:p>
      <w:pPr>
        <w:spacing w:after="0" w:line="207" w:lineRule="exact"/>
        <w:tabs>
          <w:tab w:leader="none" w:pos="580" w:val="left"/>
          <w:tab w:leader="none" w:pos="1280" w:val="left"/>
        </w:tabs>
        <w:rPr>
          <w:sz w:val="20"/>
          <w:szCs w:val="20"/>
          <w:color w:val="auto"/>
        </w:rPr>
      </w:pPr>
      <w:r>
        <w:rPr>
          <w:rFonts w:ascii="Times New Roman" w:cs="Times New Roman" w:eastAsia="Times New Roman" w:hAnsi="Times New Roman"/>
          <w:sz w:val="18"/>
          <w:szCs w:val="18"/>
          <w:color w:val="auto"/>
        </w:rPr>
        <w:t>files).</w:t>
        <w:tab/>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rPr>
        <w:t>☐</w:t>
      </w:r>
    </w:p>
    <w:p>
      <w:pPr>
        <w:spacing w:after="0" w:line="63" w:lineRule="exact"/>
        <w:rPr>
          <w:sz w:val="24"/>
          <w:szCs w:val="24"/>
          <w:color w:val="auto"/>
        </w:rPr>
      </w:pPr>
    </w:p>
    <w:p>
      <w:pPr>
        <w:ind w:right="160" w:firstLine="518"/>
        <w:spacing w:after="0" w:line="265"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940" w:type="dxa"/>
        <w:tblCellMar>
          <w:top w:w="0" w:type="dxa"/>
          <w:left w:w="0" w:type="dxa"/>
          <w:bottom w:w="0" w:type="dxa"/>
          <w:right w:w="0" w:type="dxa"/>
        </w:tblCellMar>
      </w:tblPr>
      <w:tr>
        <w:trPr>
          <w:trHeight w:val="216"/>
        </w:trPr>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7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rPr>
              <w:t>☑</w:t>
            </w:r>
          </w:p>
        </w:tc>
        <w:tc>
          <w:tcPr>
            <w:tcW w:w="4440" w:type="dxa"/>
            <w:vAlign w:val="bottom"/>
          </w:tcPr>
          <w:p>
            <w:pPr>
              <w:ind w:left="2200"/>
              <w:spacing w:after="0"/>
              <w:rPr>
                <w:sz w:val="20"/>
                <w:szCs w:val="20"/>
                <w:color w:val="auto"/>
              </w:rPr>
            </w:pPr>
            <w:r>
              <w:rPr>
                <w:rFonts w:ascii="Times New Roman" w:cs="Times New Roman" w:eastAsia="Times New Roman" w:hAnsi="Times New Roman"/>
                <w:sz w:val="18"/>
                <w:szCs w:val="18"/>
                <w:color w:val="auto"/>
              </w:rPr>
              <w:t>Accelerated filer</w:t>
            </w:r>
          </w:p>
        </w:tc>
        <w:tc>
          <w:tcPr>
            <w:tcW w:w="420" w:type="dxa"/>
            <w:vAlign w:val="bottom"/>
          </w:tcPr>
          <w:p>
            <w:pPr>
              <w:ind w:left="2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7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rPr>
              <w:t>☐</w:t>
            </w:r>
          </w:p>
        </w:tc>
        <w:tc>
          <w:tcPr>
            <w:tcW w:w="4440" w:type="dxa"/>
            <w:vAlign w:val="bottom"/>
          </w:tcPr>
          <w:p>
            <w:pPr>
              <w:ind w:left="220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420" w:type="dxa"/>
            <w:vAlign w:val="bottom"/>
          </w:tcPr>
          <w:p>
            <w:pPr>
              <w:ind w:left="2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0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4440" w:type="dxa"/>
            <w:vAlign w:val="bottom"/>
          </w:tcPr>
          <w:p>
            <w:pPr>
              <w:ind w:left="2200"/>
              <w:spacing w:after="0"/>
              <w:rPr>
                <w:sz w:val="20"/>
                <w:szCs w:val="20"/>
                <w:color w:val="auto"/>
              </w:rPr>
            </w:pPr>
            <w:r>
              <w:rPr>
                <w:rFonts w:ascii="Times New Roman" w:cs="Times New Roman" w:eastAsia="Times New Roman" w:hAnsi="Times New Roman"/>
                <w:sz w:val="18"/>
                <w:szCs w:val="18"/>
                <w:color w:val="auto"/>
              </w:rPr>
              <w:t>Emerging growth company</w:t>
            </w:r>
          </w:p>
        </w:tc>
        <w:tc>
          <w:tcPr>
            <w:tcW w:w="420" w:type="dxa"/>
            <w:vAlign w:val="bottom"/>
          </w:tcPr>
          <w:p>
            <w:pPr>
              <w:ind w:left="2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43" w:lineRule="exact"/>
        <w:rPr>
          <w:sz w:val="24"/>
          <w:szCs w:val="24"/>
          <w:color w:val="auto"/>
        </w:rPr>
      </w:pPr>
    </w:p>
    <w:p>
      <w:pPr>
        <w:ind w:right="140" w:firstLine="518"/>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 w:lineRule="exact"/>
        <w:rPr>
          <w:sz w:val="24"/>
          <w:szCs w:val="24"/>
          <w:color w:val="auto"/>
        </w:rPr>
      </w:pPr>
    </w:p>
    <w:p>
      <w:pPr>
        <w:ind w:left="520"/>
        <w:spacing w:after="0" w:line="207" w:lineRule="exact"/>
        <w:tabs>
          <w:tab w:leader="none" w:pos="8400" w:val="left"/>
          <w:tab w:leader="none" w:pos="910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Exchange Act Rule 12b-2).</w:t>
        <w:tab/>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rPr>
        <w:t>☑</w:t>
      </w:r>
    </w:p>
    <w:p>
      <w:pPr>
        <w:spacing w:after="0" w:line="101" w:lineRule="exact"/>
        <w:rPr>
          <w:sz w:val="24"/>
          <w:szCs w:val="24"/>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92" w:lineRule="exact"/>
        <w:rPr>
          <w:sz w:val="24"/>
          <w:szCs w:val="24"/>
          <w:color w:val="auto"/>
        </w:rPr>
      </w:pPr>
    </w:p>
    <w:tbl>
      <w:tblPr>
        <w:tblLayout w:type="fixed"/>
        <w:tblInd w:w="610" w:type="dxa"/>
        <w:tblCellMar>
          <w:top w:w="0" w:type="dxa"/>
          <w:left w:w="0" w:type="dxa"/>
          <w:bottom w:w="0" w:type="dxa"/>
          <w:right w:w="0" w:type="dxa"/>
        </w:tblCellMar>
      </w:tblPr>
      <w:tr>
        <w:trPr>
          <w:trHeight w:val="207"/>
        </w:trPr>
        <w:tc>
          <w:tcPr>
            <w:tcW w:w="3300" w:type="dxa"/>
            <w:vAlign w:val="bottom"/>
            <w:tcBorders>
              <w:top w:val="single" w:sz="8" w:color="auto"/>
              <w:left w:val="single" w:sz="8" w:color="auto"/>
              <w:right w:val="single" w:sz="8" w:color="auto"/>
            </w:tcBorders>
          </w:tcPr>
          <w:p>
            <w:pPr>
              <w:ind w:left="96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8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32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 on which</w:t>
            </w:r>
          </w:p>
        </w:tc>
      </w:tr>
      <w:tr>
        <w:trPr>
          <w:trHeight w:val="238"/>
        </w:trPr>
        <w:tc>
          <w:tcPr>
            <w:tcW w:w="3300" w:type="dxa"/>
            <w:vAlign w:val="bottom"/>
            <w:tcBorders>
              <w:left w:val="single" w:sz="8" w:color="auto"/>
              <w:bottom w:val="single" w:sz="8" w:color="auto"/>
              <w:right w:val="single" w:sz="8" w:color="auto"/>
            </w:tcBorders>
          </w:tcPr>
          <w:p>
            <w:pPr>
              <w:spacing w:after="0"/>
              <w:rPr>
                <w:sz w:val="20"/>
                <w:szCs w:val="20"/>
                <w:color w:val="auto"/>
              </w:rPr>
            </w:pPr>
          </w:p>
        </w:tc>
        <w:tc>
          <w:tcPr>
            <w:tcW w:w="3880" w:type="dxa"/>
            <w:vAlign w:val="bottom"/>
            <w:tcBorders>
              <w:bottom w:val="single" w:sz="8" w:color="auto"/>
              <w:right w:val="single" w:sz="8" w:color="auto"/>
            </w:tcBorders>
          </w:tcPr>
          <w:p>
            <w:pPr>
              <w:spacing w:after="0"/>
              <w:rPr>
                <w:sz w:val="20"/>
                <w:szCs w:val="20"/>
                <w:color w:val="auto"/>
              </w:rPr>
            </w:pPr>
          </w:p>
        </w:tc>
        <w:tc>
          <w:tcPr>
            <w:tcW w:w="3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registered</w:t>
            </w:r>
          </w:p>
        </w:tc>
      </w:tr>
      <w:tr>
        <w:trPr>
          <w:trHeight w:val="210"/>
        </w:trPr>
        <w:tc>
          <w:tcPr>
            <w:tcW w:w="33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Common Stock, $0.01 par value</w:t>
            </w:r>
          </w:p>
        </w:tc>
        <w:tc>
          <w:tcPr>
            <w:tcW w:w="3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FGEN</w:t>
            </w:r>
          </w:p>
        </w:tc>
        <w:tc>
          <w:tcPr>
            <w:tcW w:w="3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Global Select Market</w:t>
            </w:r>
          </w:p>
        </w:tc>
      </w:tr>
    </w:tbl>
    <w:p>
      <w:pPr>
        <w:spacing w:after="0" w:line="63" w:lineRule="exact"/>
        <w:rPr>
          <w:sz w:val="24"/>
          <w:szCs w:val="24"/>
          <w:color w:val="auto"/>
        </w:rPr>
      </w:pPr>
    </w:p>
    <w:p>
      <w:pPr>
        <w:ind w:left="520"/>
        <w:spacing w:after="0"/>
        <w:rPr>
          <w:sz w:val="20"/>
          <w:szCs w:val="20"/>
          <w:color w:val="auto"/>
        </w:rPr>
      </w:pPr>
      <w:r>
        <w:rPr>
          <w:rFonts w:ascii="Times New Roman" w:cs="Times New Roman" w:eastAsia="Times New Roman" w:hAnsi="Times New Roman"/>
          <w:sz w:val="18"/>
          <w:szCs w:val="18"/>
          <w:color w:val="auto"/>
        </w:rPr>
        <w:t>The number of shares of common stock outstanding as of April 30, 2019 was 86,221,978.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441960</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16" w:right="259" w:bottom="1440" w:gutter="0" w:footer="0" w:header="0"/>
        </w:sectPr>
      </w:pPr>
    </w:p>
    <w:bookmarkStart w:id="1" w:name="page2"/>
    <w:bookmarkEnd w:id="1"/>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FIBROGEN, INC.</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160" w:type="dxa"/>
            <w:vAlign w:val="bottom"/>
            <w:gridSpan w:val="7"/>
            <w:vMerge w:val="restart"/>
          </w:tcPr>
          <w:p>
            <w:pPr>
              <w:jc w:val="center"/>
              <w:spacing w:after="0"/>
              <w:rPr>
                <w:rFonts w:ascii="Times New Roman" w:cs="Times New Roman" w:eastAsia="Times New Roman" w:hAnsi="Times New Roman"/>
                <w:sz w:val="18"/>
                <w:szCs w:val="18"/>
                <w:b w:val="1"/>
                <w:bCs w:val="1"/>
                <w:color w:val="0000EE"/>
                <w:w w:val="99"/>
              </w:rPr>
            </w:pPr>
            <w:hyperlink w:anchor="page3">
              <w:r>
                <w:rPr>
                  <w:rFonts w:ascii="Times New Roman" w:cs="Times New Roman" w:eastAsia="Times New Roman" w:hAnsi="Times New Roman"/>
                  <w:sz w:val="18"/>
                  <w:szCs w:val="18"/>
                  <w:b w:val="1"/>
                  <w:bCs w:val="1"/>
                  <w:color w:val="0000EE"/>
                  <w:w w:val="99"/>
                </w:rPr>
                <w:t>PART I—FINANCIAL INFORMATION</w:t>
              </w:r>
            </w:hyperlink>
          </w:p>
        </w:tc>
        <w:tc>
          <w:tcPr>
            <w:tcW w:w="3960" w:type="dxa"/>
            <w:vAlign w:val="bottom"/>
            <w:gridSpan w:val="7"/>
            <w:vMerge w:val="restart"/>
          </w:tcPr>
          <w:p>
            <w:pPr>
              <w:spacing w:after="0"/>
              <w:rPr>
                <w:sz w:val="14"/>
                <w:szCs w:val="14"/>
                <w:color w:val="auto"/>
              </w:rPr>
            </w:pP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Page</w:t>
            </w:r>
          </w:p>
        </w:tc>
        <w:tc>
          <w:tcPr>
            <w:tcW w:w="0" w:type="dxa"/>
            <w:vAlign w:val="bottom"/>
          </w:tcPr>
          <w:p>
            <w:pPr>
              <w:spacing w:after="0"/>
              <w:rPr>
                <w:sz w:val="1"/>
                <w:szCs w:val="1"/>
                <w:color w:val="auto"/>
              </w:rPr>
            </w:pPr>
          </w:p>
        </w:tc>
      </w:tr>
      <w:tr>
        <w:trPr>
          <w:trHeight w:val="174"/>
        </w:trPr>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160" w:type="dxa"/>
            <w:vAlign w:val="bottom"/>
            <w:tcBorders>
              <w:bottom w:val="single" w:sz="8" w:color="0000EE"/>
            </w:tcBorders>
            <w:gridSpan w:val="7"/>
            <w:vMerge w:val="continue"/>
          </w:tcPr>
          <w:p>
            <w:pPr>
              <w:spacing w:after="0"/>
              <w:rPr>
                <w:sz w:val="14"/>
                <w:szCs w:val="14"/>
                <w:color w:val="auto"/>
              </w:rPr>
            </w:pPr>
          </w:p>
        </w:tc>
        <w:tc>
          <w:tcPr>
            <w:tcW w:w="3960" w:type="dxa"/>
            <w:vAlign w:val="bottom"/>
            <w:gridSpan w:val="7"/>
            <w:vMerge w:val="continue"/>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8"/>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10060" w:type="dxa"/>
            <w:vAlign w:val="bottom"/>
            <w:gridSpan w:val="24"/>
          </w:tcPr>
          <w:p>
            <w:pPr>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Condensed Consolidated Financial Statements (Unaudited)</w:t>
              </w:r>
            </w:hyperlink>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720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w w:val="99"/>
              </w:rPr>
            </w:pPr>
            <w:hyperlink w:anchor="page3">
              <w:r>
                <w:rPr>
                  <w:rFonts w:ascii="Times New Roman" w:cs="Times New Roman" w:eastAsia="Times New Roman" w:hAnsi="Times New Roman"/>
                  <w:sz w:val="18"/>
                  <w:szCs w:val="18"/>
                  <w:color w:val="0000EE"/>
                  <w:w w:val="99"/>
                </w:rPr>
                <w:t>Condensed Consolidated Balance Sheets as of March 31, 2019 and December 31, 2018 (Unaudited)</w:t>
              </w:r>
            </w:hyperlink>
          </w:p>
        </w:tc>
        <w:tc>
          <w:tcPr>
            <w:tcW w:w="2860" w:type="dxa"/>
            <w:vAlign w:val="bottom"/>
            <w:gridSpan w:val="5"/>
          </w:tcPr>
          <w:p>
            <w:pPr>
              <w:spacing w:after="0"/>
              <w:rPr>
                <w:sz w:val="17"/>
                <w:szCs w:val="17"/>
                <w:color w:val="auto"/>
              </w:rPr>
            </w:pPr>
          </w:p>
        </w:tc>
        <w:tc>
          <w:tcPr>
            <w:tcW w:w="4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060" w:type="dxa"/>
            <w:vAlign w:val="bottom"/>
            <w:gridSpan w:val="24"/>
          </w:tcPr>
          <w:p>
            <w:pPr>
              <w:spacing w:after="0" w:line="196" w:lineRule="exact"/>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Condensed Consolidated Statements of Operations for the Three Months Ended March 31, 2019 and 2018 (Unaudited)</w:t>
              </w:r>
            </w:hyperlink>
          </w:p>
        </w:tc>
        <w:tc>
          <w:tcPr>
            <w:tcW w:w="4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210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0060" w:type="dxa"/>
            <w:vAlign w:val="bottom"/>
            <w:gridSpan w:val="24"/>
          </w:tcPr>
          <w:p>
            <w:pPr>
              <w:spacing w:after="0" w:line="196" w:lineRule="exact"/>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Condensed Consolidated Statements of Comprehensive Loss for the Three Months Ended March 31, 2019 and 2018 (Unaudited)</w:t>
              </w:r>
            </w:hyperlink>
          </w:p>
        </w:tc>
        <w:tc>
          <w:tcPr>
            <w:tcW w:w="4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9280" w:type="dxa"/>
            <w:vAlign w:val="bottom"/>
            <w:tcBorders>
              <w:top w:val="single" w:sz="8" w:color="0000EE"/>
            </w:tcBorders>
            <w:gridSpan w:val="23"/>
          </w:tcPr>
          <w:p>
            <w:pPr>
              <w:spacing w:after="0" w:line="196" w:lineRule="exact"/>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Condensed Consolidated Statements of Changes in Stockholders' Equity for the Three Months Ended March 31, 2019 and 2018</w:t>
              </w:r>
            </w:hyperlink>
          </w:p>
        </w:tc>
        <w:tc>
          <w:tcPr>
            <w:tcW w:w="7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880" w:type="dxa"/>
            <w:vAlign w:val="bottom"/>
            <w:tcBorders>
              <w:top w:val="single" w:sz="8" w:color="0000EE"/>
              <w:bottom w:val="single" w:sz="8" w:color="0000EE"/>
            </w:tcBorders>
            <w:gridSpan w:val="4"/>
          </w:tcPr>
          <w:p>
            <w:pPr>
              <w:spacing w:after="0" w:line="196" w:lineRule="exact"/>
              <w:rPr>
                <w:rFonts w:ascii="Times New Roman" w:cs="Times New Roman" w:eastAsia="Times New Roman" w:hAnsi="Times New Roman"/>
                <w:sz w:val="18"/>
                <w:szCs w:val="18"/>
                <w:color w:val="0000EE"/>
                <w:w w:val="98"/>
              </w:rPr>
            </w:pPr>
            <w:hyperlink w:anchor="page6">
              <w:r>
                <w:rPr>
                  <w:rFonts w:ascii="Times New Roman" w:cs="Times New Roman" w:eastAsia="Times New Roman" w:hAnsi="Times New Roman"/>
                  <w:sz w:val="18"/>
                  <w:szCs w:val="18"/>
                  <w:color w:val="0000EE"/>
                  <w:w w:val="98"/>
                </w:rPr>
                <w:t>(Unaudited)</w:t>
              </w:r>
            </w:hyperlink>
          </w:p>
        </w:tc>
        <w:tc>
          <w:tcPr>
            <w:tcW w:w="8100" w:type="dxa"/>
            <w:vAlign w:val="bottom"/>
            <w:tcBorders>
              <w:top w:val="single" w:sz="8" w:color="0000EE"/>
            </w:tcBorders>
            <w:gridSpan w:val="17"/>
          </w:tcPr>
          <w:p>
            <w:pPr>
              <w:spacing w:after="0"/>
              <w:rPr>
                <w:sz w:val="17"/>
                <w:szCs w:val="17"/>
                <w:color w:val="auto"/>
              </w:rPr>
            </w:pPr>
          </w:p>
        </w:tc>
        <w:tc>
          <w:tcPr>
            <w:tcW w:w="860" w:type="dxa"/>
            <w:vAlign w:val="bottom"/>
            <w:gridSpan w:val="2"/>
          </w:tcPr>
          <w:p>
            <w:pPr>
              <w:spacing w:after="0"/>
              <w:rPr>
                <w:sz w:val="17"/>
                <w:szCs w:val="17"/>
                <w:color w:val="auto"/>
              </w:rPr>
            </w:pPr>
          </w:p>
        </w:tc>
        <w:tc>
          <w:tcPr>
            <w:tcW w:w="4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8620" w:type="dxa"/>
            <w:vAlign w:val="bottom"/>
            <w:tcBorders>
              <w:bottom w:val="single" w:sz="8" w:color="0000EE"/>
            </w:tcBorders>
            <w:gridSpan w:val="21"/>
          </w:tcPr>
          <w:p>
            <w:pPr>
              <w:spacing w:after="0" w:line="196" w:lineRule="exact"/>
              <w:rPr>
                <w:rFonts w:ascii="Times New Roman" w:cs="Times New Roman" w:eastAsia="Times New Roman" w:hAnsi="Times New Roman"/>
                <w:sz w:val="18"/>
                <w:szCs w:val="18"/>
                <w:color w:val="0000EE"/>
                <w:w w:val="99"/>
              </w:rPr>
            </w:pPr>
            <w:hyperlink w:anchor="page7">
              <w:r>
                <w:rPr>
                  <w:rFonts w:ascii="Times New Roman" w:cs="Times New Roman" w:eastAsia="Times New Roman" w:hAnsi="Times New Roman"/>
                  <w:sz w:val="18"/>
                  <w:szCs w:val="18"/>
                  <w:color w:val="0000EE"/>
                  <w:w w:val="99"/>
                </w:rPr>
                <w:t>Condensed Consolidated Statements of Cash Flows for the Three Months Ended March 31, 2019 and 2018 (Unaudited)</w:t>
              </w:r>
            </w:hyperlink>
          </w:p>
        </w:tc>
        <w:tc>
          <w:tcPr>
            <w:tcW w:w="1440" w:type="dxa"/>
            <w:vAlign w:val="bottom"/>
            <w:gridSpan w:val="3"/>
          </w:tcPr>
          <w:p>
            <w:pPr>
              <w:spacing w:after="0"/>
              <w:rPr>
                <w:sz w:val="17"/>
                <w:szCs w:val="17"/>
                <w:color w:val="auto"/>
              </w:rPr>
            </w:pPr>
          </w:p>
        </w:tc>
        <w:tc>
          <w:tcPr>
            <w:tcW w:w="4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060" w:type="dxa"/>
            <w:vAlign w:val="bottom"/>
            <w:gridSpan w:val="24"/>
          </w:tcPr>
          <w:p>
            <w:pPr>
              <w:spacing w:after="0" w:line="196" w:lineRule="exact"/>
              <w:rPr>
                <w:rFonts w:ascii="Times New Roman" w:cs="Times New Roman" w:eastAsia="Times New Roman" w:hAnsi="Times New Roman"/>
                <w:sz w:val="18"/>
                <w:szCs w:val="18"/>
                <w:color w:val="0000EE"/>
              </w:rPr>
            </w:pPr>
            <w:hyperlink w:anchor="page8">
              <w:r>
                <w:rPr>
                  <w:rFonts w:ascii="Times New Roman" w:cs="Times New Roman" w:eastAsia="Times New Roman" w:hAnsi="Times New Roman"/>
                  <w:sz w:val="18"/>
                  <w:szCs w:val="18"/>
                  <w:color w:val="0000EE"/>
                </w:rPr>
                <w:t>Notes to the Condensed Consolidated Financial Statements (Unaudited)</w:t>
              </w:r>
            </w:hyperlink>
          </w:p>
        </w:tc>
        <w:tc>
          <w:tcPr>
            <w:tcW w:w="4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3600" w:type="dxa"/>
            <w:vAlign w:val="bottom"/>
            <w:gridSpan w:val="6"/>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10060" w:type="dxa"/>
            <w:vAlign w:val="bottom"/>
            <w:gridSpan w:val="24"/>
          </w:tcPr>
          <w:p>
            <w:pPr>
              <w:spacing w:after="0" w:line="196" w:lineRule="exact"/>
              <w:rPr>
                <w:rFonts w:ascii="Times New Roman" w:cs="Times New Roman" w:eastAsia="Times New Roman" w:hAnsi="Times New Roman"/>
                <w:sz w:val="18"/>
                <w:szCs w:val="18"/>
                <w:color w:val="0000EE"/>
              </w:rPr>
            </w:pPr>
            <w:hyperlink w:anchor="page22">
              <w:r>
                <w:rPr>
                  <w:rFonts w:ascii="Times New Roman" w:cs="Times New Roman" w:eastAsia="Times New Roman" w:hAnsi="Times New Roman"/>
                  <w:sz w:val="18"/>
                  <w:szCs w:val="18"/>
                  <w:color w:val="0000EE"/>
                </w:rPr>
                <w:t>Management’s Discussion and Analysis of Financial Condition and Results of Operations</w:t>
              </w:r>
            </w:hyperlink>
          </w:p>
        </w:tc>
        <w:tc>
          <w:tcPr>
            <w:tcW w:w="4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4380" w:type="dxa"/>
            <w:vAlign w:val="bottom"/>
            <w:tcBorders>
              <w:top w:val="single" w:sz="8" w:color="0000EE"/>
              <w:bottom w:val="single" w:sz="8" w:color="0000EE"/>
            </w:tcBorders>
            <w:gridSpan w:val="14"/>
          </w:tcPr>
          <w:p>
            <w:pPr>
              <w:spacing w:after="0" w:line="196" w:lineRule="exact"/>
              <w:rPr>
                <w:rFonts w:ascii="Times New Roman" w:cs="Times New Roman" w:eastAsia="Times New Roman" w:hAnsi="Times New Roman"/>
                <w:sz w:val="18"/>
                <w:szCs w:val="18"/>
                <w:color w:val="0000EE"/>
                <w:w w:val="99"/>
              </w:rPr>
            </w:pPr>
            <w:hyperlink w:anchor="page36">
              <w:r>
                <w:rPr>
                  <w:rFonts w:ascii="Times New Roman" w:cs="Times New Roman" w:eastAsia="Times New Roman" w:hAnsi="Times New Roman"/>
                  <w:sz w:val="18"/>
                  <w:szCs w:val="18"/>
                  <w:color w:val="0000EE"/>
                  <w:w w:val="99"/>
                </w:rPr>
                <w:t>Quantitative and Qualitative Disclosures About Market Risk</w:t>
              </w:r>
            </w:hyperlink>
          </w:p>
        </w:tc>
        <w:tc>
          <w:tcPr>
            <w:tcW w:w="2080" w:type="dxa"/>
            <w:vAlign w:val="bottom"/>
            <w:tcBorders>
              <w:top w:val="single" w:sz="8" w:color="0000EE"/>
            </w:tcBorders>
            <w:gridSpan w:val="4"/>
          </w:tcPr>
          <w:p>
            <w:pPr>
              <w:spacing w:after="0"/>
              <w:rPr>
                <w:sz w:val="17"/>
                <w:szCs w:val="17"/>
                <w:color w:val="auto"/>
              </w:rPr>
            </w:pPr>
          </w:p>
        </w:tc>
        <w:tc>
          <w:tcPr>
            <w:tcW w:w="3600" w:type="dxa"/>
            <w:vAlign w:val="bottom"/>
            <w:gridSpan w:val="6"/>
          </w:tcPr>
          <w:p>
            <w:pPr>
              <w:spacing w:after="0"/>
              <w:rPr>
                <w:sz w:val="17"/>
                <w:szCs w:val="17"/>
                <w:color w:val="auto"/>
              </w:rPr>
            </w:pPr>
          </w:p>
        </w:tc>
        <w:tc>
          <w:tcPr>
            <w:tcW w:w="4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10060" w:type="dxa"/>
            <w:vAlign w:val="bottom"/>
            <w:gridSpan w:val="24"/>
          </w:tcPr>
          <w:p>
            <w:pPr>
              <w:spacing w:after="0" w:line="196" w:lineRule="exact"/>
              <w:rPr>
                <w:rFonts w:ascii="Times New Roman" w:cs="Times New Roman" w:eastAsia="Times New Roman" w:hAnsi="Times New Roman"/>
                <w:sz w:val="18"/>
                <w:szCs w:val="18"/>
                <w:color w:val="0000EE"/>
              </w:rPr>
            </w:pPr>
            <w:hyperlink w:anchor="page36">
              <w:r>
                <w:rPr>
                  <w:rFonts w:ascii="Times New Roman" w:cs="Times New Roman" w:eastAsia="Times New Roman" w:hAnsi="Times New Roman"/>
                  <w:sz w:val="18"/>
                  <w:szCs w:val="18"/>
                  <w:color w:val="0000EE"/>
                </w:rPr>
                <w:t>Controls and Procedures</w:t>
              </w:r>
            </w:hyperlink>
          </w:p>
        </w:tc>
        <w:tc>
          <w:tcPr>
            <w:tcW w:w="4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318"/>
        </w:trPr>
        <w:tc>
          <w:tcPr>
            <w:tcW w:w="920" w:type="dxa"/>
            <w:vAlign w:val="bottom"/>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980" w:type="dxa"/>
            <w:vAlign w:val="bottom"/>
            <w:gridSpan w:val="13"/>
          </w:tcPr>
          <w:p>
            <w:pPr>
              <w:jc w:val="center"/>
              <w:ind w:right="4120"/>
              <w:spacing w:after="0"/>
              <w:rPr>
                <w:rFonts w:ascii="Times New Roman" w:cs="Times New Roman" w:eastAsia="Times New Roman" w:hAnsi="Times New Roman"/>
                <w:sz w:val="18"/>
                <w:szCs w:val="18"/>
                <w:b w:val="1"/>
                <w:bCs w:val="1"/>
                <w:color w:val="0000EE"/>
                <w:w w:val="98"/>
              </w:rPr>
            </w:pPr>
            <w:hyperlink w:anchor="page37">
              <w:r>
                <w:rPr>
                  <w:rFonts w:ascii="Times New Roman" w:cs="Times New Roman" w:eastAsia="Times New Roman" w:hAnsi="Times New Roman"/>
                  <w:sz w:val="18"/>
                  <w:szCs w:val="18"/>
                  <w:b w:val="1"/>
                  <w:bCs w:val="1"/>
                  <w:color w:val="0000EE"/>
                  <w:w w:val="98"/>
                </w:rPr>
                <w:t>PART II—OTHER INFORMATION</w:t>
              </w:r>
            </w:hyperlink>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3080" w:type="dxa"/>
            <w:vAlign w:val="bottom"/>
            <w:gridSpan w:val="11"/>
          </w:tcPr>
          <w:p>
            <w:pPr>
              <w:spacing w:after="0"/>
              <w:rPr>
                <w:rFonts w:ascii="Times New Roman" w:cs="Times New Roman" w:eastAsia="Times New Roman" w:hAnsi="Times New Roman"/>
                <w:sz w:val="18"/>
                <w:szCs w:val="18"/>
                <w:color w:val="0000EE"/>
              </w:rPr>
            </w:pPr>
            <w:hyperlink w:anchor="page37">
              <w:r>
                <w:rPr>
                  <w:rFonts w:ascii="Times New Roman" w:cs="Times New Roman" w:eastAsia="Times New Roman" w:hAnsi="Times New Roman"/>
                  <w:sz w:val="18"/>
                  <w:szCs w:val="18"/>
                  <w:color w:val="0000EE"/>
                </w:rPr>
                <w:t>Legal Proceedings</w:t>
              </w:r>
            </w:hyperlink>
          </w:p>
        </w:tc>
        <w:tc>
          <w:tcPr>
            <w:tcW w:w="2860" w:type="dxa"/>
            <w:vAlign w:val="bottom"/>
            <w:tcBorders>
              <w:top w:val="single" w:sz="8" w:color="0000EE"/>
            </w:tcBorders>
            <w:gridSpan w:val="5"/>
          </w:tcPr>
          <w:p>
            <w:pPr>
              <w:spacing w:after="0"/>
              <w:rPr>
                <w:sz w:val="24"/>
                <w:szCs w:val="24"/>
                <w:color w:val="auto"/>
              </w:rPr>
            </w:pPr>
          </w:p>
        </w:tc>
        <w:tc>
          <w:tcPr>
            <w:tcW w:w="4120" w:type="dxa"/>
            <w:vAlign w:val="bottom"/>
            <w:gridSpan w:val="8"/>
          </w:tcPr>
          <w:p>
            <w:pPr>
              <w:spacing w:after="0"/>
              <w:rPr>
                <w:sz w:val="24"/>
                <w:szCs w:val="24"/>
                <w:color w:val="auto"/>
              </w:rPr>
            </w:pP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920" w:type="dxa"/>
            <w:vAlign w:val="bottom"/>
            <w:tcBorders>
              <w:top w:val="single" w:sz="8" w:color="0000EE"/>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w:anchor="page37">
              <w:r>
                <w:rPr>
                  <w:rFonts w:ascii="Times New Roman" w:cs="Times New Roman" w:eastAsia="Times New Roman" w:hAnsi="Times New Roman"/>
                  <w:sz w:val="18"/>
                  <w:szCs w:val="18"/>
                  <w:color w:val="0000EE"/>
                  <w:w w:val="99"/>
                </w:rPr>
                <w:t>Risk Factors</w:t>
              </w:r>
            </w:hyperlink>
          </w:p>
        </w:tc>
        <w:tc>
          <w:tcPr>
            <w:tcW w:w="420" w:type="dxa"/>
            <w:vAlign w:val="bottom"/>
            <w:tcBorders>
              <w:top w:val="single" w:sz="8" w:color="0000EE"/>
            </w:tcBorders>
            <w:gridSpan w:val="3"/>
          </w:tcPr>
          <w:p>
            <w:pPr>
              <w:spacing w:after="0"/>
              <w:rPr>
                <w:sz w:val="17"/>
                <w:szCs w:val="17"/>
                <w:color w:val="auto"/>
              </w:rPr>
            </w:pPr>
          </w:p>
        </w:tc>
        <w:tc>
          <w:tcPr>
            <w:tcW w:w="8720" w:type="dxa"/>
            <w:vAlign w:val="bottom"/>
            <w:gridSpan w:val="17"/>
          </w:tcPr>
          <w:p>
            <w:pPr>
              <w:spacing w:after="0"/>
              <w:rPr>
                <w:sz w:val="17"/>
                <w:szCs w:val="17"/>
                <w:color w:val="auto"/>
              </w:rPr>
            </w:pPr>
          </w:p>
        </w:tc>
        <w:tc>
          <w:tcPr>
            <w:tcW w:w="4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436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w w:val="99"/>
              </w:rPr>
            </w:pPr>
            <w:hyperlink w:anchor="page79">
              <w:r>
                <w:rPr>
                  <w:rFonts w:ascii="Times New Roman" w:cs="Times New Roman" w:eastAsia="Times New Roman" w:hAnsi="Times New Roman"/>
                  <w:sz w:val="18"/>
                  <w:szCs w:val="18"/>
                  <w:color w:val="0000EE"/>
                  <w:w w:val="99"/>
                </w:rPr>
                <w:t>Unregistered Sales of Equity Securities and Use of Proceeds</w:t>
              </w:r>
            </w:hyperlink>
          </w:p>
        </w:tc>
        <w:tc>
          <w:tcPr>
            <w:tcW w:w="5700" w:type="dxa"/>
            <w:vAlign w:val="bottom"/>
            <w:gridSpan w:val="11"/>
          </w:tcPr>
          <w:p>
            <w:pPr>
              <w:spacing w:after="0"/>
              <w:rPr>
                <w:sz w:val="17"/>
                <w:szCs w:val="17"/>
                <w:color w:val="auto"/>
              </w:rPr>
            </w:pPr>
          </w:p>
        </w:tc>
        <w:tc>
          <w:tcPr>
            <w:tcW w:w="4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234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w:anchor="page79">
              <w:r>
                <w:rPr>
                  <w:rFonts w:ascii="Times New Roman" w:cs="Times New Roman" w:eastAsia="Times New Roman" w:hAnsi="Times New Roman"/>
                  <w:sz w:val="18"/>
                  <w:szCs w:val="18"/>
                  <w:color w:val="0000EE"/>
                  <w:w w:val="99"/>
                </w:rPr>
                <w:t>Defaults Upon Senior Securities</w:t>
              </w:r>
            </w:hyperlink>
          </w:p>
        </w:tc>
        <w:tc>
          <w:tcPr>
            <w:tcW w:w="7720" w:type="dxa"/>
            <w:vAlign w:val="bottom"/>
            <w:gridSpan w:val="15"/>
          </w:tcPr>
          <w:p>
            <w:pPr>
              <w:spacing w:after="0"/>
              <w:rPr>
                <w:sz w:val="17"/>
                <w:szCs w:val="17"/>
                <w:color w:val="auto"/>
              </w:rPr>
            </w:pPr>
          </w:p>
        </w:tc>
        <w:tc>
          <w:tcPr>
            <w:tcW w:w="4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w:anchor="page79">
              <w:r>
                <w:rPr>
                  <w:rFonts w:ascii="Times New Roman" w:cs="Times New Roman" w:eastAsia="Times New Roman" w:hAnsi="Times New Roman"/>
                  <w:sz w:val="18"/>
                  <w:szCs w:val="18"/>
                  <w:color w:val="0000EE"/>
                  <w:w w:val="99"/>
                </w:rPr>
                <w:t>Mine Safety Disclosures</w:t>
              </w:r>
            </w:hyperlink>
          </w:p>
        </w:tc>
        <w:tc>
          <w:tcPr>
            <w:tcW w:w="8280" w:type="dxa"/>
            <w:vAlign w:val="bottom"/>
            <w:gridSpan w:val="16"/>
          </w:tcPr>
          <w:p>
            <w:pPr>
              <w:spacing w:after="0"/>
              <w:rPr>
                <w:sz w:val="17"/>
                <w:szCs w:val="17"/>
                <w:color w:val="auto"/>
              </w:rPr>
            </w:pPr>
          </w:p>
        </w:tc>
        <w:tc>
          <w:tcPr>
            <w:tcW w:w="4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5.</w:t>
            </w:r>
          </w:p>
        </w:tc>
        <w:tc>
          <w:tcPr>
            <w:tcW w:w="10060" w:type="dxa"/>
            <w:vAlign w:val="bottom"/>
            <w:gridSpan w:val="24"/>
          </w:tcPr>
          <w:p>
            <w:pPr>
              <w:spacing w:after="0" w:line="196" w:lineRule="exact"/>
              <w:rPr>
                <w:rFonts w:ascii="Times New Roman" w:cs="Times New Roman" w:eastAsia="Times New Roman" w:hAnsi="Times New Roman"/>
                <w:sz w:val="18"/>
                <w:szCs w:val="18"/>
                <w:color w:val="0000EE"/>
              </w:rPr>
            </w:pPr>
            <w:hyperlink w:anchor="page79">
              <w:r>
                <w:rPr>
                  <w:rFonts w:ascii="Times New Roman" w:cs="Times New Roman" w:eastAsia="Times New Roman" w:hAnsi="Times New Roman"/>
                  <w:sz w:val="18"/>
                  <w:szCs w:val="18"/>
                  <w:color w:val="0000EE"/>
                </w:rPr>
                <w:t>Other Information</w:t>
              </w:r>
            </w:hyperlink>
          </w:p>
        </w:tc>
        <w:tc>
          <w:tcPr>
            <w:tcW w:w="4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1320" w:type="dxa"/>
            <w:vAlign w:val="bottom"/>
            <w:tcBorders>
              <w:top w:val="single" w:sz="8" w:color="0000EE"/>
            </w:tcBorders>
            <w:gridSpan w:val="6"/>
          </w:tcPr>
          <w:p>
            <w:pPr>
              <w:spacing w:after="0" w:line="196" w:lineRule="exact"/>
              <w:rPr>
                <w:rFonts w:ascii="Times New Roman" w:cs="Times New Roman" w:eastAsia="Times New Roman" w:hAnsi="Times New Roman"/>
                <w:sz w:val="18"/>
                <w:szCs w:val="18"/>
                <w:color w:val="0000EE"/>
              </w:rPr>
            </w:pPr>
            <w:hyperlink w:anchor="page80">
              <w:r>
                <w:rPr>
                  <w:rFonts w:ascii="Times New Roman" w:cs="Times New Roman" w:eastAsia="Times New Roman" w:hAnsi="Times New Roman"/>
                  <w:sz w:val="18"/>
                  <w:szCs w:val="18"/>
                  <w:color w:val="0000EE"/>
                </w:rPr>
                <w:t>Exhibits</w:t>
              </w:r>
            </w:hyperlink>
          </w:p>
        </w:tc>
        <w:tc>
          <w:tcPr>
            <w:tcW w:w="8740" w:type="dxa"/>
            <w:vAlign w:val="bottom"/>
            <w:gridSpan w:val="18"/>
          </w:tcPr>
          <w:p>
            <w:pPr>
              <w:spacing w:after="0"/>
              <w:rPr>
                <w:sz w:val="17"/>
                <w:szCs w:val="17"/>
                <w:color w:val="auto"/>
              </w:rPr>
            </w:pPr>
          </w:p>
        </w:tc>
        <w:tc>
          <w:tcPr>
            <w:tcW w:w="4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300" w:type="dxa"/>
            <w:vAlign w:val="bottom"/>
            <w:gridSpan w:val="21"/>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0060" w:type="dxa"/>
            <w:vAlign w:val="bottom"/>
            <w:gridSpan w:val="24"/>
          </w:tcPr>
          <w:p>
            <w:pPr>
              <w:spacing w:after="0" w:line="196" w:lineRule="exact"/>
              <w:rPr>
                <w:rFonts w:ascii="Times New Roman" w:cs="Times New Roman" w:eastAsia="Times New Roman" w:hAnsi="Times New Roman"/>
                <w:sz w:val="18"/>
                <w:szCs w:val="18"/>
                <w:color w:val="0000EE"/>
              </w:rPr>
            </w:pPr>
            <w:hyperlink w:anchor="page81">
              <w:r>
                <w:rPr>
                  <w:rFonts w:ascii="Times New Roman" w:cs="Times New Roman" w:eastAsia="Times New Roman" w:hAnsi="Times New Roman"/>
                  <w:sz w:val="18"/>
                  <w:szCs w:val="18"/>
                  <w:color w:val="0000EE"/>
                </w:rPr>
                <w:t>Signatures</w:t>
              </w:r>
            </w:hyperlink>
          </w:p>
        </w:tc>
        <w:tc>
          <w:tcPr>
            <w:tcW w:w="4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669"/>
        </w:trPr>
        <w:tc>
          <w:tcPr>
            <w:tcW w:w="920" w:type="dxa"/>
            <w:vAlign w:val="bottom"/>
          </w:tcPr>
          <w:p>
            <w:pPr>
              <w:spacing w:after="0"/>
              <w:rPr>
                <w:sz w:val="24"/>
                <w:szCs w:val="24"/>
                <w:color w:val="auto"/>
              </w:rPr>
            </w:pPr>
          </w:p>
        </w:tc>
        <w:tc>
          <w:tcPr>
            <w:tcW w:w="760" w:type="dxa"/>
            <w:vAlign w:val="bottom"/>
            <w:tcBorders>
              <w:top w:val="single" w:sz="8" w:color="0000EE"/>
            </w:tcBorders>
            <w:gridSpan w:val="3"/>
          </w:tcPr>
          <w:p>
            <w:pPr>
              <w:spacing w:after="0"/>
              <w:rPr>
                <w:sz w:val="24"/>
                <w:szCs w:val="24"/>
                <w:color w:val="auto"/>
              </w:rPr>
            </w:pPr>
          </w:p>
        </w:tc>
        <w:tc>
          <w:tcPr>
            <w:tcW w:w="4420" w:type="dxa"/>
            <w:vAlign w:val="bottom"/>
            <w:gridSpan w:val="12"/>
          </w:tcPr>
          <w:p>
            <w:pPr>
              <w:jc w:val="right"/>
              <w:ind w:right="340"/>
              <w:spacing w:after="0"/>
              <w:rPr>
                <w:sz w:val="20"/>
                <w:szCs w:val="20"/>
                <w:color w:val="auto"/>
              </w:rPr>
            </w:pPr>
            <w:r>
              <w:rPr>
                <w:rFonts w:ascii="Times New Roman" w:cs="Times New Roman" w:eastAsia="Times New Roman" w:hAnsi="Times New Roman"/>
                <w:sz w:val="18"/>
                <w:szCs w:val="18"/>
                <w:color w:val="auto"/>
              </w:rPr>
              <w:t>1</w:t>
            </w: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9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31" w:right="219" w:bottom="1440" w:gutter="0" w:footer="0" w:header="0"/>
        </w:sectPr>
      </w:pPr>
    </w:p>
    <w:bookmarkStart w:id="2" w:name="page3"/>
    <w:bookmarkEnd w:id="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35"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b w:val="1"/>
          <w:bCs w:val="1"/>
          <w:color w:val="auto"/>
        </w:rPr>
        <w:t>FIBROGEN, INC.</w:t>
      </w:r>
    </w:p>
    <w:p>
      <w:pPr>
        <w:spacing w:after="0" w:line="117"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CONDENSED CONSOLIDATED FINANCIAL STATEMENTS</w:t>
      </w:r>
    </w:p>
    <w:p>
      <w:pPr>
        <w:spacing w:after="0" w:line="117"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8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6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March 31, 2019</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9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38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4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18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81,673</w:t>
            </w:r>
          </w:p>
        </w:tc>
        <w:tc>
          <w:tcPr>
            <w:tcW w:w="18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89,258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Short-term investments</w:t>
            </w: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483,726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532,144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Accounts receivable ($3,898 and $47,210 from a related party)</w:t>
            </w:r>
          </w:p>
        </w:tc>
        <w:tc>
          <w:tcPr>
            <w:tcW w:w="9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6,023</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63,684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60" w:type="dxa"/>
            <w:vAlign w:val="bottom"/>
            <w:tcBorders>
              <w:bottom w:val="single" w:sz="8" w:color="CFF0FC"/>
            </w:tcBorders>
          </w:tcPr>
          <w:p>
            <w:pPr>
              <w:ind w:left="2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9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7,578</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4,929</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6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Total current assets</w:t>
            </w:r>
          </w:p>
        </w:tc>
        <w:tc>
          <w:tcPr>
            <w:tcW w:w="9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579,000</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690,015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68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Restricted time deposits</w:t>
            </w:r>
          </w:p>
        </w:tc>
        <w:tc>
          <w:tcPr>
            <w:tcW w:w="9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4,145</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4,145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Long-term investments</w:t>
            </w: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132,203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9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45,828</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127,198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Finance lease right-of-use assets</w:t>
            </w: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47,029</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9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4,192</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3,420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860" w:type="dxa"/>
            <w:vAlign w:val="bottom"/>
            <w:tcBorders>
              <w:bottom w:val="single" w:sz="8" w:color="CFF0FC"/>
            </w:tcBorders>
          </w:tcPr>
          <w:p>
            <w:pPr>
              <w:ind w:left="48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980" w:type="dxa"/>
            <w:vAlign w:val="bottom"/>
            <w:tcBorders>
              <w:bottom w:val="single" w:sz="8" w:color="CFF0FC"/>
            </w:tcBorders>
          </w:tcPr>
          <w:p>
            <w:pPr>
              <w:spacing w:after="0"/>
              <w:rPr>
                <w:sz w:val="22"/>
                <w:szCs w:val="22"/>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812,397</w:t>
            </w:r>
          </w:p>
        </w:tc>
        <w:tc>
          <w:tcPr>
            <w:tcW w:w="180" w:type="dxa"/>
            <w:vAlign w:val="bottom"/>
            <w:tcBorders>
              <w:bottom w:val="single" w:sz="8" w:color="CFF0FC"/>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880,598</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8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 stockholders’ equity and non-controlling interests</w:t>
            </w: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9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Accounts payable</w:t>
            </w:r>
          </w:p>
        </w:tc>
        <w:tc>
          <w:tcPr>
            <w:tcW w:w="11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3,772</w:t>
            </w:r>
          </w:p>
        </w:tc>
        <w:tc>
          <w:tcPr>
            <w:tcW w:w="180" w:type="dxa"/>
            <w:vAlign w:val="bottom"/>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Accrued and other current liabilities ($519 and $444 to a related party)</w:t>
            </w:r>
          </w:p>
        </w:tc>
        <w:tc>
          <w:tcPr>
            <w:tcW w:w="9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66,278</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66,123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Deferred revenue</w:t>
            </w: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12,104</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13,771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Finance lease liabilities, current</w:t>
            </w:r>
          </w:p>
        </w:tc>
        <w:tc>
          <w:tcPr>
            <w:tcW w:w="9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11,766</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9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93,920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89,033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68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Long-term portion of lease obligations</w:t>
            </w: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97,157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Product development obligations</w:t>
            </w:r>
          </w:p>
        </w:tc>
        <w:tc>
          <w:tcPr>
            <w:tcW w:w="9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16,545</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16,798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Deferred rent</w:t>
            </w: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revenue, net of current</w:t>
            </w:r>
          </w:p>
        </w:tc>
        <w:tc>
          <w:tcPr>
            <w:tcW w:w="9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135,196</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136,109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Finance lease liabilities, non-current</w:t>
            </w: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46,818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9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9,981</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9,993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liabilities</w:t>
            </w: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303,903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352,128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68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68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8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Preferred stock, $0.01 par value; 125,000 shares authorized; no shares issued</w:t>
            </w:r>
          </w:p>
        </w:tc>
        <w:tc>
          <w:tcPr>
            <w:tcW w:w="9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86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and outstanding at March 31, 2019 and December 31, 2018</w:t>
            </w:r>
          </w:p>
        </w:tc>
        <w:tc>
          <w:tcPr>
            <w:tcW w:w="9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5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5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Common stock, $0.01 par value; 225,000 shares authorized at March 31, 2019</w:t>
            </w: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and December 31, 2018; 86,130 and 85,432 shares issued and outstanding at</w:t>
            </w: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8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March 31, 2019 and December 31, 2018</w:t>
            </w: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861</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9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1,242,460</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1,226,453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(937)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(2,281)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Accumulated deficit</w:t>
            </w:r>
          </w:p>
        </w:tc>
        <w:tc>
          <w:tcPr>
            <w:tcW w:w="9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(753,161)</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(715,827)</w:t>
            </w:r>
          </w:p>
        </w:tc>
        <w:tc>
          <w:tcPr>
            <w:tcW w:w="0" w:type="dxa"/>
            <w:vAlign w:val="bottom"/>
          </w:tcPr>
          <w:p>
            <w:pPr>
              <w:spacing w:after="0"/>
              <w:rPr>
                <w:sz w:val="1"/>
                <w:szCs w:val="1"/>
                <w:color w:val="auto"/>
              </w:rPr>
            </w:pPr>
          </w:p>
        </w:tc>
      </w:tr>
      <w:tr>
        <w:trPr>
          <w:trHeight w:val="223"/>
        </w:trPr>
        <w:tc>
          <w:tcPr>
            <w:tcW w:w="6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9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489,223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509,199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9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19,271</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19,271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equity</w:t>
            </w: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508,494</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528,470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6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liabilities, stockholders’ equity and non-controlling interests</w:t>
            </w:r>
          </w:p>
        </w:tc>
        <w:tc>
          <w:tcPr>
            <w:tcW w:w="98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812,397</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880,598</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ectPr>
          <w:pgSz w:w="11900" w:h="16838" w:orient="portrait"/>
          <w:cols w:equalWidth="0" w:num="1">
            <w:col w:w="11420"/>
          </w:cols>
          <w:pgMar w:left="240" w:top="121" w:right="239" w:bottom="1440" w:gutter="0" w:footer="0" w:header="0"/>
        </w:sect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3" w:name="page4"/>
    <w:bookmarkEnd w:id="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FIBROGEN,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7720" w:type="dxa"/>
            <w:vAlign w:val="bottom"/>
          </w:tcPr>
          <w:p>
            <w:pPr>
              <w:spacing w:after="0"/>
              <w:rPr>
                <w:sz w:val="15"/>
                <w:szCs w:val="15"/>
                <w:color w:val="auto"/>
              </w:rPr>
            </w:pPr>
          </w:p>
        </w:tc>
        <w:tc>
          <w:tcPr>
            <w:tcW w:w="2940" w:type="dxa"/>
            <w:vAlign w:val="bottom"/>
            <w:tcBorders>
              <w:bottom w:val="single" w:sz="8" w:color="auto"/>
            </w:tcBorders>
            <w:gridSpan w:val="5"/>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720" w:type="dxa"/>
            <w:vAlign w:val="bottom"/>
          </w:tcPr>
          <w:p>
            <w:pPr>
              <w:spacing w:after="0"/>
              <w:rPr>
                <w:sz w:val="13"/>
                <w:szCs w:val="13"/>
                <w:color w:val="auto"/>
              </w:rPr>
            </w:pPr>
          </w:p>
        </w:tc>
        <w:tc>
          <w:tcPr>
            <w:tcW w:w="10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00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License revenue</w:t>
            </w:r>
          </w:p>
        </w:tc>
        <w:tc>
          <w:tcPr>
            <w:tcW w:w="1000" w:type="dxa"/>
            <w:vAlign w:val="bottom"/>
          </w:tcPr>
          <w:p>
            <w:pPr>
              <w:jc w:val="right"/>
              <w:ind w:right="817"/>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7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Development and other revenue (includes $4,859 and $5,172</w:t>
            </w:r>
          </w:p>
        </w:tc>
        <w:tc>
          <w:tcPr>
            <w:tcW w:w="10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72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from a related party)</w:t>
            </w:r>
          </w:p>
        </w:tc>
        <w:tc>
          <w:tcPr>
            <w:tcW w:w="1000" w:type="dxa"/>
            <w:vAlign w:val="bottom"/>
            <w:tcBorders>
              <w:bottom w:val="single" w:sz="8" w:color="auto"/>
            </w:tcBorders>
            <w:shd w:val="clear" w:color="auto" w:fill="CFF0FC"/>
          </w:tcPr>
          <w:p>
            <w:pPr>
              <w:spacing w:after="0"/>
              <w:rPr>
                <w:sz w:val="20"/>
                <w:szCs w:val="20"/>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23,863</w:t>
            </w:r>
          </w:p>
        </w:tc>
        <w:tc>
          <w:tcPr>
            <w:tcW w:w="1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spacing w:after="0"/>
              <w:rPr>
                <w:sz w:val="20"/>
                <w:szCs w:val="20"/>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31,925</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revenue</w:t>
            </w:r>
          </w:p>
        </w:tc>
        <w:tc>
          <w:tcPr>
            <w:tcW w:w="10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23,863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31,925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77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0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50,496</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56,974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20" w:type="dxa"/>
            <w:vAlign w:val="bottom"/>
            <w:tcBorders>
              <w:bottom w:val="single" w:sz="8" w:color="CFF0FC"/>
            </w:tcBorders>
          </w:tcPr>
          <w:p>
            <w:pPr>
              <w:ind w:left="2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0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22,210</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15,550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2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0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72,706</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72,524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10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(48,843)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(40,599)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77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Interest and other, net</w:t>
            </w:r>
          </w:p>
        </w:tc>
        <w:tc>
          <w:tcPr>
            <w:tcW w:w="10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Interest expense</w:t>
            </w:r>
          </w:p>
        </w:tc>
        <w:tc>
          <w:tcPr>
            <w:tcW w:w="100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(770)</w:t>
            </w: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(2,769)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20" w:type="dxa"/>
            <w:vAlign w:val="bottom"/>
            <w:tcBorders>
              <w:bottom w:val="single" w:sz="8" w:color="CFF0FC"/>
            </w:tcBorders>
          </w:tcPr>
          <w:p>
            <w:pPr>
              <w:ind w:left="240"/>
              <w:spacing w:after="0"/>
              <w:rPr>
                <w:sz w:val="20"/>
                <w:szCs w:val="20"/>
                <w:color w:val="auto"/>
              </w:rPr>
            </w:pPr>
            <w:r>
              <w:rPr>
                <w:rFonts w:ascii="Times New Roman" w:cs="Times New Roman" w:eastAsia="Times New Roman" w:hAnsi="Times New Roman"/>
                <w:sz w:val="18"/>
                <w:szCs w:val="18"/>
                <w:color w:val="auto"/>
              </w:rPr>
              <w:t>Interest income and other, net</w:t>
            </w:r>
          </w:p>
        </w:tc>
        <w:tc>
          <w:tcPr>
            <w:tcW w:w="10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4,177</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2,071</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2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Total interest and other, net</w:t>
            </w:r>
          </w:p>
        </w:tc>
        <w:tc>
          <w:tcPr>
            <w:tcW w:w="100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3,407</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77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Loss before income taxes</w:t>
            </w:r>
          </w:p>
        </w:tc>
        <w:tc>
          <w:tcPr>
            <w:tcW w:w="100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(45,436)</w:t>
            </w: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(41,297)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100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2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000" w:type="dxa"/>
            <w:vAlign w:val="bottom"/>
            <w:tcBorders>
              <w:top w:val="single" w:sz="8" w:color="auto"/>
              <w:bottom w:val="single" w:sz="8" w:color="auto"/>
            </w:tcBorders>
            <w:shd w:val="clear" w:color="auto" w:fill="CFF0FC"/>
          </w:tcPr>
          <w:p>
            <w:pPr>
              <w:jc w:val="right"/>
              <w:ind w:right="817"/>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7"/>
              </w:rPr>
              <w:t>(45,411)</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7"/>
              </w:rPr>
              <w:t>(41,396)</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77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per share - basic and diluted</w:t>
            </w:r>
          </w:p>
        </w:tc>
        <w:tc>
          <w:tcPr>
            <w:tcW w:w="1000" w:type="dxa"/>
            <w:vAlign w:val="bottom"/>
            <w:shd w:val="clear" w:color="auto" w:fill="CFF0FC"/>
          </w:tcPr>
          <w:p>
            <w:pPr>
              <w:jc w:val="right"/>
              <w:ind w:right="817"/>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(0.53)</w:t>
            </w:r>
          </w:p>
        </w:tc>
        <w:tc>
          <w:tcPr>
            <w:tcW w:w="1140" w:type="dxa"/>
            <w:vAlign w:val="bottom"/>
            <w:gridSpan w:val="2"/>
            <w:shd w:val="clear" w:color="auto" w:fill="CFF0FC"/>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(0.50)</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number of common shares used to calculate</w:t>
            </w:r>
          </w:p>
        </w:tc>
        <w:tc>
          <w:tcPr>
            <w:tcW w:w="10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loss per share - basic and diluted</w:t>
            </w:r>
          </w:p>
        </w:tc>
        <w:tc>
          <w:tcPr>
            <w:tcW w:w="10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85,704</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82,863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 w:name="page5"/>
    <w:bookmarkEnd w:id="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FIBROGEN,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LOSS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0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3020" w:type="dxa"/>
            <w:vAlign w:val="bottom"/>
            <w:tcBorders>
              <w:bottom w:val="single" w:sz="8" w:color="auto"/>
            </w:tcBorders>
            <w:gridSpan w:val="5"/>
          </w:tcPr>
          <w:p>
            <w:pPr>
              <w:jc w:val="right"/>
              <w:ind w:right="165"/>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56"/>
        </w:trPr>
        <w:tc>
          <w:tcPr>
            <w:tcW w:w="604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04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gridSpan w:val="2"/>
          </w:tcPr>
          <w:p>
            <w:pPr>
              <w:jc w:val="right"/>
              <w:ind w:right="5"/>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23"/>
        </w:trPr>
        <w:tc>
          <w:tcPr>
            <w:tcW w:w="60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60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ind w:right="882"/>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(45,411)</w:t>
            </w:r>
          </w:p>
        </w:tc>
        <w:tc>
          <w:tcPr>
            <w:tcW w:w="3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ind w:right="905"/>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(41,396)</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6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60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6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(527)</w:t>
            </w:r>
          </w:p>
        </w:tc>
      </w:tr>
      <w:tr>
        <w:trPr>
          <w:trHeight w:val="230"/>
        </w:trPr>
        <w:tc>
          <w:tcPr>
            <w:tcW w:w="6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Available-for-sale investments:</w:t>
            </w:r>
          </w:p>
        </w:tc>
        <w:tc>
          <w:tcPr>
            <w:tcW w:w="16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604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Unrealized gain (loss) on investments, net of tax effect</w:t>
            </w:r>
          </w:p>
        </w:tc>
        <w:tc>
          <w:tcPr>
            <w:tcW w:w="16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(50)</w:t>
            </w:r>
          </w:p>
        </w:tc>
      </w:tr>
      <w:tr>
        <w:trPr>
          <w:trHeight w:val="191"/>
        </w:trPr>
        <w:tc>
          <w:tcPr>
            <w:tcW w:w="6040" w:type="dxa"/>
            <w:vAlign w:val="bottom"/>
          </w:tcPr>
          <w:p>
            <w:pPr>
              <w:ind w:left="740"/>
              <w:spacing w:after="0" w:line="191" w:lineRule="exact"/>
              <w:rPr>
                <w:sz w:val="20"/>
                <w:szCs w:val="20"/>
                <w:color w:val="auto"/>
              </w:rPr>
            </w:pPr>
            <w:r>
              <w:rPr>
                <w:rFonts w:ascii="Times New Roman" w:cs="Times New Roman" w:eastAsia="Times New Roman" w:hAnsi="Times New Roman"/>
                <w:sz w:val="18"/>
                <w:szCs w:val="18"/>
                <w:color w:val="auto"/>
              </w:rPr>
              <w:t>Net change in unrealized gain on available-for-sale</w:t>
            </w:r>
          </w:p>
        </w:tc>
        <w:tc>
          <w:tcPr>
            <w:tcW w:w="1600" w:type="dxa"/>
            <w:vAlign w:val="bottom"/>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r>
      <w:tr>
        <w:trPr>
          <w:trHeight w:val="234"/>
        </w:trPr>
        <w:tc>
          <w:tcPr>
            <w:tcW w:w="604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investments</w:t>
            </w:r>
          </w:p>
        </w:tc>
        <w:tc>
          <w:tcPr>
            <w:tcW w:w="16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(50)</w:t>
            </w:r>
          </w:p>
        </w:tc>
      </w:tr>
      <w:tr>
        <w:trPr>
          <w:trHeight w:val="223"/>
        </w:trPr>
        <w:tc>
          <w:tcPr>
            <w:tcW w:w="60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comprehensive income (loss), net of taxes</w:t>
            </w:r>
          </w:p>
        </w:tc>
        <w:tc>
          <w:tcPr>
            <w:tcW w:w="160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spacing w:after="0"/>
              <w:rPr>
                <w:sz w:val="19"/>
                <w:szCs w:val="19"/>
                <w:color w:val="auto"/>
              </w:rPr>
            </w:pP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733</w:t>
            </w:r>
          </w:p>
        </w:tc>
        <w:tc>
          <w:tcPr>
            <w:tcW w:w="3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spacing w:after="0"/>
              <w:rPr>
                <w:sz w:val="19"/>
                <w:szCs w:val="19"/>
                <w:color w:val="auto"/>
              </w:rPr>
            </w:pP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(577)</w:t>
            </w:r>
          </w:p>
        </w:tc>
        <w:tc>
          <w:tcPr>
            <w:tcW w:w="120" w:type="dxa"/>
            <w:vAlign w:val="bottom"/>
            <w:tcBorders>
              <w:top w:val="single" w:sz="8" w:color="CFF0FC"/>
            </w:tcBorders>
            <w:shd w:val="clear" w:color="auto" w:fill="CFF0FC"/>
          </w:tcPr>
          <w:p>
            <w:pPr>
              <w:spacing w:after="0"/>
              <w:rPr>
                <w:sz w:val="19"/>
                <w:szCs w:val="19"/>
                <w:color w:val="auto"/>
              </w:rPr>
            </w:pPr>
          </w:p>
        </w:tc>
      </w:tr>
      <w:tr>
        <w:trPr>
          <w:trHeight w:val="223"/>
        </w:trPr>
        <w:tc>
          <w:tcPr>
            <w:tcW w:w="6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Comprehensive loss</w:t>
            </w:r>
          </w:p>
        </w:tc>
        <w:tc>
          <w:tcPr>
            <w:tcW w:w="1600" w:type="dxa"/>
            <w:vAlign w:val="bottom"/>
          </w:tcPr>
          <w:p>
            <w:pPr>
              <w:spacing w:after="0"/>
              <w:rPr>
                <w:sz w:val="19"/>
                <w:szCs w:val="19"/>
                <w:color w:val="auto"/>
              </w:rPr>
            </w:pPr>
          </w:p>
        </w:tc>
        <w:tc>
          <w:tcPr>
            <w:tcW w:w="1040" w:type="dxa"/>
            <w:vAlign w:val="bottom"/>
            <w:tcBorders>
              <w:bottom w:val="single" w:sz="8" w:color="auto"/>
            </w:tcBorders>
          </w:tcPr>
          <w:p>
            <w:pPr>
              <w:jc w:val="right"/>
              <w:ind w:right="882"/>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(44,678)</w:t>
            </w:r>
          </w:p>
        </w:tc>
        <w:tc>
          <w:tcPr>
            <w:tcW w:w="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905"/>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(41,973)</w:t>
            </w:r>
          </w:p>
        </w:tc>
        <w:tc>
          <w:tcPr>
            <w:tcW w:w="120" w:type="dxa"/>
            <w:vAlign w:val="bottom"/>
          </w:tcPr>
          <w:p>
            <w:pPr>
              <w:spacing w:after="0"/>
              <w:rPr>
                <w:sz w:val="19"/>
                <w:szCs w:val="19"/>
                <w:color w:val="auto"/>
              </w:rPr>
            </w:pPr>
          </w:p>
        </w:tc>
      </w:tr>
      <w:tr>
        <w:trPr>
          <w:trHeight w:val="20"/>
        </w:trPr>
        <w:tc>
          <w:tcPr>
            <w:tcW w:w="60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 w:name="page6"/>
    <w:bookmarkEnd w:id="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FIBROGEN,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STOCKHOLDERS’ EQUITY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2"/>
                <w:szCs w:val="12"/>
                <w:b w:val="1"/>
                <w:bCs w:val="1"/>
                <w:color w:val="auto"/>
                <w:w w:val="96"/>
              </w:rPr>
              <w:t>Accumulated</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gridSpan w:val="2"/>
          </w:tcPr>
          <w:p>
            <w:pPr>
              <w:jc w:val="right"/>
              <w:ind w:right="460"/>
              <w:spacing w:after="0" w:line="135" w:lineRule="exact"/>
              <w:rPr>
                <w:sz w:val="20"/>
                <w:szCs w:val="20"/>
                <w:color w:val="auto"/>
              </w:rPr>
            </w:pPr>
            <w:r>
              <w:rPr>
                <w:rFonts w:ascii="Times New Roman" w:cs="Times New Roman" w:eastAsia="Times New Roman" w:hAnsi="Times New Roman"/>
                <w:sz w:val="12"/>
                <w:szCs w:val="12"/>
                <w:b w:val="1"/>
                <w:bCs w:val="1"/>
                <w:color w:val="auto"/>
              </w:rPr>
              <w:t>Additional</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2"/>
          </w:tcPr>
          <w:p>
            <w:pPr>
              <w:jc w:val="center"/>
              <w:ind w:right="300"/>
              <w:spacing w:after="0" w:line="135" w:lineRule="exact"/>
              <w:rPr>
                <w:sz w:val="20"/>
                <w:szCs w:val="20"/>
                <w:color w:val="auto"/>
              </w:rPr>
            </w:pPr>
            <w:r>
              <w:rPr>
                <w:rFonts w:ascii="Times New Roman" w:cs="Times New Roman" w:eastAsia="Times New Roman" w:hAnsi="Times New Roman"/>
                <w:sz w:val="12"/>
                <w:szCs w:val="12"/>
                <w:b w:val="1"/>
                <w:bCs w:val="1"/>
                <w:color w:val="auto"/>
                <w:w w:val="97"/>
              </w:rPr>
              <w:t>Other</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jc w:val="center"/>
              <w:ind w:right="420"/>
              <w:spacing w:after="0" w:line="135" w:lineRule="exact"/>
              <w:rPr>
                <w:sz w:val="20"/>
                <w:szCs w:val="20"/>
                <w:color w:val="auto"/>
              </w:rPr>
            </w:pPr>
            <w:r>
              <w:rPr>
                <w:rFonts w:ascii="Times New Roman" w:cs="Times New Roman" w:eastAsia="Times New Roman" w:hAnsi="Times New Roman"/>
                <w:sz w:val="12"/>
                <w:szCs w:val="12"/>
                <w:b w:val="1"/>
                <w:bCs w:val="1"/>
                <w:color w:val="auto"/>
              </w:rPr>
              <w:t>Non</w:t>
            </w: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15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2"/>
                <w:szCs w:val="12"/>
                <w:b w:val="1"/>
                <w:bCs w:val="1"/>
                <w:color w:val="auto"/>
              </w:rPr>
              <w:t>Common Stock</w:t>
            </w:r>
          </w:p>
        </w:tc>
        <w:tc>
          <w:tcPr>
            <w:tcW w:w="76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tcPr>
          <w:p>
            <w:pPr>
              <w:jc w:val="right"/>
              <w:ind w:right="540"/>
              <w:spacing w:after="0"/>
              <w:rPr>
                <w:sz w:val="20"/>
                <w:szCs w:val="20"/>
                <w:color w:val="auto"/>
              </w:rPr>
            </w:pPr>
            <w:r>
              <w:rPr>
                <w:rFonts w:ascii="Times New Roman" w:cs="Times New Roman" w:eastAsia="Times New Roman" w:hAnsi="Times New Roman"/>
                <w:sz w:val="12"/>
                <w:szCs w:val="12"/>
                <w:b w:val="1"/>
                <w:bCs w:val="1"/>
                <w:color w:val="auto"/>
              </w:rPr>
              <w:t>Paid-in</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2"/>
                <w:szCs w:val="12"/>
                <w:b w:val="1"/>
                <w:bCs w:val="1"/>
                <w:color w:val="auto"/>
                <w:w w:val="97"/>
              </w:rPr>
              <w:t>Comprehensive</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center"/>
              <w:ind w:right="400"/>
              <w:spacing w:after="0"/>
              <w:rPr>
                <w:sz w:val="20"/>
                <w:szCs w:val="20"/>
                <w:color w:val="auto"/>
              </w:rPr>
            </w:pPr>
            <w:r>
              <w:rPr>
                <w:rFonts w:ascii="Times New Roman" w:cs="Times New Roman" w:eastAsia="Times New Roman" w:hAnsi="Times New Roman"/>
                <w:sz w:val="12"/>
                <w:szCs w:val="12"/>
                <w:b w:val="1"/>
                <w:bCs w:val="1"/>
                <w:color w:val="auto"/>
                <w:w w:val="96"/>
              </w:rPr>
              <w:t>Accumulated</w:t>
            </w:r>
          </w:p>
        </w:tc>
        <w:tc>
          <w:tcPr>
            <w:tcW w:w="140" w:type="dxa"/>
            <w:vAlign w:val="bottom"/>
          </w:tcPr>
          <w:p>
            <w:pPr>
              <w:spacing w:after="0"/>
              <w:rPr>
                <w:sz w:val="12"/>
                <w:szCs w:val="12"/>
                <w:color w:val="auto"/>
              </w:rPr>
            </w:pPr>
          </w:p>
        </w:tc>
        <w:tc>
          <w:tcPr>
            <w:tcW w:w="1160" w:type="dxa"/>
            <w:vAlign w:val="bottom"/>
            <w:gridSpan w:val="2"/>
          </w:tcPr>
          <w:p>
            <w:pPr>
              <w:jc w:val="center"/>
              <w:ind w:right="420"/>
              <w:spacing w:after="0"/>
              <w:rPr>
                <w:sz w:val="20"/>
                <w:szCs w:val="20"/>
                <w:color w:val="auto"/>
              </w:rPr>
            </w:pPr>
            <w:r>
              <w:rPr>
                <w:rFonts w:ascii="Times New Roman" w:cs="Times New Roman" w:eastAsia="Times New Roman" w:hAnsi="Times New Roman"/>
                <w:sz w:val="12"/>
                <w:szCs w:val="12"/>
                <w:b w:val="1"/>
                <w:bCs w:val="1"/>
                <w:color w:val="auto"/>
                <w:w w:val="97"/>
              </w:rPr>
              <w:t>Controlling</w:t>
            </w: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10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26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49"/>
              <w:spacing w:after="0"/>
              <w:rPr>
                <w:sz w:val="20"/>
                <w:szCs w:val="20"/>
                <w:color w:val="auto"/>
              </w:rPr>
            </w:pPr>
            <w:r>
              <w:rPr>
                <w:rFonts w:ascii="Times New Roman" w:cs="Times New Roman" w:eastAsia="Times New Roman" w:hAnsi="Times New Roman"/>
                <w:sz w:val="12"/>
                <w:szCs w:val="12"/>
                <w:b w:val="1"/>
                <w:bCs w:val="1"/>
                <w:color w:val="auto"/>
                <w:w w:val="99"/>
              </w:rPr>
              <w:t>Amount</w:t>
            </w:r>
          </w:p>
        </w:tc>
        <w:tc>
          <w:tcPr>
            <w:tcW w:w="24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2"/>
                <w:szCs w:val="12"/>
                <w:b w:val="1"/>
                <w:bCs w:val="1"/>
                <w:color w:val="auto"/>
              </w:rPr>
              <w:t>Capital</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center"/>
              <w:ind w:right="71"/>
              <w:spacing w:after="0"/>
              <w:rPr>
                <w:sz w:val="20"/>
                <w:szCs w:val="20"/>
                <w:color w:val="auto"/>
              </w:rPr>
            </w:pPr>
            <w:r>
              <w:rPr>
                <w:rFonts w:ascii="Times New Roman" w:cs="Times New Roman" w:eastAsia="Times New Roman" w:hAnsi="Times New Roman"/>
                <w:sz w:val="12"/>
                <w:szCs w:val="12"/>
                <w:b w:val="1"/>
                <w:bCs w:val="1"/>
                <w:color w:val="auto"/>
                <w:w w:val="94"/>
              </w:rPr>
              <w:t>Loss</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2"/>
                <w:szCs w:val="12"/>
                <w:b w:val="1"/>
                <w:bCs w:val="1"/>
                <w:color w:val="auto"/>
                <w:w w:val="99"/>
              </w:rPr>
              <w:t>Deficit</w:t>
            </w:r>
          </w:p>
        </w:tc>
        <w:tc>
          <w:tcPr>
            <w:tcW w:w="2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2"/>
                <w:szCs w:val="12"/>
                <w:b w:val="1"/>
                <w:bCs w:val="1"/>
                <w:color w:val="auto"/>
                <w:w w:val="93"/>
              </w:rPr>
              <w:t>Interests</w:t>
            </w:r>
          </w:p>
        </w:tc>
        <w:tc>
          <w:tcPr>
            <w:tcW w:w="26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49"/>
              <w:spacing w:after="0"/>
              <w:rPr>
                <w:sz w:val="20"/>
                <w:szCs w:val="20"/>
                <w:color w:val="auto"/>
              </w:rPr>
            </w:pPr>
            <w:r>
              <w:rPr>
                <w:rFonts w:ascii="Times New Roman" w:cs="Times New Roman" w:eastAsia="Times New Roman" w:hAnsi="Times New Roman"/>
                <w:sz w:val="12"/>
                <w:szCs w:val="12"/>
                <w:b w:val="1"/>
                <w:bCs w:val="1"/>
                <w:color w:val="auto"/>
              </w:rPr>
              <w:t>Total</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gridSpan w:val="2"/>
          </w:tcPr>
          <w:p>
            <w:pPr>
              <w:jc w:val="center"/>
              <w:ind w:right="380"/>
              <w:spacing w:after="0"/>
              <w:rPr>
                <w:sz w:val="20"/>
                <w:szCs w:val="20"/>
                <w:color w:val="auto"/>
              </w:rPr>
            </w:pPr>
            <w:r>
              <w:rPr>
                <w:rFonts w:ascii="Times New Roman" w:cs="Times New Roman" w:eastAsia="Times New Roman" w:hAnsi="Times New Roman"/>
                <w:sz w:val="12"/>
                <w:szCs w:val="12"/>
                <w:b w:val="1"/>
                <w:bCs w:val="1"/>
                <w:color w:val="auto"/>
                <w:w w:val="97"/>
              </w:rPr>
              <w:t>(Note 1)</w:t>
            </w: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2180" w:type="dxa"/>
            <w:vAlign w:val="bottom"/>
            <w:shd w:val="clear" w:color="auto" w:fill="CFF0FC"/>
          </w:tcPr>
          <w:p>
            <w:pPr>
              <w:spacing w:after="0" w:line="137" w:lineRule="exact"/>
              <w:rPr>
                <w:sz w:val="20"/>
                <w:szCs w:val="20"/>
                <w:color w:val="auto"/>
              </w:rPr>
            </w:pPr>
            <w:r>
              <w:rPr>
                <w:rFonts w:ascii="Times New Roman" w:cs="Times New Roman" w:eastAsia="Times New Roman" w:hAnsi="Times New Roman"/>
                <w:sz w:val="14"/>
                <w:szCs w:val="14"/>
                <w:b w:val="1"/>
                <w:bCs w:val="1"/>
                <w:color w:val="auto"/>
              </w:rPr>
              <w:t>Balance at December 31,</w:t>
            </w:r>
          </w:p>
        </w:tc>
        <w:tc>
          <w:tcPr>
            <w:tcW w:w="10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85,432,102</w:t>
            </w:r>
          </w:p>
        </w:tc>
        <w:tc>
          <w:tcPr>
            <w:tcW w:w="260" w:type="dxa"/>
            <w:vAlign w:val="bottom"/>
            <w:shd w:val="clear" w:color="auto" w:fill="CFF0FC"/>
          </w:tcPr>
          <w:p>
            <w:pPr>
              <w:spacing w:after="0"/>
              <w:rPr>
                <w:sz w:val="11"/>
                <w:szCs w:val="11"/>
                <w:color w:val="auto"/>
              </w:rPr>
            </w:pPr>
          </w:p>
        </w:tc>
        <w:tc>
          <w:tcPr>
            <w:tcW w:w="280" w:type="dxa"/>
            <w:vAlign w:val="bottom"/>
            <w:vMerge w:val="restart"/>
            <w:shd w:val="clear" w:color="auto" w:fill="CFF0FC"/>
          </w:tcPr>
          <w:p>
            <w:pPr>
              <w:jc w:val="right"/>
              <w:ind w:right="163"/>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854</w:t>
            </w:r>
          </w:p>
        </w:tc>
        <w:tc>
          <w:tcPr>
            <w:tcW w:w="420" w:type="dxa"/>
            <w:vAlign w:val="bottom"/>
            <w:gridSpan w:val="2"/>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1,226,453</w:t>
            </w:r>
          </w:p>
        </w:tc>
        <w:tc>
          <w:tcPr>
            <w:tcW w:w="160" w:type="dxa"/>
            <w:vAlign w:val="bottom"/>
            <w:shd w:val="clear" w:color="auto" w:fill="CFF0FC"/>
          </w:tcPr>
          <w:p>
            <w:pPr>
              <w:spacing w:after="0"/>
              <w:rPr>
                <w:sz w:val="11"/>
                <w:szCs w:val="11"/>
                <w:color w:val="auto"/>
              </w:rPr>
            </w:pPr>
          </w:p>
        </w:tc>
        <w:tc>
          <w:tcPr>
            <w:tcW w:w="24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(2,281)</w:t>
            </w:r>
          </w:p>
        </w:tc>
        <w:tc>
          <w:tcPr>
            <w:tcW w:w="22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(715,827)</w:t>
            </w:r>
          </w:p>
        </w:tc>
        <w:tc>
          <w:tcPr>
            <w:tcW w:w="140" w:type="dxa"/>
            <w:vAlign w:val="bottom"/>
            <w:vMerge w:val="restart"/>
            <w:shd w:val="clear" w:color="auto" w:fill="CFF0FC"/>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19,271</w:t>
            </w:r>
          </w:p>
        </w:tc>
        <w:tc>
          <w:tcPr>
            <w:tcW w:w="260" w:type="dxa"/>
            <w:vAlign w:val="bottom"/>
            <w:shd w:val="clear" w:color="auto" w:fill="CFF0FC"/>
          </w:tcPr>
          <w:p>
            <w:pPr>
              <w:spacing w:after="0"/>
              <w:rPr>
                <w:sz w:val="11"/>
                <w:szCs w:val="11"/>
                <w:color w:val="auto"/>
              </w:rPr>
            </w:pPr>
          </w:p>
        </w:tc>
        <w:tc>
          <w:tcPr>
            <w:tcW w:w="220" w:type="dxa"/>
            <w:vAlign w:val="bottom"/>
            <w:vMerge w:val="restart"/>
            <w:shd w:val="clear" w:color="auto" w:fill="CFF0FC"/>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528,470</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1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40" w:type="dxa"/>
            <w:vAlign w:val="bottom"/>
            <w:vMerge w:val="continue"/>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80" w:type="dxa"/>
            <w:vAlign w:val="bottom"/>
            <w:vMerge w:val="continue"/>
            <w:shd w:val="clear" w:color="auto" w:fill="CFF0FC"/>
          </w:tcPr>
          <w:p>
            <w:pPr>
              <w:spacing w:after="0"/>
              <w:rPr>
                <w:sz w:val="15"/>
                <w:szCs w:val="15"/>
                <w:color w:val="auto"/>
              </w:rPr>
            </w:pPr>
          </w:p>
        </w:tc>
        <w:tc>
          <w:tcPr>
            <w:tcW w:w="760" w:type="dxa"/>
            <w:vAlign w:val="bottom"/>
            <w:vMerge w:val="continue"/>
            <w:shd w:val="clear" w:color="auto" w:fill="CFF0FC"/>
          </w:tcPr>
          <w:p>
            <w:pPr>
              <w:spacing w:after="0"/>
              <w:rPr>
                <w:sz w:val="15"/>
                <w:szCs w:val="15"/>
                <w:color w:val="auto"/>
              </w:rPr>
            </w:pPr>
          </w:p>
        </w:tc>
        <w:tc>
          <w:tcPr>
            <w:tcW w:w="420" w:type="dxa"/>
            <w:vAlign w:val="bottom"/>
            <w:gridSpan w:val="2"/>
            <w:vMerge w:val="continue"/>
            <w:shd w:val="clear" w:color="auto" w:fill="CFF0FC"/>
          </w:tcPr>
          <w:p>
            <w:pPr>
              <w:spacing w:after="0"/>
              <w:rPr>
                <w:sz w:val="15"/>
                <w:szCs w:val="15"/>
                <w:color w:val="auto"/>
              </w:rPr>
            </w:pPr>
          </w:p>
        </w:tc>
        <w:tc>
          <w:tcPr>
            <w:tcW w:w="940" w:type="dxa"/>
            <w:vAlign w:val="bottom"/>
            <w:vMerge w:val="continue"/>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240" w:type="dxa"/>
            <w:vAlign w:val="bottom"/>
            <w:gridSpan w:val="2"/>
            <w:vMerge w:val="continue"/>
            <w:shd w:val="clear" w:color="auto" w:fill="CFF0FC"/>
          </w:tcPr>
          <w:p>
            <w:pPr>
              <w:spacing w:after="0"/>
              <w:rPr>
                <w:sz w:val="15"/>
                <w:szCs w:val="15"/>
                <w:color w:val="auto"/>
              </w:rPr>
            </w:pPr>
          </w:p>
        </w:tc>
        <w:tc>
          <w:tcPr>
            <w:tcW w:w="1240" w:type="dxa"/>
            <w:vAlign w:val="bottom"/>
            <w:gridSpan w:val="2"/>
            <w:vMerge w:val="continue"/>
            <w:shd w:val="clear" w:color="auto" w:fill="CFF0FC"/>
          </w:tcPr>
          <w:p>
            <w:pPr>
              <w:spacing w:after="0"/>
              <w:rPr>
                <w:sz w:val="15"/>
                <w:szCs w:val="15"/>
                <w:color w:val="auto"/>
              </w:rPr>
            </w:pPr>
          </w:p>
        </w:tc>
        <w:tc>
          <w:tcPr>
            <w:tcW w:w="220" w:type="dxa"/>
            <w:vAlign w:val="bottom"/>
            <w:gridSpan w:val="2"/>
            <w:vMerge w:val="continue"/>
            <w:shd w:val="clear" w:color="auto" w:fill="CFF0FC"/>
          </w:tcPr>
          <w:p>
            <w:pPr>
              <w:spacing w:after="0"/>
              <w:rPr>
                <w:sz w:val="15"/>
                <w:szCs w:val="15"/>
                <w:color w:val="auto"/>
              </w:rPr>
            </w:pPr>
          </w:p>
        </w:tc>
        <w:tc>
          <w:tcPr>
            <w:tcW w:w="1180" w:type="dxa"/>
            <w:vAlign w:val="bottom"/>
            <w:gridSpan w:val="2"/>
            <w:vMerge w:val="continue"/>
            <w:shd w:val="clear" w:color="auto" w:fill="CFF0FC"/>
          </w:tcPr>
          <w:p>
            <w:pPr>
              <w:spacing w:after="0"/>
              <w:rPr>
                <w:sz w:val="15"/>
                <w:szCs w:val="15"/>
                <w:color w:val="auto"/>
              </w:rPr>
            </w:pPr>
          </w:p>
        </w:tc>
        <w:tc>
          <w:tcPr>
            <w:tcW w:w="140" w:type="dxa"/>
            <w:vAlign w:val="bottom"/>
            <w:vMerge w:val="continue"/>
            <w:shd w:val="clear" w:color="auto" w:fill="CFF0FC"/>
          </w:tcPr>
          <w:p>
            <w:pPr>
              <w:spacing w:after="0"/>
              <w:rPr>
                <w:sz w:val="15"/>
                <w:szCs w:val="15"/>
                <w:color w:val="auto"/>
              </w:rPr>
            </w:pPr>
          </w:p>
        </w:tc>
        <w:tc>
          <w:tcPr>
            <w:tcW w:w="900" w:type="dxa"/>
            <w:vAlign w:val="bottom"/>
            <w:vMerge w:val="continue"/>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20" w:type="dxa"/>
            <w:vAlign w:val="bottom"/>
            <w:vMerge w:val="continue"/>
            <w:shd w:val="clear" w:color="auto" w:fill="CFF0FC"/>
          </w:tcPr>
          <w:p>
            <w:pPr>
              <w:spacing w:after="0"/>
              <w:rPr>
                <w:sz w:val="15"/>
                <w:szCs w:val="15"/>
                <w:color w:val="auto"/>
              </w:rPr>
            </w:pPr>
          </w:p>
        </w:tc>
        <w:tc>
          <w:tcPr>
            <w:tcW w:w="840" w:type="dxa"/>
            <w:vAlign w:val="bottom"/>
            <w:vMerge w:val="continue"/>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2180" w:type="dxa"/>
            <w:vAlign w:val="bottom"/>
          </w:tcPr>
          <w:p>
            <w:pPr>
              <w:spacing w:after="0" w:line="137" w:lineRule="exact"/>
              <w:rPr>
                <w:sz w:val="20"/>
                <w:szCs w:val="20"/>
                <w:color w:val="auto"/>
              </w:rPr>
            </w:pPr>
            <w:r>
              <w:rPr>
                <w:rFonts w:ascii="Times New Roman" w:cs="Times New Roman" w:eastAsia="Times New Roman" w:hAnsi="Times New Roman"/>
                <w:sz w:val="14"/>
                <w:szCs w:val="14"/>
                <w:color w:val="auto"/>
              </w:rPr>
              <w:t>Impact of adoption of</w:t>
            </w:r>
          </w:p>
        </w:tc>
        <w:tc>
          <w:tcPr>
            <w:tcW w:w="10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8,688</w:t>
            </w: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8,688</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1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 xml:space="preserve">ASC 842 </w:t>
            </w:r>
            <w:r>
              <w:rPr>
                <w:rFonts w:ascii="Times New Roman" w:cs="Times New Roman" w:eastAsia="Times New Roman" w:hAnsi="Times New Roman"/>
                <w:sz w:val="14"/>
                <w:szCs w:val="14"/>
                <w:b w:val="1"/>
                <w:bCs w:val="1"/>
                <w:color w:val="auto"/>
              </w:rPr>
              <w:t>(Note 1)</w:t>
            </w:r>
          </w:p>
        </w:tc>
        <w:tc>
          <w:tcPr>
            <w:tcW w:w="10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180" w:type="dxa"/>
            <w:vAlign w:val="bottom"/>
            <w:shd w:val="clear" w:color="auto" w:fill="CFF0FC"/>
          </w:tcPr>
          <w:p>
            <w:pPr>
              <w:spacing w:after="0" w:line="139" w:lineRule="exact"/>
              <w:rPr>
                <w:sz w:val="20"/>
                <w:szCs w:val="20"/>
                <w:color w:val="auto"/>
              </w:rPr>
            </w:pPr>
            <w:r>
              <w:rPr>
                <w:rFonts w:ascii="Times New Roman" w:cs="Times New Roman" w:eastAsia="Times New Roman" w:hAnsi="Times New Roman"/>
                <w:sz w:val="14"/>
                <w:szCs w:val="14"/>
                <w:color w:val="auto"/>
              </w:rPr>
              <w:t>Impact of change in</w:t>
            </w:r>
          </w:p>
        </w:tc>
        <w:tc>
          <w:tcPr>
            <w:tcW w:w="10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80" w:type="dxa"/>
            <w:vAlign w:val="bottom"/>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accounting principle upon</w:t>
            </w:r>
          </w:p>
        </w:tc>
        <w:tc>
          <w:tcPr>
            <w:tcW w:w="10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180" w:type="dxa"/>
            <w:vAlign w:val="bottom"/>
            <w:shd w:val="clear" w:color="auto" w:fill="CFF0FC"/>
          </w:tcPr>
          <w:p>
            <w:pPr>
              <w:ind w:left="100"/>
              <w:spacing w:after="0" w:line="147" w:lineRule="exact"/>
              <w:rPr>
                <w:sz w:val="20"/>
                <w:szCs w:val="20"/>
                <w:color w:val="auto"/>
              </w:rPr>
            </w:pPr>
            <w:r>
              <w:rPr>
                <w:rFonts w:ascii="Times New Roman" w:cs="Times New Roman" w:eastAsia="Times New Roman" w:hAnsi="Times New Roman"/>
                <w:sz w:val="14"/>
                <w:szCs w:val="14"/>
                <w:color w:val="auto"/>
              </w:rPr>
              <w:t>adoption of ASU 2018-02</w:t>
            </w:r>
          </w:p>
        </w:tc>
        <w:tc>
          <w:tcPr>
            <w:tcW w:w="1300" w:type="dxa"/>
            <w:vAlign w:val="bottom"/>
            <w:gridSpan w:val="2"/>
            <w:vMerge w:val="restart"/>
            <w:shd w:val="clear" w:color="auto" w:fill="CFF0FC"/>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FF0FC"/>
          </w:tcPr>
          <w:p>
            <w:pPr>
              <w:spacing w:after="0"/>
              <w:rPr>
                <w:sz w:val="12"/>
                <w:szCs w:val="12"/>
                <w:color w:val="auto"/>
              </w:rPr>
            </w:pPr>
          </w:p>
        </w:tc>
        <w:tc>
          <w:tcPr>
            <w:tcW w:w="7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10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611</w:t>
            </w: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8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(611)</w:t>
            </w:r>
          </w:p>
        </w:tc>
        <w:tc>
          <w:tcPr>
            <w:tcW w:w="140" w:type="dxa"/>
            <w:vAlign w:val="bottom"/>
            <w:shd w:val="clear" w:color="auto" w:fill="CFF0FC"/>
          </w:tcPr>
          <w:p>
            <w:pPr>
              <w:spacing w:after="0"/>
              <w:rPr>
                <w:sz w:val="12"/>
                <w:szCs w:val="12"/>
                <w:color w:val="auto"/>
              </w:rPr>
            </w:pPr>
          </w:p>
        </w:tc>
        <w:tc>
          <w:tcPr>
            <w:tcW w:w="1160" w:type="dxa"/>
            <w:vAlign w:val="bottom"/>
            <w:gridSpan w:val="2"/>
            <w:vMerge w:val="restart"/>
            <w:shd w:val="clear" w:color="auto" w:fill="CFF0FC"/>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96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1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4"/>
                <w:szCs w:val="14"/>
                <w:b w:val="1"/>
                <w:bCs w:val="1"/>
                <w:color w:val="auto"/>
              </w:rPr>
              <w:t>(Note 1)</w:t>
            </w:r>
          </w:p>
        </w:tc>
        <w:tc>
          <w:tcPr>
            <w:tcW w:w="1300" w:type="dxa"/>
            <w:vAlign w:val="bottom"/>
            <w:gridSpan w:val="2"/>
            <w:vMerge w:val="continue"/>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760" w:type="dxa"/>
            <w:vAlign w:val="bottom"/>
            <w:vMerge w:val="continue"/>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100" w:type="dxa"/>
            <w:vAlign w:val="bottom"/>
            <w:gridSpan w:val="2"/>
            <w:vMerge w:val="continue"/>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80" w:type="dxa"/>
            <w:vAlign w:val="bottom"/>
            <w:vMerge w:val="continue"/>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80" w:type="dxa"/>
            <w:vAlign w:val="bottom"/>
            <w:gridSpan w:val="2"/>
            <w:vMerge w:val="continue"/>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160" w:type="dxa"/>
            <w:vAlign w:val="bottom"/>
            <w:gridSpan w:val="2"/>
            <w:vMerge w:val="continue"/>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60" w:type="dxa"/>
            <w:vAlign w:val="bottom"/>
            <w:gridSpan w:val="2"/>
            <w:vMerge w:val="continue"/>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180" w:type="dxa"/>
            <w:vAlign w:val="bottom"/>
          </w:tcPr>
          <w:p>
            <w:pPr>
              <w:spacing w:after="0"/>
              <w:rPr>
                <w:sz w:val="20"/>
                <w:szCs w:val="20"/>
                <w:color w:val="auto"/>
              </w:rPr>
            </w:pPr>
            <w:r>
              <w:rPr>
                <w:rFonts w:ascii="Times New Roman" w:cs="Times New Roman" w:eastAsia="Times New Roman" w:hAnsi="Times New Roman"/>
                <w:sz w:val="14"/>
                <w:szCs w:val="14"/>
                <w:color w:val="auto"/>
              </w:rPr>
              <w:t>Net loss</w:t>
            </w: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(45,411)</w:t>
            </w:r>
          </w:p>
        </w:tc>
        <w:tc>
          <w:tcPr>
            <w:tcW w:w="140" w:type="dxa"/>
            <w:vAlign w:val="bottom"/>
          </w:tcPr>
          <w:p>
            <w:pPr>
              <w:spacing w:after="0"/>
              <w:rPr>
                <w:sz w:val="14"/>
                <w:szCs w:val="14"/>
                <w:color w:val="auto"/>
              </w:rPr>
            </w:pP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(45,411)</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180" w:type="dxa"/>
            <w:vAlign w:val="bottom"/>
            <w:shd w:val="clear" w:color="auto" w:fill="CFF0FC"/>
          </w:tcPr>
          <w:p>
            <w:pPr>
              <w:spacing w:after="0" w:line="139" w:lineRule="exact"/>
              <w:rPr>
                <w:sz w:val="20"/>
                <w:szCs w:val="20"/>
                <w:color w:val="auto"/>
              </w:rPr>
            </w:pPr>
            <w:r>
              <w:rPr>
                <w:rFonts w:ascii="Times New Roman" w:cs="Times New Roman" w:eastAsia="Times New Roman" w:hAnsi="Times New Roman"/>
                <w:sz w:val="14"/>
                <w:szCs w:val="14"/>
                <w:color w:val="auto"/>
              </w:rPr>
              <w:t>Change in unrealized gain or</w:t>
            </w:r>
          </w:p>
        </w:tc>
        <w:tc>
          <w:tcPr>
            <w:tcW w:w="1300" w:type="dxa"/>
            <w:vAlign w:val="bottom"/>
            <w:gridSpan w:val="2"/>
            <w:vMerge w:val="restart"/>
            <w:shd w:val="clear" w:color="auto" w:fill="CFF0FC"/>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FF0FC"/>
          </w:tcPr>
          <w:p>
            <w:pPr>
              <w:spacing w:after="0"/>
              <w:rPr>
                <w:sz w:val="12"/>
                <w:szCs w:val="12"/>
                <w:color w:val="auto"/>
              </w:rPr>
            </w:pPr>
          </w:p>
        </w:tc>
        <w:tc>
          <w:tcPr>
            <w:tcW w:w="7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10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442</w:t>
            </w: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80" w:type="dxa"/>
            <w:vAlign w:val="bottom"/>
            <w:gridSpan w:val="2"/>
            <w:vMerge w:val="restart"/>
            <w:shd w:val="clear" w:color="auto" w:fill="CFF0FC"/>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2"/>
                <w:szCs w:val="12"/>
                <w:color w:val="auto"/>
              </w:rPr>
            </w:pPr>
          </w:p>
        </w:tc>
        <w:tc>
          <w:tcPr>
            <w:tcW w:w="1160" w:type="dxa"/>
            <w:vAlign w:val="bottom"/>
            <w:gridSpan w:val="2"/>
            <w:vMerge w:val="restart"/>
            <w:shd w:val="clear" w:color="auto" w:fill="CFF0FC"/>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8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442</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1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loss on investments</w:t>
            </w:r>
          </w:p>
        </w:tc>
        <w:tc>
          <w:tcPr>
            <w:tcW w:w="1300" w:type="dxa"/>
            <w:vAlign w:val="bottom"/>
            <w:gridSpan w:val="2"/>
            <w:vMerge w:val="continue"/>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760" w:type="dxa"/>
            <w:vAlign w:val="bottom"/>
            <w:vMerge w:val="continue"/>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100" w:type="dxa"/>
            <w:vAlign w:val="bottom"/>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80" w:type="dxa"/>
            <w:vAlign w:val="bottom"/>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80" w:type="dxa"/>
            <w:vAlign w:val="bottom"/>
            <w:gridSpan w:val="2"/>
            <w:vMerge w:val="continue"/>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60" w:type="dxa"/>
            <w:vAlign w:val="bottom"/>
            <w:gridSpan w:val="2"/>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4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180" w:type="dxa"/>
            <w:vAlign w:val="bottom"/>
          </w:tcPr>
          <w:p>
            <w:pPr>
              <w:spacing w:after="0" w:line="139" w:lineRule="exact"/>
              <w:rPr>
                <w:sz w:val="20"/>
                <w:szCs w:val="20"/>
                <w:color w:val="auto"/>
              </w:rPr>
            </w:pPr>
            <w:r>
              <w:rPr>
                <w:rFonts w:ascii="Times New Roman" w:cs="Times New Roman" w:eastAsia="Times New Roman" w:hAnsi="Times New Roman"/>
                <w:sz w:val="14"/>
                <w:szCs w:val="14"/>
                <w:color w:val="auto"/>
              </w:rPr>
              <w:t>Foreign currency translation</w:t>
            </w:r>
          </w:p>
        </w:tc>
        <w:tc>
          <w:tcPr>
            <w:tcW w:w="130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291</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16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291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1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adjustments</w:t>
            </w:r>
          </w:p>
        </w:tc>
        <w:tc>
          <w:tcPr>
            <w:tcW w:w="130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180" w:type="dxa"/>
            <w:vAlign w:val="bottom"/>
            <w:shd w:val="clear" w:color="auto" w:fill="CFF0FC"/>
          </w:tcPr>
          <w:p>
            <w:pPr>
              <w:spacing w:after="0" w:line="139" w:lineRule="exact"/>
              <w:rPr>
                <w:sz w:val="20"/>
                <w:szCs w:val="20"/>
                <w:color w:val="auto"/>
              </w:rPr>
            </w:pPr>
            <w:r>
              <w:rPr>
                <w:rFonts w:ascii="Times New Roman" w:cs="Times New Roman" w:eastAsia="Times New Roman" w:hAnsi="Times New Roman"/>
                <w:sz w:val="14"/>
                <w:szCs w:val="14"/>
                <w:color w:val="auto"/>
              </w:rPr>
              <w:t>Shares issued from stock</w:t>
            </w:r>
          </w:p>
        </w:tc>
        <w:tc>
          <w:tcPr>
            <w:tcW w:w="10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80" w:type="dxa"/>
            <w:vAlign w:val="bottom"/>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plans, net of payroll taxes</w:t>
            </w:r>
          </w:p>
        </w:tc>
        <w:tc>
          <w:tcPr>
            <w:tcW w:w="10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697,462</w:t>
            </w:r>
          </w:p>
        </w:tc>
        <w:tc>
          <w:tcPr>
            <w:tcW w:w="2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7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100" w:type="dxa"/>
            <w:vAlign w:val="bottom"/>
            <w:gridSpan w:val="2"/>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(423)</w:t>
            </w: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40" w:type="dxa"/>
            <w:vAlign w:val="bottom"/>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80" w:type="dxa"/>
            <w:vAlign w:val="bottom"/>
            <w:gridSpan w:val="2"/>
            <w:vMerge w:val="restart"/>
            <w:shd w:val="clear" w:color="auto" w:fill="CFF0FC"/>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2"/>
                <w:szCs w:val="12"/>
                <w:color w:val="auto"/>
              </w:rPr>
            </w:pPr>
          </w:p>
        </w:tc>
        <w:tc>
          <w:tcPr>
            <w:tcW w:w="1160" w:type="dxa"/>
            <w:vAlign w:val="bottom"/>
            <w:gridSpan w:val="2"/>
            <w:vMerge w:val="restart"/>
            <w:shd w:val="clear" w:color="auto" w:fill="CFF0FC"/>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960" w:type="dxa"/>
            <w:vAlign w:val="bottom"/>
            <w:gridSpan w:val="2"/>
            <w:vMerge w:val="restart"/>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(416)</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1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paid</w:t>
            </w:r>
          </w:p>
        </w:tc>
        <w:tc>
          <w:tcPr>
            <w:tcW w:w="1040" w:type="dxa"/>
            <w:vAlign w:val="bottom"/>
            <w:vMerge w:val="continue"/>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760" w:type="dxa"/>
            <w:vAlign w:val="bottom"/>
            <w:vMerge w:val="continue"/>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100" w:type="dxa"/>
            <w:vAlign w:val="bottom"/>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40" w:type="dxa"/>
            <w:vAlign w:val="bottom"/>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80" w:type="dxa"/>
            <w:vAlign w:val="bottom"/>
            <w:gridSpan w:val="2"/>
            <w:vMerge w:val="continue"/>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60" w:type="dxa"/>
            <w:vAlign w:val="bottom"/>
            <w:gridSpan w:val="2"/>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60" w:type="dxa"/>
            <w:vAlign w:val="bottom"/>
            <w:gridSpan w:val="2"/>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1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4"/>
                <w:szCs w:val="14"/>
                <w:color w:val="auto"/>
              </w:rPr>
              <w:t>Stock-based compensation</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16,430</w:t>
            </w:r>
          </w:p>
        </w:tc>
        <w:tc>
          <w:tcPr>
            <w:tcW w:w="16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16,430</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180" w:type="dxa"/>
            <w:vAlign w:val="bottom"/>
            <w:shd w:val="clear" w:color="auto" w:fill="CFF0FC"/>
          </w:tcPr>
          <w:p>
            <w:pPr>
              <w:spacing w:after="0" w:line="131" w:lineRule="exact"/>
              <w:rPr>
                <w:sz w:val="20"/>
                <w:szCs w:val="20"/>
                <w:color w:val="auto"/>
              </w:rPr>
            </w:pPr>
            <w:r>
              <w:rPr>
                <w:rFonts w:ascii="Times New Roman" w:cs="Times New Roman" w:eastAsia="Times New Roman" w:hAnsi="Times New Roman"/>
                <w:sz w:val="14"/>
                <w:szCs w:val="14"/>
                <w:b w:val="1"/>
                <w:bCs w:val="1"/>
                <w:color w:val="auto"/>
              </w:rPr>
              <w:t>Balance at March 31,</w:t>
            </w:r>
          </w:p>
        </w:tc>
        <w:tc>
          <w:tcPr>
            <w:tcW w:w="10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86,129,564</w:t>
            </w:r>
          </w:p>
        </w:tc>
        <w:tc>
          <w:tcPr>
            <w:tcW w:w="260" w:type="dxa"/>
            <w:vAlign w:val="bottom"/>
            <w:shd w:val="clear" w:color="auto" w:fill="CFF0FC"/>
          </w:tcPr>
          <w:p>
            <w:pPr>
              <w:spacing w:after="0"/>
              <w:rPr>
                <w:sz w:val="11"/>
                <w:szCs w:val="11"/>
                <w:color w:val="auto"/>
              </w:rPr>
            </w:pPr>
          </w:p>
        </w:tc>
        <w:tc>
          <w:tcPr>
            <w:tcW w:w="280" w:type="dxa"/>
            <w:vAlign w:val="bottom"/>
            <w:vMerge w:val="restart"/>
            <w:shd w:val="clear" w:color="auto" w:fill="CFF0FC"/>
          </w:tcPr>
          <w:p>
            <w:pPr>
              <w:jc w:val="right"/>
              <w:ind w:right="163"/>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861</w:t>
            </w:r>
          </w:p>
        </w:tc>
        <w:tc>
          <w:tcPr>
            <w:tcW w:w="420" w:type="dxa"/>
            <w:vAlign w:val="bottom"/>
            <w:gridSpan w:val="2"/>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1,242,460</w:t>
            </w:r>
          </w:p>
        </w:tc>
        <w:tc>
          <w:tcPr>
            <w:tcW w:w="160" w:type="dxa"/>
            <w:vAlign w:val="bottom"/>
            <w:shd w:val="clear" w:color="auto" w:fill="CFF0FC"/>
          </w:tcPr>
          <w:p>
            <w:pPr>
              <w:spacing w:after="0"/>
              <w:rPr>
                <w:sz w:val="11"/>
                <w:szCs w:val="11"/>
                <w:color w:val="auto"/>
              </w:rPr>
            </w:pPr>
          </w:p>
        </w:tc>
        <w:tc>
          <w:tcPr>
            <w:tcW w:w="24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(937)</w:t>
            </w:r>
          </w:p>
        </w:tc>
        <w:tc>
          <w:tcPr>
            <w:tcW w:w="22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(753,161)</w:t>
            </w:r>
          </w:p>
        </w:tc>
        <w:tc>
          <w:tcPr>
            <w:tcW w:w="140" w:type="dxa"/>
            <w:vAlign w:val="bottom"/>
            <w:vMerge w:val="restart"/>
            <w:shd w:val="clear" w:color="auto" w:fill="CFF0FC"/>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19,271</w:t>
            </w:r>
          </w:p>
        </w:tc>
        <w:tc>
          <w:tcPr>
            <w:tcW w:w="260" w:type="dxa"/>
            <w:vAlign w:val="bottom"/>
            <w:shd w:val="clear" w:color="auto" w:fill="CFF0FC"/>
          </w:tcPr>
          <w:p>
            <w:pPr>
              <w:spacing w:after="0"/>
              <w:rPr>
                <w:sz w:val="11"/>
                <w:szCs w:val="11"/>
                <w:color w:val="auto"/>
              </w:rPr>
            </w:pPr>
          </w:p>
        </w:tc>
        <w:tc>
          <w:tcPr>
            <w:tcW w:w="220" w:type="dxa"/>
            <w:vAlign w:val="bottom"/>
            <w:vMerge w:val="restart"/>
            <w:shd w:val="clear" w:color="auto" w:fill="CFF0FC"/>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508,494</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1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40" w:type="dxa"/>
            <w:vAlign w:val="bottom"/>
            <w:vMerge w:val="continue"/>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80" w:type="dxa"/>
            <w:vAlign w:val="bottom"/>
            <w:vMerge w:val="continue"/>
            <w:shd w:val="clear" w:color="auto" w:fill="CFF0FC"/>
          </w:tcPr>
          <w:p>
            <w:pPr>
              <w:spacing w:after="0"/>
              <w:rPr>
                <w:sz w:val="15"/>
                <w:szCs w:val="15"/>
                <w:color w:val="auto"/>
              </w:rPr>
            </w:pPr>
          </w:p>
        </w:tc>
        <w:tc>
          <w:tcPr>
            <w:tcW w:w="760" w:type="dxa"/>
            <w:vAlign w:val="bottom"/>
            <w:vMerge w:val="continue"/>
            <w:shd w:val="clear" w:color="auto" w:fill="CFF0FC"/>
          </w:tcPr>
          <w:p>
            <w:pPr>
              <w:spacing w:after="0"/>
              <w:rPr>
                <w:sz w:val="15"/>
                <w:szCs w:val="15"/>
                <w:color w:val="auto"/>
              </w:rPr>
            </w:pPr>
          </w:p>
        </w:tc>
        <w:tc>
          <w:tcPr>
            <w:tcW w:w="420" w:type="dxa"/>
            <w:vAlign w:val="bottom"/>
            <w:gridSpan w:val="2"/>
            <w:vMerge w:val="continue"/>
            <w:shd w:val="clear" w:color="auto" w:fill="CFF0FC"/>
          </w:tcPr>
          <w:p>
            <w:pPr>
              <w:spacing w:after="0"/>
              <w:rPr>
                <w:sz w:val="15"/>
                <w:szCs w:val="15"/>
                <w:color w:val="auto"/>
              </w:rPr>
            </w:pPr>
          </w:p>
        </w:tc>
        <w:tc>
          <w:tcPr>
            <w:tcW w:w="940" w:type="dxa"/>
            <w:vAlign w:val="bottom"/>
            <w:vMerge w:val="continue"/>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240" w:type="dxa"/>
            <w:vAlign w:val="bottom"/>
            <w:gridSpan w:val="2"/>
            <w:vMerge w:val="continue"/>
            <w:shd w:val="clear" w:color="auto" w:fill="CFF0FC"/>
          </w:tcPr>
          <w:p>
            <w:pPr>
              <w:spacing w:after="0"/>
              <w:rPr>
                <w:sz w:val="15"/>
                <w:szCs w:val="15"/>
                <w:color w:val="auto"/>
              </w:rPr>
            </w:pPr>
          </w:p>
        </w:tc>
        <w:tc>
          <w:tcPr>
            <w:tcW w:w="1240" w:type="dxa"/>
            <w:vAlign w:val="bottom"/>
            <w:gridSpan w:val="2"/>
            <w:vMerge w:val="continue"/>
            <w:shd w:val="clear" w:color="auto" w:fill="CFF0FC"/>
          </w:tcPr>
          <w:p>
            <w:pPr>
              <w:spacing w:after="0"/>
              <w:rPr>
                <w:sz w:val="15"/>
                <w:szCs w:val="15"/>
                <w:color w:val="auto"/>
              </w:rPr>
            </w:pPr>
          </w:p>
        </w:tc>
        <w:tc>
          <w:tcPr>
            <w:tcW w:w="220" w:type="dxa"/>
            <w:vAlign w:val="bottom"/>
            <w:gridSpan w:val="2"/>
            <w:vMerge w:val="continue"/>
            <w:shd w:val="clear" w:color="auto" w:fill="CFF0FC"/>
          </w:tcPr>
          <w:p>
            <w:pPr>
              <w:spacing w:after="0"/>
              <w:rPr>
                <w:sz w:val="15"/>
                <w:szCs w:val="15"/>
                <w:color w:val="auto"/>
              </w:rPr>
            </w:pPr>
          </w:p>
        </w:tc>
        <w:tc>
          <w:tcPr>
            <w:tcW w:w="1180" w:type="dxa"/>
            <w:vAlign w:val="bottom"/>
            <w:gridSpan w:val="2"/>
            <w:vMerge w:val="continue"/>
            <w:shd w:val="clear" w:color="auto" w:fill="CFF0FC"/>
          </w:tcPr>
          <w:p>
            <w:pPr>
              <w:spacing w:after="0"/>
              <w:rPr>
                <w:sz w:val="15"/>
                <w:szCs w:val="15"/>
                <w:color w:val="auto"/>
              </w:rPr>
            </w:pPr>
          </w:p>
        </w:tc>
        <w:tc>
          <w:tcPr>
            <w:tcW w:w="140" w:type="dxa"/>
            <w:vAlign w:val="bottom"/>
            <w:vMerge w:val="continue"/>
            <w:shd w:val="clear" w:color="auto" w:fill="CFF0FC"/>
          </w:tcPr>
          <w:p>
            <w:pPr>
              <w:spacing w:after="0"/>
              <w:rPr>
                <w:sz w:val="15"/>
                <w:szCs w:val="15"/>
                <w:color w:val="auto"/>
              </w:rPr>
            </w:pPr>
          </w:p>
        </w:tc>
        <w:tc>
          <w:tcPr>
            <w:tcW w:w="900" w:type="dxa"/>
            <w:vAlign w:val="bottom"/>
            <w:vMerge w:val="continue"/>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20" w:type="dxa"/>
            <w:vAlign w:val="bottom"/>
            <w:vMerge w:val="continue"/>
            <w:shd w:val="clear" w:color="auto" w:fill="CFF0FC"/>
          </w:tcPr>
          <w:p>
            <w:pPr>
              <w:spacing w:after="0"/>
              <w:rPr>
                <w:sz w:val="15"/>
                <w:szCs w:val="15"/>
                <w:color w:val="auto"/>
              </w:rPr>
            </w:pPr>
          </w:p>
        </w:tc>
        <w:tc>
          <w:tcPr>
            <w:tcW w:w="840" w:type="dxa"/>
            <w:vAlign w:val="bottom"/>
            <w:vMerge w:val="continue"/>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80" w:type="dxa"/>
            <w:vAlign w:val="bottom"/>
            <w:tcBorders>
              <w:top w:val="single" w:sz="8" w:color="CFF0FC"/>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2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7"/>
        </w:trPr>
        <w:tc>
          <w:tcPr>
            <w:tcW w:w="20" w:type="dxa"/>
            <w:vAlign w:val="bottom"/>
            <w:vMerge w:val="continue"/>
          </w:tcPr>
          <w:p>
            <w:pPr>
              <w:spacing w:after="0"/>
              <w:rPr>
                <w:sz w:val="11"/>
                <w:szCs w:val="11"/>
                <w:color w:val="auto"/>
              </w:rPr>
            </w:pPr>
          </w:p>
        </w:tc>
        <w:tc>
          <w:tcPr>
            <w:tcW w:w="2180" w:type="dxa"/>
            <w:vAlign w:val="bottom"/>
            <w:shd w:val="clear" w:color="auto" w:fill="CFF0FC"/>
          </w:tcPr>
          <w:p>
            <w:pPr>
              <w:spacing w:after="0" w:line="137" w:lineRule="exact"/>
              <w:rPr>
                <w:sz w:val="20"/>
                <w:szCs w:val="20"/>
                <w:color w:val="auto"/>
              </w:rPr>
            </w:pPr>
            <w:r>
              <w:rPr>
                <w:rFonts w:ascii="Times New Roman" w:cs="Times New Roman" w:eastAsia="Times New Roman" w:hAnsi="Times New Roman"/>
                <w:sz w:val="14"/>
                <w:szCs w:val="14"/>
                <w:b w:val="1"/>
                <w:bCs w:val="1"/>
                <w:color w:val="auto"/>
              </w:rPr>
              <w:t>Balance at December 31,</w:t>
            </w:r>
          </w:p>
        </w:tc>
        <w:tc>
          <w:tcPr>
            <w:tcW w:w="10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82,498,128</w:t>
            </w:r>
          </w:p>
        </w:tc>
        <w:tc>
          <w:tcPr>
            <w:tcW w:w="260" w:type="dxa"/>
            <w:vAlign w:val="bottom"/>
            <w:shd w:val="clear" w:color="auto" w:fill="CFF0FC"/>
          </w:tcPr>
          <w:p>
            <w:pPr>
              <w:spacing w:after="0"/>
              <w:rPr>
                <w:sz w:val="11"/>
                <w:szCs w:val="11"/>
                <w:color w:val="auto"/>
              </w:rPr>
            </w:pPr>
          </w:p>
        </w:tc>
        <w:tc>
          <w:tcPr>
            <w:tcW w:w="280" w:type="dxa"/>
            <w:vAlign w:val="bottom"/>
            <w:vMerge w:val="restart"/>
            <w:shd w:val="clear" w:color="auto" w:fill="CFF0FC"/>
          </w:tcPr>
          <w:p>
            <w:pPr>
              <w:jc w:val="right"/>
              <w:ind w:right="163"/>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825</w:t>
            </w:r>
          </w:p>
        </w:tc>
        <w:tc>
          <w:tcPr>
            <w:tcW w:w="420" w:type="dxa"/>
            <w:vAlign w:val="bottom"/>
            <w:gridSpan w:val="2"/>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1,160,094</w:t>
            </w:r>
          </w:p>
        </w:tc>
        <w:tc>
          <w:tcPr>
            <w:tcW w:w="160" w:type="dxa"/>
            <w:vAlign w:val="bottom"/>
            <w:shd w:val="clear" w:color="auto" w:fill="CFF0FC"/>
          </w:tcPr>
          <w:p>
            <w:pPr>
              <w:spacing w:after="0"/>
              <w:rPr>
                <w:sz w:val="11"/>
                <w:szCs w:val="11"/>
                <w:color w:val="auto"/>
              </w:rPr>
            </w:pPr>
          </w:p>
        </w:tc>
        <w:tc>
          <w:tcPr>
            <w:tcW w:w="24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(1,795)</w:t>
            </w:r>
          </w:p>
        </w:tc>
        <w:tc>
          <w:tcPr>
            <w:tcW w:w="22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(630,657)</w:t>
            </w:r>
          </w:p>
        </w:tc>
        <w:tc>
          <w:tcPr>
            <w:tcW w:w="140" w:type="dxa"/>
            <w:vAlign w:val="bottom"/>
            <w:vMerge w:val="restart"/>
            <w:shd w:val="clear" w:color="auto" w:fill="CFF0FC"/>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19,271</w:t>
            </w:r>
          </w:p>
        </w:tc>
        <w:tc>
          <w:tcPr>
            <w:tcW w:w="260" w:type="dxa"/>
            <w:vAlign w:val="bottom"/>
            <w:shd w:val="clear" w:color="auto" w:fill="CFF0FC"/>
          </w:tcPr>
          <w:p>
            <w:pPr>
              <w:spacing w:after="0"/>
              <w:rPr>
                <w:sz w:val="11"/>
                <w:szCs w:val="11"/>
                <w:color w:val="auto"/>
              </w:rPr>
            </w:pPr>
          </w:p>
        </w:tc>
        <w:tc>
          <w:tcPr>
            <w:tcW w:w="220" w:type="dxa"/>
            <w:vAlign w:val="bottom"/>
            <w:vMerge w:val="restart"/>
            <w:shd w:val="clear" w:color="auto" w:fill="CFF0FC"/>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547,738</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1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40" w:type="dxa"/>
            <w:vAlign w:val="bottom"/>
            <w:vMerge w:val="continue"/>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80" w:type="dxa"/>
            <w:vAlign w:val="bottom"/>
            <w:vMerge w:val="continue"/>
            <w:shd w:val="clear" w:color="auto" w:fill="CFF0FC"/>
          </w:tcPr>
          <w:p>
            <w:pPr>
              <w:spacing w:after="0"/>
              <w:rPr>
                <w:sz w:val="15"/>
                <w:szCs w:val="15"/>
                <w:color w:val="auto"/>
              </w:rPr>
            </w:pPr>
          </w:p>
        </w:tc>
        <w:tc>
          <w:tcPr>
            <w:tcW w:w="760" w:type="dxa"/>
            <w:vAlign w:val="bottom"/>
            <w:vMerge w:val="continue"/>
            <w:shd w:val="clear" w:color="auto" w:fill="CFF0FC"/>
          </w:tcPr>
          <w:p>
            <w:pPr>
              <w:spacing w:after="0"/>
              <w:rPr>
                <w:sz w:val="15"/>
                <w:szCs w:val="15"/>
                <w:color w:val="auto"/>
              </w:rPr>
            </w:pPr>
          </w:p>
        </w:tc>
        <w:tc>
          <w:tcPr>
            <w:tcW w:w="420" w:type="dxa"/>
            <w:vAlign w:val="bottom"/>
            <w:gridSpan w:val="2"/>
            <w:vMerge w:val="continue"/>
            <w:shd w:val="clear" w:color="auto" w:fill="CFF0FC"/>
          </w:tcPr>
          <w:p>
            <w:pPr>
              <w:spacing w:after="0"/>
              <w:rPr>
                <w:sz w:val="15"/>
                <w:szCs w:val="15"/>
                <w:color w:val="auto"/>
              </w:rPr>
            </w:pPr>
          </w:p>
        </w:tc>
        <w:tc>
          <w:tcPr>
            <w:tcW w:w="940" w:type="dxa"/>
            <w:vAlign w:val="bottom"/>
            <w:vMerge w:val="continue"/>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240" w:type="dxa"/>
            <w:vAlign w:val="bottom"/>
            <w:gridSpan w:val="2"/>
            <w:vMerge w:val="continue"/>
            <w:shd w:val="clear" w:color="auto" w:fill="CFF0FC"/>
          </w:tcPr>
          <w:p>
            <w:pPr>
              <w:spacing w:after="0"/>
              <w:rPr>
                <w:sz w:val="15"/>
                <w:szCs w:val="15"/>
                <w:color w:val="auto"/>
              </w:rPr>
            </w:pPr>
          </w:p>
        </w:tc>
        <w:tc>
          <w:tcPr>
            <w:tcW w:w="1240" w:type="dxa"/>
            <w:vAlign w:val="bottom"/>
            <w:gridSpan w:val="2"/>
            <w:vMerge w:val="continue"/>
            <w:shd w:val="clear" w:color="auto" w:fill="CFF0FC"/>
          </w:tcPr>
          <w:p>
            <w:pPr>
              <w:spacing w:after="0"/>
              <w:rPr>
                <w:sz w:val="15"/>
                <w:szCs w:val="15"/>
                <w:color w:val="auto"/>
              </w:rPr>
            </w:pPr>
          </w:p>
        </w:tc>
        <w:tc>
          <w:tcPr>
            <w:tcW w:w="220" w:type="dxa"/>
            <w:vAlign w:val="bottom"/>
            <w:gridSpan w:val="2"/>
            <w:vMerge w:val="continue"/>
            <w:shd w:val="clear" w:color="auto" w:fill="CFF0FC"/>
          </w:tcPr>
          <w:p>
            <w:pPr>
              <w:spacing w:after="0"/>
              <w:rPr>
                <w:sz w:val="15"/>
                <w:szCs w:val="15"/>
                <w:color w:val="auto"/>
              </w:rPr>
            </w:pPr>
          </w:p>
        </w:tc>
        <w:tc>
          <w:tcPr>
            <w:tcW w:w="1180" w:type="dxa"/>
            <w:vAlign w:val="bottom"/>
            <w:gridSpan w:val="2"/>
            <w:vMerge w:val="continue"/>
            <w:shd w:val="clear" w:color="auto" w:fill="CFF0FC"/>
          </w:tcPr>
          <w:p>
            <w:pPr>
              <w:spacing w:after="0"/>
              <w:rPr>
                <w:sz w:val="15"/>
                <w:szCs w:val="15"/>
                <w:color w:val="auto"/>
              </w:rPr>
            </w:pPr>
          </w:p>
        </w:tc>
        <w:tc>
          <w:tcPr>
            <w:tcW w:w="140" w:type="dxa"/>
            <w:vAlign w:val="bottom"/>
            <w:vMerge w:val="continue"/>
            <w:shd w:val="clear" w:color="auto" w:fill="CFF0FC"/>
          </w:tcPr>
          <w:p>
            <w:pPr>
              <w:spacing w:after="0"/>
              <w:rPr>
                <w:sz w:val="15"/>
                <w:szCs w:val="15"/>
                <w:color w:val="auto"/>
              </w:rPr>
            </w:pPr>
          </w:p>
        </w:tc>
        <w:tc>
          <w:tcPr>
            <w:tcW w:w="900" w:type="dxa"/>
            <w:vAlign w:val="bottom"/>
            <w:vMerge w:val="continue"/>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20" w:type="dxa"/>
            <w:vAlign w:val="bottom"/>
            <w:vMerge w:val="continue"/>
            <w:shd w:val="clear" w:color="auto" w:fill="CFF0FC"/>
          </w:tcPr>
          <w:p>
            <w:pPr>
              <w:spacing w:after="0"/>
              <w:rPr>
                <w:sz w:val="15"/>
                <w:szCs w:val="15"/>
                <w:color w:val="auto"/>
              </w:rPr>
            </w:pPr>
          </w:p>
        </w:tc>
        <w:tc>
          <w:tcPr>
            <w:tcW w:w="840" w:type="dxa"/>
            <w:vAlign w:val="bottom"/>
            <w:vMerge w:val="continue"/>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180" w:type="dxa"/>
            <w:vAlign w:val="bottom"/>
          </w:tcPr>
          <w:p>
            <w:pPr>
              <w:spacing w:after="0" w:line="139" w:lineRule="exact"/>
              <w:rPr>
                <w:sz w:val="20"/>
                <w:szCs w:val="20"/>
                <w:color w:val="auto"/>
              </w:rPr>
            </w:pPr>
            <w:r>
              <w:rPr>
                <w:rFonts w:ascii="Times New Roman" w:cs="Times New Roman" w:eastAsia="Times New Roman" w:hAnsi="Times New Roman"/>
                <w:sz w:val="14"/>
                <w:szCs w:val="14"/>
                <w:color w:val="auto"/>
              </w:rPr>
              <w:t>Impact of change in</w:t>
            </w:r>
          </w:p>
        </w:tc>
        <w:tc>
          <w:tcPr>
            <w:tcW w:w="10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8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accounting principle upon</w:t>
            </w:r>
          </w:p>
        </w:tc>
        <w:tc>
          <w:tcPr>
            <w:tcW w:w="130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(1,250)</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1,250</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9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1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adoption of ASU 2016-01</w:t>
            </w:r>
          </w:p>
        </w:tc>
        <w:tc>
          <w:tcPr>
            <w:tcW w:w="130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1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Net loss</w:t>
            </w:r>
          </w:p>
        </w:tc>
        <w:tc>
          <w:tcPr>
            <w:tcW w:w="13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(41,396)</w:t>
            </w:r>
          </w:p>
        </w:tc>
        <w:tc>
          <w:tcPr>
            <w:tcW w:w="14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(41,396)</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180" w:type="dxa"/>
            <w:vAlign w:val="bottom"/>
          </w:tcPr>
          <w:p>
            <w:pPr>
              <w:spacing w:after="0" w:line="139" w:lineRule="exact"/>
              <w:rPr>
                <w:sz w:val="20"/>
                <w:szCs w:val="20"/>
                <w:color w:val="auto"/>
              </w:rPr>
            </w:pPr>
            <w:r>
              <w:rPr>
                <w:rFonts w:ascii="Times New Roman" w:cs="Times New Roman" w:eastAsia="Times New Roman" w:hAnsi="Times New Roman"/>
                <w:sz w:val="14"/>
                <w:szCs w:val="14"/>
                <w:color w:val="auto"/>
              </w:rPr>
              <w:t>Change in unrealized gain or</w:t>
            </w:r>
          </w:p>
        </w:tc>
        <w:tc>
          <w:tcPr>
            <w:tcW w:w="130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(50)</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16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9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(50)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1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loss on investments</w:t>
            </w:r>
          </w:p>
        </w:tc>
        <w:tc>
          <w:tcPr>
            <w:tcW w:w="130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180" w:type="dxa"/>
            <w:vAlign w:val="bottom"/>
            <w:shd w:val="clear" w:color="auto" w:fill="CFF0FC"/>
          </w:tcPr>
          <w:p>
            <w:pPr>
              <w:spacing w:after="0" w:line="139" w:lineRule="exact"/>
              <w:rPr>
                <w:sz w:val="20"/>
                <w:szCs w:val="20"/>
                <w:color w:val="auto"/>
              </w:rPr>
            </w:pPr>
            <w:r>
              <w:rPr>
                <w:rFonts w:ascii="Times New Roman" w:cs="Times New Roman" w:eastAsia="Times New Roman" w:hAnsi="Times New Roman"/>
                <w:sz w:val="14"/>
                <w:szCs w:val="14"/>
                <w:color w:val="auto"/>
              </w:rPr>
              <w:t>Foreign currency translation</w:t>
            </w:r>
          </w:p>
        </w:tc>
        <w:tc>
          <w:tcPr>
            <w:tcW w:w="1300" w:type="dxa"/>
            <w:vAlign w:val="bottom"/>
            <w:gridSpan w:val="2"/>
            <w:vMerge w:val="restart"/>
            <w:shd w:val="clear" w:color="auto" w:fill="CFF0FC"/>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FF0FC"/>
          </w:tcPr>
          <w:p>
            <w:pPr>
              <w:spacing w:after="0"/>
              <w:rPr>
                <w:sz w:val="12"/>
                <w:szCs w:val="12"/>
                <w:color w:val="auto"/>
              </w:rPr>
            </w:pPr>
          </w:p>
        </w:tc>
        <w:tc>
          <w:tcPr>
            <w:tcW w:w="7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10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4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(527)</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80" w:type="dxa"/>
            <w:vAlign w:val="bottom"/>
            <w:gridSpan w:val="2"/>
            <w:vMerge w:val="restart"/>
            <w:shd w:val="clear" w:color="auto" w:fill="CFF0FC"/>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2"/>
                <w:szCs w:val="12"/>
                <w:color w:val="auto"/>
              </w:rPr>
            </w:pPr>
          </w:p>
        </w:tc>
        <w:tc>
          <w:tcPr>
            <w:tcW w:w="1160" w:type="dxa"/>
            <w:vAlign w:val="bottom"/>
            <w:gridSpan w:val="2"/>
            <w:vMerge w:val="restart"/>
            <w:shd w:val="clear" w:color="auto" w:fill="CFF0FC"/>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960" w:type="dxa"/>
            <w:vAlign w:val="bottom"/>
            <w:gridSpan w:val="2"/>
            <w:vMerge w:val="restart"/>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(527)</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1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adjustments</w:t>
            </w:r>
          </w:p>
        </w:tc>
        <w:tc>
          <w:tcPr>
            <w:tcW w:w="1300" w:type="dxa"/>
            <w:vAlign w:val="bottom"/>
            <w:gridSpan w:val="2"/>
            <w:vMerge w:val="continue"/>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760" w:type="dxa"/>
            <w:vAlign w:val="bottom"/>
            <w:vMerge w:val="continue"/>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100" w:type="dxa"/>
            <w:vAlign w:val="bottom"/>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40" w:type="dxa"/>
            <w:vAlign w:val="bottom"/>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80" w:type="dxa"/>
            <w:vAlign w:val="bottom"/>
            <w:gridSpan w:val="2"/>
            <w:vMerge w:val="continue"/>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60" w:type="dxa"/>
            <w:vAlign w:val="bottom"/>
            <w:gridSpan w:val="2"/>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60" w:type="dxa"/>
            <w:vAlign w:val="bottom"/>
            <w:gridSpan w:val="2"/>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180" w:type="dxa"/>
            <w:vAlign w:val="bottom"/>
          </w:tcPr>
          <w:p>
            <w:pPr>
              <w:spacing w:after="0" w:line="139" w:lineRule="exact"/>
              <w:rPr>
                <w:sz w:val="20"/>
                <w:szCs w:val="20"/>
                <w:color w:val="auto"/>
              </w:rPr>
            </w:pPr>
            <w:r>
              <w:rPr>
                <w:rFonts w:ascii="Times New Roman" w:cs="Times New Roman" w:eastAsia="Times New Roman" w:hAnsi="Times New Roman"/>
                <w:sz w:val="14"/>
                <w:szCs w:val="14"/>
                <w:color w:val="auto"/>
              </w:rPr>
              <w:t>Shares issued from stock</w:t>
            </w:r>
          </w:p>
        </w:tc>
        <w:tc>
          <w:tcPr>
            <w:tcW w:w="10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8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plans, net of payroll taxes</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922,497</w:t>
            </w: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2,137</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16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2,146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1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paid</w:t>
            </w:r>
          </w:p>
        </w:tc>
        <w:tc>
          <w:tcPr>
            <w:tcW w:w="104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1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Stock-based compensation</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4"/>
                <w:szCs w:val="14"/>
                <w:color w:val="auto"/>
              </w:rPr>
            </w:pPr>
          </w:p>
        </w:tc>
        <w:tc>
          <w:tcPr>
            <w:tcW w:w="280" w:type="dxa"/>
            <w:vAlign w:val="bottom"/>
            <w:tcBorders>
              <w:bottom w:val="single" w:sz="8" w:color="auto"/>
            </w:tcBorders>
            <w:shd w:val="clear" w:color="auto" w:fill="CFF0FC"/>
          </w:tcPr>
          <w:p>
            <w:pPr>
              <w:spacing w:after="0"/>
              <w:rPr>
                <w:sz w:val="14"/>
                <w:szCs w:val="14"/>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10,878</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4"/>
                <w:szCs w:val="14"/>
                <w:color w:val="auto"/>
              </w:rPr>
            </w:pPr>
          </w:p>
        </w:tc>
        <w:tc>
          <w:tcPr>
            <w:tcW w:w="220" w:type="dxa"/>
            <w:vAlign w:val="bottom"/>
            <w:tcBorders>
              <w:bottom w:val="single" w:sz="8" w:color="auto"/>
            </w:tcBorders>
            <w:shd w:val="clear" w:color="auto" w:fill="CFF0FC"/>
          </w:tcPr>
          <w:p>
            <w:pPr>
              <w:spacing w:after="0"/>
              <w:rPr>
                <w:sz w:val="14"/>
                <w:szCs w:val="14"/>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10,878</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200" w:type="dxa"/>
            <w:vAlign w:val="bottom"/>
            <w:gridSpan w:val="2"/>
          </w:tcPr>
          <w:p>
            <w:pPr>
              <w:spacing w:after="0" w:line="131" w:lineRule="exact"/>
              <w:rPr>
                <w:sz w:val="20"/>
                <w:szCs w:val="20"/>
                <w:color w:val="auto"/>
              </w:rPr>
            </w:pPr>
            <w:r>
              <w:rPr>
                <w:rFonts w:ascii="Times New Roman" w:cs="Times New Roman" w:eastAsia="Times New Roman" w:hAnsi="Times New Roman"/>
                <w:sz w:val="14"/>
                <w:szCs w:val="14"/>
                <w:b w:val="1"/>
                <w:bCs w:val="1"/>
                <w:color w:val="auto"/>
              </w:rPr>
              <w:t>Balance at March 31,</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83,420,625</w:t>
            </w:r>
          </w:p>
        </w:tc>
        <w:tc>
          <w:tcPr>
            <w:tcW w:w="260" w:type="dxa"/>
            <w:vAlign w:val="bottom"/>
          </w:tcPr>
          <w:p>
            <w:pPr>
              <w:spacing w:after="0"/>
              <w:rPr>
                <w:sz w:val="11"/>
                <w:szCs w:val="11"/>
                <w:color w:val="auto"/>
              </w:rPr>
            </w:pPr>
          </w:p>
        </w:tc>
        <w:tc>
          <w:tcPr>
            <w:tcW w:w="280" w:type="dxa"/>
            <w:vAlign w:val="bottom"/>
            <w:vMerge w:val="restart"/>
          </w:tcPr>
          <w:p>
            <w:pPr>
              <w:jc w:val="right"/>
              <w:ind w:right="163"/>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834</w:t>
            </w:r>
          </w:p>
        </w:tc>
        <w:tc>
          <w:tcPr>
            <w:tcW w:w="4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1,173,109</w:t>
            </w:r>
          </w:p>
        </w:tc>
        <w:tc>
          <w:tcPr>
            <w:tcW w:w="160" w:type="dxa"/>
            <w:vAlign w:val="bottom"/>
          </w:tcPr>
          <w:p>
            <w:pPr>
              <w:spacing w:after="0"/>
              <w:rPr>
                <w:sz w:val="11"/>
                <w:szCs w:val="11"/>
                <w:color w:val="auto"/>
              </w:rPr>
            </w:pPr>
          </w:p>
        </w:tc>
        <w:tc>
          <w:tcPr>
            <w:tcW w:w="2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(3,622)</w:t>
            </w:r>
          </w:p>
        </w:tc>
        <w:tc>
          <w:tcPr>
            <w:tcW w:w="2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(670,803)</w:t>
            </w:r>
          </w:p>
        </w:tc>
        <w:tc>
          <w:tcPr>
            <w:tcW w:w="140" w:type="dxa"/>
            <w:vAlign w:val="bottom"/>
            <w:vMerge w:val="restart"/>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19,271</w:t>
            </w:r>
          </w:p>
        </w:tc>
        <w:tc>
          <w:tcPr>
            <w:tcW w:w="260" w:type="dxa"/>
            <w:vAlign w:val="bottom"/>
          </w:tcPr>
          <w:p>
            <w:pPr>
              <w:spacing w:after="0"/>
              <w:rPr>
                <w:sz w:val="11"/>
                <w:szCs w:val="11"/>
                <w:color w:val="auto"/>
              </w:rPr>
            </w:pPr>
          </w:p>
        </w:tc>
        <w:tc>
          <w:tcPr>
            <w:tcW w:w="220" w:type="dxa"/>
            <w:vAlign w:val="bottom"/>
            <w:vMerge w:val="restart"/>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518,789</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2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4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420" w:type="dxa"/>
            <w:vAlign w:val="bottom"/>
            <w:gridSpan w:val="2"/>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gridSpan w:val="2"/>
            <w:vMerge w:val="continue"/>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220" w:type="dxa"/>
            <w:vAlign w:val="bottom"/>
            <w:gridSpan w:val="2"/>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 w:name="page7"/>
    <w:bookmarkEnd w:id="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FIBROGEN,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0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340" w:type="dxa"/>
            <w:vAlign w:val="bottom"/>
            <w:tcBorders>
              <w:bottom w:val="single" w:sz="8" w:color="auto"/>
            </w:tcBorders>
            <w:gridSpan w:val="4"/>
          </w:tcPr>
          <w:p>
            <w:pPr>
              <w:jc w:val="right"/>
              <w:ind w:right="282"/>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060" w:type="dxa"/>
            <w:vAlign w:val="bottom"/>
            <w:tcBorders>
              <w:bottom w:val="single" w:sz="8" w:color="CFF0FC"/>
            </w:tcBorders>
          </w:tcPr>
          <w:p>
            <w:pPr>
              <w:spacing w:after="0"/>
              <w:rPr>
                <w:sz w:val="13"/>
                <w:szCs w:val="13"/>
                <w:color w:val="auto"/>
              </w:rPr>
            </w:pPr>
          </w:p>
        </w:tc>
        <w:tc>
          <w:tcPr>
            <w:tcW w:w="1220" w:type="dxa"/>
            <w:vAlign w:val="bottom"/>
            <w:tcBorders>
              <w:bottom w:val="single" w:sz="8" w:color="CFF0FC"/>
            </w:tcBorders>
          </w:tcPr>
          <w:p>
            <w:pPr>
              <w:spacing w:after="0"/>
              <w:rPr>
                <w:sz w:val="13"/>
                <w:szCs w:val="13"/>
                <w:color w:val="auto"/>
              </w:rPr>
            </w:pPr>
          </w:p>
        </w:tc>
        <w:tc>
          <w:tcPr>
            <w:tcW w:w="1200" w:type="dxa"/>
            <w:vAlign w:val="bottom"/>
            <w:tcBorders>
              <w:bottom w:val="single" w:sz="8" w:color="auto"/>
            </w:tcBorders>
          </w:tcPr>
          <w:p>
            <w:pPr>
              <w:jc w:val="right"/>
              <w:ind w:right="65"/>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640" w:type="dxa"/>
            <w:vAlign w:val="bottom"/>
            <w:tcBorders>
              <w:bottom w:val="single" w:sz="8" w:color="auto"/>
            </w:tcBorders>
          </w:tcPr>
          <w:p>
            <w:pPr>
              <w:spacing w:after="0"/>
              <w:rPr>
                <w:sz w:val="13"/>
                <w:szCs w:val="13"/>
                <w:color w:val="auto"/>
              </w:rPr>
            </w:pPr>
          </w:p>
        </w:tc>
        <w:tc>
          <w:tcPr>
            <w:tcW w:w="300" w:type="dxa"/>
            <w:vAlign w:val="bottom"/>
            <w:tcBorders>
              <w:bottom w:val="single" w:sz="8" w:color="CFF0FC"/>
            </w:tcBorders>
          </w:tcPr>
          <w:p>
            <w:pPr>
              <w:spacing w:after="0"/>
              <w:rPr>
                <w:sz w:val="13"/>
                <w:szCs w:val="13"/>
                <w:color w:val="auto"/>
              </w:rPr>
            </w:pPr>
          </w:p>
        </w:tc>
        <w:tc>
          <w:tcPr>
            <w:tcW w:w="1200" w:type="dxa"/>
            <w:vAlign w:val="bottom"/>
            <w:tcBorders>
              <w:bottom w:val="single" w:sz="8" w:color="auto"/>
            </w:tcBorders>
          </w:tcPr>
          <w:p>
            <w:pPr>
              <w:jc w:val="right"/>
              <w:ind w:right="42"/>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660" w:type="dxa"/>
            <w:vAlign w:val="bottom"/>
            <w:tcBorders>
              <w:bottom w:val="single" w:sz="8" w:color="auto"/>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Operating activities</w:t>
            </w:r>
          </w:p>
        </w:tc>
        <w:tc>
          <w:tcPr>
            <w:tcW w:w="12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2420" w:type="dxa"/>
            <w:vAlign w:val="bottom"/>
            <w:gridSpan w:val="2"/>
          </w:tcPr>
          <w:p>
            <w:pPr>
              <w:jc w:val="right"/>
              <w:ind w:right="1045"/>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(45,411)</w:t>
            </w:r>
          </w:p>
        </w:tc>
        <w:tc>
          <w:tcPr>
            <w:tcW w:w="1200" w:type="dxa"/>
            <w:vAlign w:val="bottom"/>
          </w:tcPr>
          <w:p>
            <w:pPr>
              <w:jc w:val="right"/>
              <w:ind w:right="1042"/>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(41,396)</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0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Adjustments to reconcile net loss to net cash provided by (used in)</w:t>
            </w:r>
          </w:p>
        </w:tc>
        <w:tc>
          <w:tcPr>
            <w:tcW w:w="12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operating activities:</w:t>
            </w:r>
          </w:p>
        </w:tc>
        <w:tc>
          <w:tcPr>
            <w:tcW w:w="12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0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Depreciation</w:t>
            </w:r>
          </w:p>
        </w:tc>
        <w:tc>
          <w:tcPr>
            <w:tcW w:w="1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2,744</w:t>
            </w: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0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Amortization of finance lease right-of-use assets</w:t>
            </w:r>
          </w:p>
        </w:tc>
        <w:tc>
          <w:tcPr>
            <w:tcW w:w="122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2,569</w:t>
            </w:r>
          </w:p>
        </w:tc>
        <w:tc>
          <w:tcPr>
            <w:tcW w:w="30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0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Net amortization of premium and discount on investments</w:t>
            </w:r>
          </w:p>
        </w:tc>
        <w:tc>
          <w:tcPr>
            <w:tcW w:w="1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(1,350)</w:t>
            </w:r>
          </w:p>
        </w:tc>
        <w:tc>
          <w:tcPr>
            <w:tcW w:w="1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0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Unrealized gain on cash equivalents and short-term equity investments</w:t>
            </w:r>
          </w:p>
        </w:tc>
        <w:tc>
          <w:tcPr>
            <w:tcW w:w="122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(51)</w:t>
            </w:r>
          </w:p>
        </w:tc>
        <w:tc>
          <w:tcPr>
            <w:tcW w:w="120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(165)</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0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Gain on disposal of property and equipment</w:t>
            </w:r>
          </w:p>
        </w:tc>
        <w:tc>
          <w:tcPr>
            <w:tcW w:w="1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(10)</w:t>
            </w:r>
          </w:p>
        </w:tc>
        <w:tc>
          <w:tcPr>
            <w:tcW w:w="12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0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Stock-based compensation</w:t>
            </w:r>
          </w:p>
        </w:tc>
        <w:tc>
          <w:tcPr>
            <w:tcW w:w="122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16,430</w:t>
            </w:r>
          </w:p>
        </w:tc>
        <w:tc>
          <w:tcPr>
            <w:tcW w:w="30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10,878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Tax benefit on unrealized gain on available-for-sale securities</w:t>
            </w:r>
          </w:p>
        </w:tc>
        <w:tc>
          <w:tcPr>
            <w:tcW w:w="1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(118)</w:t>
            </w:r>
          </w:p>
        </w:tc>
        <w:tc>
          <w:tcPr>
            <w:tcW w:w="12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0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122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0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Accounts receivable</w:t>
            </w:r>
          </w:p>
        </w:tc>
        <w:tc>
          <w:tcPr>
            <w:tcW w:w="1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57,661</w:t>
            </w: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(1,523)</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0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22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(2,785)</w:t>
            </w:r>
          </w:p>
        </w:tc>
        <w:tc>
          <w:tcPr>
            <w:tcW w:w="120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1,380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0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Other assets</w:t>
            </w:r>
          </w:p>
        </w:tc>
        <w:tc>
          <w:tcPr>
            <w:tcW w:w="1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(51)</w:t>
            </w:r>
          </w:p>
        </w:tc>
        <w:tc>
          <w:tcPr>
            <w:tcW w:w="12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(364)</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0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Accounts payable</w:t>
            </w:r>
          </w:p>
        </w:tc>
        <w:tc>
          <w:tcPr>
            <w:tcW w:w="122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(5,367)</w:t>
            </w:r>
          </w:p>
        </w:tc>
        <w:tc>
          <w:tcPr>
            <w:tcW w:w="120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(1,960)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0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Accrued and other liabilities</w:t>
            </w:r>
          </w:p>
        </w:tc>
        <w:tc>
          <w:tcPr>
            <w:tcW w:w="1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736</w:t>
            </w: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(1,066)</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0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Deferred revenue</w:t>
            </w:r>
          </w:p>
        </w:tc>
        <w:tc>
          <w:tcPr>
            <w:tcW w:w="122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(2,580)</w:t>
            </w:r>
          </w:p>
        </w:tc>
        <w:tc>
          <w:tcPr>
            <w:tcW w:w="120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0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Lease obligations</w:t>
            </w:r>
          </w:p>
        </w:tc>
        <w:tc>
          <w:tcPr>
            <w:tcW w:w="1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0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Accrued interest for finance lease liabilities</w:t>
            </w:r>
          </w:p>
        </w:tc>
        <w:tc>
          <w:tcPr>
            <w:tcW w:w="122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219</w:t>
            </w:r>
          </w:p>
        </w:tc>
        <w:tc>
          <w:tcPr>
            <w:tcW w:w="30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0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1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(156)</w:t>
            </w:r>
          </w:p>
        </w:tc>
        <w:tc>
          <w:tcPr>
            <w:tcW w:w="1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tcBorders>
              <w:top w:val="single" w:sz="8" w:color="CFF0FC"/>
            </w:tcBorders>
            <w:shd w:val="clear" w:color="auto" w:fill="CFF0FC"/>
          </w:tcPr>
          <w:p>
            <w:pPr>
              <w:ind w:left="480"/>
              <w:spacing w:after="0"/>
              <w:rPr>
                <w:sz w:val="20"/>
                <w:szCs w:val="20"/>
                <w:color w:val="auto"/>
              </w:rPr>
            </w:pPr>
            <w:r>
              <w:rPr>
                <w:rFonts w:ascii="Times New Roman" w:cs="Times New Roman" w:eastAsia="Times New Roman" w:hAnsi="Times New Roman"/>
                <w:sz w:val="16"/>
                <w:szCs w:val="16"/>
                <w:color w:val="auto"/>
              </w:rPr>
              <w:t>Net cash provided by (used in) operating activities</w:t>
            </w:r>
          </w:p>
        </w:tc>
        <w:tc>
          <w:tcPr>
            <w:tcW w:w="1220" w:type="dxa"/>
            <w:vAlign w:val="bottom"/>
            <w:tcBorders>
              <w:top w:val="single" w:sz="8" w:color="CFF0FC"/>
            </w:tcBorders>
            <w:shd w:val="clear" w:color="auto" w:fill="CFF0FC"/>
          </w:tcPr>
          <w:p>
            <w:pPr>
              <w:spacing w:after="0"/>
              <w:rPr>
                <w:sz w:val="18"/>
                <w:szCs w:val="18"/>
                <w:color w:val="auto"/>
              </w:rPr>
            </w:pPr>
          </w:p>
        </w:tc>
        <w:tc>
          <w:tcPr>
            <w:tcW w:w="1200" w:type="dxa"/>
            <w:vAlign w:val="bottom"/>
            <w:tcBorders>
              <w:top w:val="single" w:sz="8" w:color="auto"/>
              <w:bottom w:val="single" w:sz="8" w:color="auto"/>
            </w:tcBorders>
            <w:shd w:val="clear" w:color="auto" w:fill="CFF0FC"/>
          </w:tcPr>
          <w:p>
            <w:pPr>
              <w:spacing w:after="0"/>
              <w:rPr>
                <w:sz w:val="18"/>
                <w:szCs w:val="18"/>
                <w:color w:val="auto"/>
              </w:rPr>
            </w:pP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22,480</w:t>
            </w:r>
          </w:p>
        </w:tc>
        <w:tc>
          <w:tcPr>
            <w:tcW w:w="300" w:type="dxa"/>
            <w:vAlign w:val="bottom"/>
            <w:tcBorders>
              <w:top w:val="single" w:sz="8" w:color="CFF0FC"/>
            </w:tcBorders>
            <w:shd w:val="clear" w:color="auto" w:fill="CFF0FC"/>
          </w:tcPr>
          <w:p>
            <w:pPr>
              <w:spacing w:after="0"/>
              <w:rPr>
                <w:sz w:val="18"/>
                <w:szCs w:val="18"/>
                <w:color w:val="auto"/>
              </w:rPr>
            </w:pPr>
          </w:p>
        </w:tc>
        <w:tc>
          <w:tcPr>
            <w:tcW w:w="1200" w:type="dxa"/>
            <w:vAlign w:val="bottom"/>
            <w:tcBorders>
              <w:top w:val="single" w:sz="8" w:color="auto"/>
              <w:bottom w:val="single" w:sz="8" w:color="auto"/>
            </w:tcBorders>
            <w:shd w:val="clear" w:color="auto" w:fill="CFF0FC"/>
          </w:tcPr>
          <w:p>
            <w:pPr>
              <w:spacing w:after="0"/>
              <w:rPr>
                <w:sz w:val="18"/>
                <w:szCs w:val="18"/>
                <w:color w:val="auto"/>
              </w:rPr>
            </w:pP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(31,963)</w:t>
            </w: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60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Investing activities</w:t>
            </w:r>
          </w:p>
        </w:tc>
        <w:tc>
          <w:tcPr>
            <w:tcW w:w="12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1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(483)</w:t>
            </w:r>
          </w:p>
        </w:tc>
        <w:tc>
          <w:tcPr>
            <w:tcW w:w="12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(1,837)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0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Purchases of available-for-sale securities and term deposit</w:t>
            </w:r>
          </w:p>
        </w:tc>
        <w:tc>
          <w:tcPr>
            <w:tcW w:w="122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(76,004)</w:t>
            </w:r>
          </w:p>
        </w:tc>
        <w:tc>
          <w:tcPr>
            <w:tcW w:w="120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(44)</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0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6"/>
                <w:szCs w:val="16"/>
                <w:color w:val="auto"/>
              </w:rPr>
              <w:t>Proceeds from maturities of investments</w:t>
            </w:r>
          </w:p>
        </w:tc>
        <w:tc>
          <w:tcPr>
            <w:tcW w:w="1220" w:type="dxa"/>
            <w:vAlign w:val="bottom"/>
            <w:tcBorders>
              <w:bottom w:val="single" w:sz="8" w:color="CFF0FC"/>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300" w:type="dxa"/>
            <w:vAlign w:val="bottom"/>
            <w:tcBorders>
              <w:bottom w:val="single" w:sz="8" w:color="CFF0FC"/>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17,180</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6"/>
                <w:szCs w:val="16"/>
                <w:color w:val="auto"/>
              </w:rPr>
              <w:t>Net cash provided by (used in) investing activities</w:t>
            </w:r>
          </w:p>
        </w:tc>
        <w:tc>
          <w:tcPr>
            <w:tcW w:w="1220" w:type="dxa"/>
            <w:vAlign w:val="bottom"/>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(26,487)</w:t>
            </w:r>
          </w:p>
        </w:tc>
        <w:tc>
          <w:tcPr>
            <w:tcW w:w="300" w:type="dxa"/>
            <w:vAlign w:val="bottom"/>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15,299</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60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Financing activities</w:t>
            </w:r>
          </w:p>
        </w:tc>
        <w:tc>
          <w:tcPr>
            <w:tcW w:w="12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6"/>
                <w:szCs w:val="16"/>
                <w:color w:val="auto"/>
              </w:rPr>
              <w:t>Repayments of finance lease liabilities</w:t>
            </w:r>
          </w:p>
        </w:tc>
        <w:tc>
          <w:tcPr>
            <w:tcW w:w="1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(3,017)</w:t>
            </w:r>
          </w:p>
        </w:tc>
        <w:tc>
          <w:tcPr>
            <w:tcW w:w="12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0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Repayments of lease obligations</w:t>
            </w:r>
          </w:p>
        </w:tc>
        <w:tc>
          <w:tcPr>
            <w:tcW w:w="122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(101)</w:t>
            </w:r>
          </w:p>
        </w:tc>
        <w:tc>
          <w:tcPr>
            <w:tcW w:w="120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(101)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6"/>
                <w:szCs w:val="16"/>
                <w:color w:val="auto"/>
              </w:rPr>
              <w:t>Cash paid for payroll taxes on restricted stock unit releases</w:t>
            </w:r>
          </w:p>
        </w:tc>
        <w:tc>
          <w:tcPr>
            <w:tcW w:w="1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(5,988)</w:t>
            </w:r>
          </w:p>
        </w:tc>
        <w:tc>
          <w:tcPr>
            <w:tcW w:w="12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(6,813)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0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Proceeds from issuance of common stock</w:t>
            </w:r>
          </w:p>
        </w:tc>
        <w:tc>
          <w:tcPr>
            <w:tcW w:w="1220" w:type="dxa"/>
            <w:vAlign w:val="bottom"/>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5,572</w:t>
            </w:r>
          </w:p>
        </w:tc>
        <w:tc>
          <w:tcPr>
            <w:tcW w:w="300" w:type="dxa"/>
            <w:vAlign w:val="bottom"/>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8,959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6060" w:type="dxa"/>
            <w:vAlign w:val="bottom"/>
            <w:tcBorders>
              <w:bottom w:val="single" w:sz="8" w:color="CFF0FC"/>
            </w:tcBorders>
          </w:tcPr>
          <w:p>
            <w:pPr>
              <w:ind w:left="480"/>
              <w:spacing w:after="0"/>
              <w:rPr>
                <w:sz w:val="20"/>
                <w:szCs w:val="20"/>
                <w:color w:val="auto"/>
              </w:rPr>
            </w:pPr>
            <w:r>
              <w:rPr>
                <w:rFonts w:ascii="Times New Roman" w:cs="Times New Roman" w:eastAsia="Times New Roman" w:hAnsi="Times New Roman"/>
                <w:sz w:val="16"/>
                <w:szCs w:val="16"/>
                <w:color w:val="auto"/>
              </w:rPr>
              <w:t>Net cash provided by (used in) financing activities</w:t>
            </w:r>
          </w:p>
        </w:tc>
        <w:tc>
          <w:tcPr>
            <w:tcW w:w="1220" w:type="dxa"/>
            <w:vAlign w:val="bottom"/>
            <w:tcBorders>
              <w:bottom w:val="single" w:sz="8" w:color="CFF0FC"/>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(3,534)</w:t>
            </w:r>
          </w:p>
        </w:tc>
        <w:tc>
          <w:tcPr>
            <w:tcW w:w="300" w:type="dxa"/>
            <w:vAlign w:val="bottom"/>
            <w:tcBorders>
              <w:bottom w:val="single" w:sz="8" w:color="CFF0FC"/>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2,045</w:t>
            </w:r>
          </w:p>
        </w:tc>
        <w:tc>
          <w:tcPr>
            <w:tcW w:w="12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0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Effect of exchange rate change on cash and cash equivalents</w:t>
            </w:r>
          </w:p>
        </w:tc>
        <w:tc>
          <w:tcPr>
            <w:tcW w:w="1220" w:type="dxa"/>
            <w:vAlign w:val="bottom"/>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300" w:type="dxa"/>
            <w:vAlign w:val="bottom"/>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60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Net decrease in cash and cash equivalents</w:t>
            </w:r>
          </w:p>
        </w:tc>
        <w:tc>
          <w:tcPr>
            <w:tcW w:w="1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(7,585)</w:t>
            </w:r>
          </w:p>
        </w:tc>
        <w:tc>
          <w:tcPr>
            <w:tcW w:w="3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(14,651)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0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cash and cash equivalents at beginning of period</w:t>
            </w:r>
          </w:p>
        </w:tc>
        <w:tc>
          <w:tcPr>
            <w:tcW w:w="1220" w:type="dxa"/>
            <w:vAlign w:val="bottom"/>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89,258</w:t>
            </w:r>
          </w:p>
        </w:tc>
        <w:tc>
          <w:tcPr>
            <w:tcW w:w="300" w:type="dxa"/>
            <w:vAlign w:val="bottom"/>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673,658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60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Total cash and cash equivalents at end of period</w:t>
            </w:r>
          </w:p>
        </w:tc>
        <w:tc>
          <w:tcPr>
            <w:tcW w:w="1220" w:type="dxa"/>
            <w:vAlign w:val="bottom"/>
          </w:tcPr>
          <w:p>
            <w:pPr>
              <w:spacing w:after="0"/>
              <w:rPr>
                <w:sz w:val="17"/>
                <w:szCs w:val="17"/>
                <w:color w:val="auto"/>
              </w:rPr>
            </w:pPr>
          </w:p>
        </w:tc>
        <w:tc>
          <w:tcPr>
            <w:tcW w:w="1200" w:type="dxa"/>
            <w:vAlign w:val="bottom"/>
            <w:tcBorders>
              <w:bottom w:val="single" w:sz="8" w:color="auto"/>
            </w:tcBorders>
          </w:tcPr>
          <w:p>
            <w:pPr>
              <w:jc w:val="right"/>
              <w:ind w:right="1045"/>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81,673</w:t>
            </w:r>
          </w:p>
        </w:tc>
        <w:tc>
          <w:tcPr>
            <w:tcW w:w="300" w:type="dxa"/>
            <w:vAlign w:val="bottom"/>
          </w:tcPr>
          <w:p>
            <w:pPr>
              <w:spacing w:after="0"/>
              <w:rPr>
                <w:sz w:val="17"/>
                <w:szCs w:val="17"/>
                <w:color w:val="auto"/>
              </w:rPr>
            </w:pPr>
          </w:p>
        </w:tc>
        <w:tc>
          <w:tcPr>
            <w:tcW w:w="1200" w:type="dxa"/>
            <w:vAlign w:val="bottom"/>
            <w:tcBorders>
              <w:bottom w:val="single" w:sz="8" w:color="auto"/>
            </w:tcBorders>
          </w:tcPr>
          <w:p>
            <w:pPr>
              <w:jc w:val="right"/>
              <w:ind w:right="1042"/>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659,007</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 w:name="page8"/>
    <w:bookmarkEnd w:id="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FIBROGEN,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5" w:lineRule="exact"/>
        <w:rPr>
          <w:sz w:val="20"/>
          <w:szCs w:val="20"/>
          <w:color w:val="auto"/>
        </w:rPr>
      </w:pPr>
    </w:p>
    <w:p>
      <w:pPr>
        <w:ind w:right="8500" w:firstLine="8"/>
        <w:spacing w:after="0" w:line="378" w:lineRule="auto"/>
        <w:tabs>
          <w:tab w:leader="none" w:pos="513"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Significant Accounting Policies Description of Operations</w:t>
      </w:r>
    </w:p>
    <w:p>
      <w:pPr>
        <w:spacing w:after="0" w:line="252" w:lineRule="auto"/>
        <w:rPr>
          <w:sz w:val="20"/>
          <w:szCs w:val="20"/>
          <w:color w:val="auto"/>
        </w:rPr>
      </w:pPr>
      <w:r>
        <w:rPr>
          <w:rFonts w:ascii="Times New Roman" w:cs="Times New Roman" w:eastAsia="Times New Roman" w:hAnsi="Times New Roman"/>
          <w:sz w:val="18"/>
          <w:szCs w:val="18"/>
          <w:color w:val="auto"/>
        </w:rPr>
        <w:t>FibroGen, Inc. (“FibroGen” or the “Company”) was incorporated in 1993 in Delaware and is a leading biopharmaceutical company discovering and developing a pipeline of first-in-class therapeutics. The Company has applied its pioneering expertise in hypoxia-inducible factor (“HIF”) and connective tissue growth factor (“CTGF”) biology to develop innovative medicines for the treatment of anemia, fibrotic disease, and cancer. Roxadustat (FG-4592), the Company’s most advanced product candidate, is an oral small molecule inhibitor of HIF prolyl hydroxylase (“HIF-PH”) activity. Roxadustat has received approval of its New Drug Application (“NDA”) in anemia associated with chronic kidney disease (“CKD”) in dialysis-dependent patients from the National Medical Products Administration (“NMPA”) of the People’s Republic of China (“China”). In conjunction with our collaboration partners, we have completed the Phase 3 trials of roxadustat intended to support an NDA in the United States (“U.S.”) and a Marketing Authorization Application (“MAA”) in the European Union for the treatment of anemia in CKD. In collaboration with its partners AstraZeneca AB (“AstraZeneca”) and Astellas Pharma Inc. (“Astellas”), the Company is in the process of preparing the NDA for submission to the U.S. Food and Drug Administration (“FDA”) and MAA for submission to the European Medicines Agency this year. Both the U.S. NDA and European MAA for roxadustat are expected to cover anemia associated with dialysis-dependent CKD and non-dialysis-dependent CKD. The Company is also in Phase 3 clinical development for the treatment of anemia associated with myelodysplastic syndromes (“MDS”). Pamrevlumab, a human monoclonal antibody that inhibits the activity of CTGF, is advancing towards Phase 3 clinical development for the treatment of idiopathic pulmonary fibrosis (“IPF”) and pancreatic cancer, and is currently in a Phase 2 trial for Duchenne muscular dystrophy (“DMD”).</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 and Principles of Consolidation</w:t>
      </w:r>
    </w:p>
    <w:p>
      <w:pPr>
        <w:spacing w:after="0" w:line="121"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condensed consolidated financial statements include the accounts of FibroGen, its wholly owned subsidiaries and its majority-owned subsidiaries, FibroGen Europe Oy and FibroGen China Anemia Holdings, Ltd. (“FibroGen China”). All inter-company transactions and balances have been eliminated in consolidation. The Company operates in one segment — the discovery, development and commercialization of novel therapeutics to treat serious unmet medical needs.</w:t>
      </w:r>
    </w:p>
    <w:p>
      <w:pPr>
        <w:spacing w:after="0" w:line="180"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unaudited condensed consolidated financial statements and related disclosures have been prepared in accordance with accounting principles generally accepted in the United States of America (“U.S. GAAP”) applicable to interim financial reporting and with the instructions to Form 10-Q and Rule 10-01 of Regulation S-X of the United States Securities and Exchange Commission (“SEC”) and, therefore, do not include all information and footnote disclosures normally included in the annual consolidated financial statements. The financial information included herein should be read in conjunction with the consolidated financial statements and related notes in the Company’s Annual Report on Form 10-K filed with the SEC for the year ended December 31, 2018 (“2018 Form 10-K”).</w:t>
      </w:r>
    </w:p>
    <w:p>
      <w:pPr>
        <w:spacing w:after="0" w:line="188"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accounting policies used by the Company in its presentation of interim financial results are consistent with those presented in Note 2 to the consolidated financial statements included in the 2018 Form 10-K, except for the following:</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21"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Company determines if an arrangement is a lease at inception date when it is given control of the underlying assets. The Company elected the practical expedient not to apply the lease recognition and measurement requirements to short-term leases, which is any lease with a term of 12 months or less as of the commencement date that does not include an option to purchase the underlying asset that the lessee is reasonably certain to exercise.</w:t>
      </w:r>
    </w:p>
    <w:p>
      <w:pPr>
        <w:spacing w:after="0" w:line="176"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 xml:space="preserve">The Company’s building leases previously accounted for as build-to-suit arrangements prior to the adoption of Accounting Standards Codification (“ASC”) 842 -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(“ASC 842”) are accounted for as finance leases under the requirements of ASC 842.</w:t>
      </w:r>
    </w:p>
    <w:p>
      <w:pPr>
        <w:spacing w:after="0" w:line="16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Lease right-of-use (“ROU”) assets and lease liabilities are recognized based on the present value of the future minimum lease payments over the lease term at commencement date. As its leases do not typically provide an implicit rate, the Company uses its incremental borrowing rate based on the information available at commencement date in determining the present value of future payments. The Company will reassess the incremental borrowing rate periodically for application to any new leases or lease modifications or if any company-specific or general business conditions warrant.</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8" w:name="page9"/>
    <w:bookmarkEnd w:id="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Lease ROU assets include any lease payments made and initial direct costs incurred. The Company has lease agreements with lease and non-lease components. The Company generally accounts for each lease component separately from the non-lease components, and excludes all non-lease components from the calculation of minimum lease payments in measuring the ROU asset and lease liability.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lease terms may include options to extend or terminate the lease when it is reasonably certain that the Company will exercise that option.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Lease expense for minimum lease payments is recognized on a straight-line basis over the lease terms.</w:t>
      </w:r>
    </w:p>
    <w:p>
      <w:pPr>
        <w:spacing w:after="0" w:line="207" w:lineRule="exact"/>
        <w:rPr>
          <w:sz w:val="20"/>
          <w:szCs w:val="20"/>
          <w:color w:val="auto"/>
        </w:rPr>
      </w:pPr>
    </w:p>
    <w:p>
      <w:pPr>
        <w:ind w:right="80"/>
        <w:spacing w:after="0" w:line="289" w:lineRule="auto"/>
        <w:rPr>
          <w:sz w:val="20"/>
          <w:szCs w:val="20"/>
          <w:color w:val="auto"/>
        </w:rPr>
      </w:pPr>
      <w:r>
        <w:rPr>
          <w:rFonts w:ascii="Times New Roman" w:cs="Times New Roman" w:eastAsia="Times New Roman" w:hAnsi="Times New Roman"/>
          <w:sz w:val="17"/>
          <w:szCs w:val="17"/>
          <w:color w:val="auto"/>
        </w:rPr>
        <w:t>Regarding leases denominated in a foreign currency, the related ROU assets and the corresponding ROU asset amortization costs are remeasured using the exchange rate in effect at the date of initial recognition; the related lease liabilities are remeasured using the exchange rate in effect at the end of the reporting period; the lease costs and interest expenses related to lease liability accretion are remeasured using average exchange rates for the reporting period.</w:t>
      </w:r>
    </w:p>
    <w:p>
      <w:pPr>
        <w:spacing w:after="0" w:line="158" w:lineRule="exact"/>
        <w:rPr>
          <w:sz w:val="20"/>
          <w:szCs w:val="20"/>
          <w:color w:val="auto"/>
        </w:rPr>
      </w:pPr>
    </w:p>
    <w:p>
      <w:pPr>
        <w:jc w:val="both"/>
        <w:ind w:right="420"/>
        <w:spacing w:after="0" w:line="266" w:lineRule="auto"/>
        <w:rPr>
          <w:sz w:val="20"/>
          <w:szCs w:val="20"/>
          <w:color w:val="auto"/>
        </w:rPr>
      </w:pPr>
      <w:r>
        <w:rPr>
          <w:rFonts w:ascii="Times New Roman" w:cs="Times New Roman" w:eastAsia="Times New Roman" w:hAnsi="Times New Roman"/>
          <w:sz w:val="18"/>
          <w:szCs w:val="18"/>
          <w:color w:val="auto"/>
        </w:rPr>
        <w:t>Finance leases are included in finance lease ROU assets, finance lease liabilities, current and non-current on the Company’s consolidated balance sheets. Operating leases are included in other assets, accrued and other current liabilities, and other long-term liabilities on the Company’s consolidated balance sheets.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21"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The preparation of the consolidated financial statements in conformity with U.S. GAAP requires management to make estimates and assumptions that affect the reported amounts of assets and liabilities and disclosure of contingent assets and liabilities at the date of the financial statements and reported amounts of revenues and expenses during the reporting period. The more significant areas requiring the use of management estimates and assumptions include valuation and recognition of revenue, estimates of accruals related to clinical trial costs, valuation allowances for deferred tax assets, and valuation and recognition of stock-based compensation. On an ongoing basis, management reviews these estimates and assumptions. Changes in facts and circumstances may alter such estimates and actual results could differ from those estimates. In the Company’s opinion, the accompanying unaudited condensed consolidated financial statements include all normal recurring adjustments necessary for a fair statement of its financial position, results of operations and cash flows for the interim periods presented.</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and Adopted Accounting Guidance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ASC 842</w:t>
      </w:r>
    </w:p>
    <w:p>
      <w:pPr>
        <w:spacing w:after="0" w:line="11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 xml:space="preserve">In February 2016, the Financial Accounting Standards Board (“FASB”) issued Accounting Standards Update (“ASU”) 2016-02, </w:t>
      </w:r>
      <w:r>
        <w:rPr>
          <w:rFonts w:ascii="Times New Roman" w:cs="Times New Roman" w:eastAsia="Times New Roman" w:hAnsi="Times New Roman"/>
          <w:sz w:val="18"/>
          <w:szCs w:val="18"/>
          <w:i w:val="1"/>
          <w:iCs w:val="1"/>
          <w:color w:val="auto"/>
        </w:rPr>
        <w:t>Leases (Topic 842)</w:t>
      </w:r>
      <w:r>
        <w:rPr>
          <w:rFonts w:ascii="Times New Roman" w:cs="Times New Roman" w:eastAsia="Times New Roman" w:hAnsi="Times New Roman"/>
          <w:sz w:val="18"/>
          <w:szCs w:val="18"/>
          <w:color w:val="auto"/>
        </w:rPr>
        <w:t xml:space="preserve"> (“ASU 2016-02”). Under this guidance, an entity is required to recognize ROU assets and lease liabilities on its balance sheet and disclose key information about leasing arrangements. This guidance offers specific accounting guidance for a lessee, a lessor and sale and leaseback transactions. Lessees and lessors are required to disclose qualitative and quantitative information about leasing arrangements to enable a user of the financial statements to assess the amount, timing and uncertainty of cash flows arising from leases. In July 2018, the FASB issued ASU 2018-11, </w:t>
      </w:r>
      <w:r>
        <w:rPr>
          <w:rFonts w:ascii="Times New Roman" w:cs="Times New Roman" w:eastAsia="Times New Roman" w:hAnsi="Times New Roman"/>
          <w:sz w:val="18"/>
          <w:szCs w:val="18"/>
          <w:i w:val="1"/>
          <w:iCs w:val="1"/>
          <w:color w:val="auto"/>
        </w:rPr>
        <w:t>Leases (Topic 842): Targeted Improvements</w:t>
      </w:r>
      <w:r>
        <w:rPr>
          <w:rFonts w:ascii="Times New Roman" w:cs="Times New Roman" w:eastAsia="Times New Roman" w:hAnsi="Times New Roman"/>
          <w:sz w:val="18"/>
          <w:szCs w:val="18"/>
          <w:color w:val="auto"/>
        </w:rPr>
        <w:t xml:space="preserve"> (“ASU 2018-11”), which provides entities the option to initially apply ASU 2016-02 at the adoption date and recognize a cumulative-effect adjustment to the opening balance of retained earnings in the period of adoption.</w:t>
      </w:r>
    </w:p>
    <w:p>
      <w:pPr>
        <w:spacing w:after="0" w:line="185"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Company adopted the above guidance under ASC 842 as of January 1, 2019, using the modified retrospective transition method, through a cumulative-effect adjustment at the beginning of the first quarter of 2019. The Company elected the optional transition method under the guidance, which allowed it to continue applying previous lease guidance (ASC 840) for the comparative prior year periods presentation in the year of adoption. Accordingly, the Company recognized a cumulative-effect adjustment to the opening balance of retained earnings in the period of adoption.</w:t>
      </w:r>
    </w:p>
    <w:p>
      <w:pPr>
        <w:spacing w:after="0" w:line="180"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In addition, the Company elected the package of transitional practical expedients permitted under the transition guidance under ASC 842, which among other things allows the Company to carry forward its historical lease classification, and not to reassess initial direct costs for any existing leases. Meanwhile, the Company did not elect the hindsight practical expedient because it has limited number of leases, lease terms are straightforward, and most of its lease renewals are undefined until negotiated.</w:t>
      </w:r>
    </w:p>
    <w:p>
      <w:pPr>
        <w:spacing w:after="0" w:line="180" w:lineRule="exact"/>
        <w:rPr>
          <w:sz w:val="20"/>
          <w:szCs w:val="20"/>
          <w:color w:val="auto"/>
        </w:rPr>
      </w:pPr>
    </w:p>
    <w:p>
      <w:pPr>
        <w:jc w:val="both"/>
        <w:ind w:right="140"/>
        <w:spacing w:after="0" w:line="261" w:lineRule="auto"/>
        <w:rPr>
          <w:sz w:val="20"/>
          <w:szCs w:val="20"/>
          <w:color w:val="auto"/>
        </w:rPr>
      </w:pPr>
      <w:r>
        <w:rPr>
          <w:rFonts w:ascii="Times New Roman" w:cs="Times New Roman" w:eastAsia="Times New Roman" w:hAnsi="Times New Roman"/>
          <w:sz w:val="18"/>
          <w:szCs w:val="18"/>
          <w:color w:val="auto"/>
        </w:rPr>
        <w:t>In addition, the Company has elected the short term accounting policy practical expedient and does not apply the balance sheet recognition requirements for short-term leases (excluding expenses relating to leases with a lease term of one month or less), by class of underlying asset to which the right of use relates. The Company has not elected the non-lease components practical expedient, and therefore accounts for each lease component separately from the non-lease components.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 w:name="page10"/>
    <w:bookmarkEnd w:id="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Upon adoption of ASC 842, the Company classified its existing building leases that were previously accounted for as build-to-suit arrangements as finance leases, and applied the transition guidance. Accordingly, the Company derecognized the assets and liabilities previously recognized under ASC 840 build-to-suit guidance. In addition, as a result of applying the transition guidance, the Company also recorded an adjustment to the accumulated depreciation of related leasehold improvements to reflect a change in estimated useful life from the building life to the shorter of the building life and remaining lease term. Differences between the assets and liabilities derecognized were recorded to the opening balance of retained earnings.</w:t>
      </w:r>
    </w:p>
    <w:p>
      <w:pPr>
        <w:spacing w:after="0" w:line="184"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The impacts to the select line items from the Company’s condensed consolidated balance sheet upon adoption of the ASC 842 guidance are as follows (in thousands):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80" w:type="dxa"/>
            <w:vAlign w:val="bottom"/>
            <w:gridSpan w:val="2"/>
            <w:vMerge w:val="restart"/>
          </w:tcPr>
          <w:p>
            <w:pPr>
              <w:ind w:left="1340"/>
              <w:spacing w:after="0"/>
              <w:rPr>
                <w:sz w:val="20"/>
                <w:szCs w:val="20"/>
                <w:color w:val="auto"/>
              </w:rPr>
            </w:pPr>
            <w:r>
              <w:rPr>
                <w:rFonts w:ascii="Times New Roman" w:cs="Times New Roman" w:eastAsia="Times New Roman" w:hAnsi="Times New Roman"/>
                <w:sz w:val="14"/>
                <w:szCs w:val="14"/>
                <w:b w:val="1"/>
                <w:bCs w:val="1"/>
                <w:color w:val="auto"/>
              </w:rPr>
              <w:t>Balance Sheet Line Item</w:t>
            </w:r>
          </w:p>
        </w:tc>
        <w:tc>
          <w:tcPr>
            <w:tcW w:w="5380" w:type="dxa"/>
            <w:vAlign w:val="bottom"/>
            <w:vMerge w:val="restart"/>
          </w:tcPr>
          <w:p>
            <w:pPr>
              <w:ind w:left="2000"/>
              <w:spacing w:after="0"/>
              <w:rPr>
                <w:sz w:val="20"/>
                <w:szCs w:val="20"/>
                <w:color w:val="auto"/>
              </w:rPr>
            </w:pPr>
            <w:r>
              <w:rPr>
                <w:rFonts w:ascii="Times New Roman" w:cs="Times New Roman" w:eastAsia="Times New Roman" w:hAnsi="Times New Roman"/>
                <w:sz w:val="14"/>
                <w:szCs w:val="14"/>
                <w:b w:val="1"/>
                <w:bCs w:val="1"/>
                <w:color w:val="auto"/>
              </w:rPr>
              <w:t>Nature of Adjustment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New Lease Guidance</w:t>
            </w:r>
          </w:p>
        </w:tc>
        <w:tc>
          <w:tcPr>
            <w:tcW w:w="0" w:type="dxa"/>
            <w:vAlign w:val="bottom"/>
          </w:tcPr>
          <w:p>
            <w:pPr>
              <w:spacing w:after="0"/>
              <w:rPr>
                <w:sz w:val="1"/>
                <w:szCs w:val="1"/>
                <w:color w:val="auto"/>
              </w:rPr>
            </w:pPr>
          </w:p>
        </w:tc>
      </w:tr>
      <w:tr>
        <w:trPr>
          <w:trHeight w:val="173"/>
        </w:trPr>
        <w:tc>
          <w:tcPr>
            <w:tcW w:w="4280" w:type="dxa"/>
            <w:vAlign w:val="bottom"/>
            <w:gridSpan w:val="2"/>
            <w:vMerge w:val="continue"/>
          </w:tcPr>
          <w:p>
            <w:pPr>
              <w:spacing w:after="0"/>
              <w:rPr>
                <w:sz w:val="15"/>
                <w:szCs w:val="15"/>
                <w:color w:val="auto"/>
              </w:rPr>
            </w:pPr>
          </w:p>
        </w:tc>
        <w:tc>
          <w:tcPr>
            <w:tcW w:w="53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Adoption Adjustment</w:t>
            </w:r>
          </w:p>
        </w:tc>
        <w:tc>
          <w:tcPr>
            <w:tcW w:w="0" w:type="dxa"/>
            <w:vAlign w:val="bottom"/>
          </w:tcPr>
          <w:p>
            <w:pPr>
              <w:spacing w:after="0"/>
              <w:rPr>
                <w:sz w:val="1"/>
                <w:szCs w:val="1"/>
                <w:color w:val="auto"/>
              </w:rPr>
            </w:pPr>
          </w:p>
        </w:tc>
      </w:tr>
      <w:tr>
        <w:trPr>
          <w:trHeight w:val="223"/>
        </w:trPr>
        <w:tc>
          <w:tcPr>
            <w:tcW w:w="416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tcBorders>
              <w:top w:val="single" w:sz="8" w:color="CFF0FC"/>
            </w:tcBorders>
            <w:shd w:val="clear" w:color="auto" w:fill="CFF0FC"/>
          </w:tcPr>
          <w:p>
            <w:pPr>
              <w:spacing w:after="0"/>
              <w:rPr>
                <w:sz w:val="19"/>
                <w:szCs w:val="19"/>
                <w:color w:val="auto"/>
              </w:rPr>
            </w:pPr>
          </w:p>
        </w:tc>
        <w:tc>
          <w:tcPr>
            <w:tcW w:w="53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48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Derecognition - build-to-suit lease assets - building shell, cost</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(53,880)</w:t>
            </w:r>
          </w:p>
        </w:tc>
        <w:tc>
          <w:tcPr>
            <w:tcW w:w="0" w:type="dxa"/>
            <w:vAlign w:val="bottom"/>
          </w:tcPr>
          <w:p>
            <w:pPr>
              <w:spacing w:after="0"/>
              <w:rPr>
                <w:sz w:val="1"/>
                <w:szCs w:val="1"/>
                <w:color w:val="auto"/>
              </w:rPr>
            </w:pPr>
          </w:p>
        </w:tc>
      </w:tr>
      <w:tr>
        <w:trPr>
          <w:trHeight w:val="211"/>
        </w:trPr>
        <w:tc>
          <w:tcPr>
            <w:tcW w:w="4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Derecognition - build-to-suit lease assets - building shell,</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53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accumulated depreciation</w:t>
            </w: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13,476</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Change of useful life - leasehold improvements,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depreciation</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(38,877)</w:t>
            </w:r>
          </w:p>
        </w:tc>
        <w:tc>
          <w:tcPr>
            <w:tcW w:w="0" w:type="dxa"/>
            <w:vAlign w:val="bottom"/>
          </w:tcPr>
          <w:p>
            <w:pPr>
              <w:spacing w:after="0"/>
              <w:rPr>
                <w:sz w:val="1"/>
                <w:szCs w:val="1"/>
                <w:color w:val="auto"/>
              </w:rPr>
            </w:pPr>
          </w:p>
        </w:tc>
      </w:tr>
      <w:tr>
        <w:trPr>
          <w:trHeight w:val="230"/>
        </w:trPr>
        <w:tc>
          <w:tcPr>
            <w:tcW w:w="42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Finance lease right-of-use assets</w:t>
            </w:r>
          </w:p>
        </w:tc>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Recognition - finance lease ROU assets</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49,597</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Recognition - operating lease ROU assets</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53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and other current liabilities</w:t>
            </w:r>
          </w:p>
        </w:tc>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Derecognition - deferred rent, current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(619)</w:t>
            </w:r>
          </w:p>
        </w:tc>
        <w:tc>
          <w:tcPr>
            <w:tcW w:w="0" w:type="dxa"/>
            <w:vAlign w:val="bottom"/>
          </w:tcPr>
          <w:p>
            <w:pPr>
              <w:spacing w:after="0"/>
              <w:rPr>
                <w:sz w:val="1"/>
                <w:szCs w:val="1"/>
                <w:color w:val="auto"/>
              </w:rPr>
            </w:pPr>
          </w:p>
        </w:tc>
      </w:tr>
      <w:tr>
        <w:trPr>
          <w:trHeight w:val="230"/>
        </w:trPr>
        <w:tc>
          <w:tcPr>
            <w:tcW w:w="4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Derecognition - build-to-suit lease liabilities, current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(545)</w:t>
            </w:r>
          </w:p>
        </w:tc>
        <w:tc>
          <w:tcPr>
            <w:tcW w:w="0" w:type="dxa"/>
            <w:vAlign w:val="bottom"/>
          </w:tcPr>
          <w:p>
            <w:pPr>
              <w:spacing w:after="0"/>
              <w:rPr>
                <w:sz w:val="1"/>
                <w:szCs w:val="1"/>
                <w:color w:val="auto"/>
              </w:rPr>
            </w:pPr>
          </w:p>
        </w:tc>
      </w:tr>
      <w:tr>
        <w:trPr>
          <w:trHeight w:val="230"/>
        </w:trPr>
        <w:tc>
          <w:tcPr>
            <w:tcW w:w="4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Recognition - operating lease liabilities, current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Finance lease liabilities, current</w:t>
            </w:r>
          </w:p>
        </w:tc>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Recognition - finance lease liabilities, current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11,499</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Long-term portion of lease obligations</w:t>
            </w:r>
          </w:p>
        </w:tc>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Derecognition - build-to-suit lease liabilities, non-current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(95,613)</w:t>
            </w:r>
          </w:p>
        </w:tc>
        <w:tc>
          <w:tcPr>
            <w:tcW w:w="0" w:type="dxa"/>
            <w:vAlign w:val="bottom"/>
          </w:tcPr>
          <w:p>
            <w:pPr>
              <w:spacing w:after="0"/>
              <w:rPr>
                <w:sz w:val="1"/>
                <w:szCs w:val="1"/>
                <w:color w:val="auto"/>
              </w:rPr>
            </w:pPr>
          </w:p>
        </w:tc>
      </w:tr>
      <w:tr>
        <w:trPr>
          <w:trHeight w:val="230"/>
        </w:trPr>
        <w:tc>
          <w:tcPr>
            <w:tcW w:w="42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rent</w:t>
            </w:r>
          </w:p>
        </w:tc>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Derecognition - deferred rent, non-current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(3,038)</w:t>
            </w:r>
          </w:p>
        </w:tc>
        <w:tc>
          <w:tcPr>
            <w:tcW w:w="0" w:type="dxa"/>
            <w:vAlign w:val="bottom"/>
          </w:tcPr>
          <w:p>
            <w:pPr>
              <w:spacing w:after="0"/>
              <w:rPr>
                <w:sz w:val="1"/>
                <w:szCs w:val="1"/>
                <w:color w:val="auto"/>
              </w:rPr>
            </w:pPr>
          </w:p>
        </w:tc>
      </w:tr>
      <w:tr>
        <w:trPr>
          <w:trHeight w:val="230"/>
        </w:trPr>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Finance lease liabilities, non-current</w:t>
            </w:r>
          </w:p>
        </w:tc>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Recognition - finance lease liabilities, non-current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49,884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Recognition - operating lease liabilities, non-current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5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Cumulative decrease to accumulated deficit</w:t>
            </w:r>
          </w:p>
        </w:tc>
        <w:tc>
          <w:tcPr>
            <w:tcW w:w="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8,688</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 adoption of this guidance did not have a material impact to the Company’s condensed consolidated statement of operations or condensed consolidated statement of cash flows for the three months ended March 31, 2019.</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ASU 2018-02</w:t>
      </w:r>
    </w:p>
    <w:p>
      <w:pPr>
        <w:spacing w:after="0" w:line="119"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8"/>
          <w:szCs w:val="18"/>
          <w:color w:val="auto"/>
        </w:rPr>
        <w:t xml:space="preserve">In February 2018, the FASB issued ASU 2018-02, </w:t>
      </w:r>
      <w:r>
        <w:rPr>
          <w:rFonts w:ascii="Times New Roman" w:cs="Times New Roman" w:eastAsia="Times New Roman" w:hAnsi="Times New Roman"/>
          <w:sz w:val="18"/>
          <w:szCs w:val="18"/>
          <w:i w:val="1"/>
          <w:iCs w:val="1"/>
          <w:color w:val="auto"/>
        </w:rPr>
        <w:t>Income Statement - Reporting Comprehensive Income: Reclassification of Certain Tax Effects from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Accumulated Other Comprehensive Income</w:t>
      </w:r>
      <w:r>
        <w:rPr>
          <w:rFonts w:ascii="Times New Roman" w:cs="Times New Roman" w:eastAsia="Times New Roman" w:hAnsi="Times New Roman"/>
          <w:sz w:val="18"/>
          <w:szCs w:val="18"/>
          <w:color w:val="auto"/>
        </w:rPr>
        <w:t>. This guidance allows for the reclassification from accumulated other comprehensive income to retained earnings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the stranded tax effects arising from the reduction of the U.S. federal statutory income tax rate from 35% to 21%. This guidance was effective for annual reporting period beginning after December 15, 2018, including interim periods. The Company adopted this guidance on January 1, 2019 using the modified retrospective approach. The impacts, based on the aggregate portfolio approach, to the Company’s accumulated other comprehensive loss and accumulated deficit upon adoption of this guidance are as follows (in thousands):</w:t>
      </w:r>
    </w:p>
    <w:p>
      <w:pPr>
        <w:spacing w:after="0" w:line="179"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0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94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940" w:type="dxa"/>
            <w:vAlign w:val="bottom"/>
            <w:gridSpan w:val="2"/>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80" w:type="dxa"/>
            <w:vAlign w:val="bottom"/>
          </w:tcPr>
          <w:p>
            <w:pPr>
              <w:spacing w:after="0"/>
              <w:rPr>
                <w:sz w:val="12"/>
                <w:szCs w:val="12"/>
                <w:color w:val="auto"/>
              </w:rPr>
            </w:pPr>
          </w:p>
        </w:tc>
        <w:tc>
          <w:tcPr>
            <w:tcW w:w="174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Accumulated Deficit</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94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Comprehensive Loss</w:t>
            </w:r>
          </w:p>
        </w:tc>
        <w:tc>
          <w:tcPr>
            <w:tcW w:w="180" w:type="dxa"/>
            <w:vAlign w:val="bottom"/>
          </w:tcPr>
          <w:p>
            <w:pPr>
              <w:spacing w:after="0"/>
              <w:rPr>
                <w:sz w:val="15"/>
                <w:szCs w:val="15"/>
                <w:color w:val="auto"/>
              </w:rPr>
            </w:pPr>
          </w:p>
        </w:tc>
        <w:tc>
          <w:tcPr>
            <w:tcW w:w="17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2018</w:t>
            </w:r>
          </w:p>
        </w:tc>
        <w:tc>
          <w:tcPr>
            <w:tcW w:w="180" w:type="dxa"/>
            <w:vAlign w:val="bottom"/>
            <w:tcBorders>
              <w:top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6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(2,281)</w:t>
            </w:r>
          </w:p>
        </w:tc>
        <w:tc>
          <w:tcPr>
            <w:tcW w:w="2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6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(715,827)</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Impact of change in accounting principle</w:t>
            </w:r>
          </w:p>
        </w:tc>
        <w:tc>
          <w:tcPr>
            <w:tcW w:w="1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upon adoption of ASU 2018-02</w:t>
            </w:r>
          </w:p>
        </w:tc>
        <w:tc>
          <w:tcPr>
            <w:tcW w:w="18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(611)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8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Opening balance as of January 1, 2019</w:t>
            </w:r>
          </w:p>
        </w:tc>
        <w:tc>
          <w:tcPr>
            <w:tcW w:w="180" w:type="dxa"/>
            <w:vAlign w:val="bottom"/>
            <w:tcBorders>
              <w:top w:val="single" w:sz="8" w:color="auto"/>
              <w:bottom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(1,670)</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(716,438)</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adoption of this guidance had no impact to the Company’s condensed consolidated statement of operations or condensed consolidated statement of cash flows for the three months ended March 31, 2019.</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 w:name="page11"/>
    <w:bookmarkEnd w:id="1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 Disclosure Requirement</w:t>
      </w:r>
    </w:p>
    <w:p>
      <w:pPr>
        <w:spacing w:after="0" w:line="119"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color w:val="auto"/>
        </w:rPr>
        <w:t xml:space="preserve">In August 2018, the SEC adopted the final rule under SEC Release No. 33-10532, </w:t>
      </w:r>
      <w:r>
        <w:rPr>
          <w:rFonts w:ascii="Times New Roman" w:cs="Times New Roman" w:eastAsia="Times New Roman" w:hAnsi="Times New Roman"/>
          <w:sz w:val="18"/>
          <w:szCs w:val="18"/>
          <w:i w:val="1"/>
          <w:iCs w:val="1"/>
          <w:color w:val="auto"/>
        </w:rPr>
        <w:t>“Disclosure Update and Simplification,”</w:t>
      </w:r>
      <w:r>
        <w:rPr>
          <w:rFonts w:ascii="Times New Roman" w:cs="Times New Roman" w:eastAsia="Times New Roman" w:hAnsi="Times New Roman"/>
          <w:sz w:val="18"/>
          <w:szCs w:val="18"/>
          <w:color w:val="auto"/>
        </w:rPr>
        <w:t xml:space="preserve"> amending certain disclosure requirements that were redundant, duplicative, overlapping, outdated or superseded. In addition, the amendments expanded the disclosure requirements on the analysis of stockholders’ equity for interim financial statements. Under the amendments, the changes in each caption of stockholders’ equity presented in the balance sheet must be provided in a note or separate statement. This analysis should present a reconciliation of the beginning balance to the ending balance of each period for which a statement of comprehensive income is presented. This final rule was effective as of November 5, 2018. Accordingly, the Company included the condensed consolidated statements of changes in stockholders’ equity in Form 10-Q starting the first quarter of 2019.</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ASU 2018-07</w:t>
      </w:r>
    </w:p>
    <w:p>
      <w:pPr>
        <w:spacing w:after="0" w:line="119"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color w:val="auto"/>
        </w:rPr>
        <w:t xml:space="preserve">In June 2018, the FASB issued ASU 2018-07, </w:t>
      </w:r>
      <w:r>
        <w:rPr>
          <w:rFonts w:ascii="Times New Roman" w:cs="Times New Roman" w:eastAsia="Times New Roman" w:hAnsi="Times New Roman"/>
          <w:sz w:val="18"/>
          <w:szCs w:val="18"/>
          <w:i w:val="1"/>
          <w:iCs w:val="1"/>
          <w:color w:val="auto"/>
        </w:rPr>
        <w:t>Compensation - Stock Compensation (Topic 718): Improvements to Nonemployee Share-Based Payment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Accounting. </w:t>
      </w:r>
      <w:r>
        <w:rPr>
          <w:rFonts w:ascii="Times New Roman" w:cs="Times New Roman" w:eastAsia="Times New Roman" w:hAnsi="Times New Roman"/>
          <w:sz w:val="18"/>
          <w:szCs w:val="18"/>
          <w:color w:val="auto"/>
        </w:rPr>
        <w:t>This guidance expands the scope of Topic 718 to include share-based payment transactions for acquiring goods and services from nonemployees.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guidance also specifies that Topic 718 applies to all share-based payment transactions in which a grantor acquires goods or services to be used or consumed in a grantor’s own operations by issuing share-based payment awards. This guidance was effective for annual reporting period beginning after December 15, 2018, including interim periods. The Company adopted this guidance on January 1, 2019, and the adoption of this guidance had no impact to the Company’s consolidated financial statements.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Guidance Not Yet Adopted</w:t>
      </w:r>
    </w:p>
    <w:p>
      <w:pPr>
        <w:spacing w:after="0" w:line="119"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8"/>
          <w:szCs w:val="18"/>
          <w:color w:val="auto"/>
        </w:rPr>
        <w:t xml:space="preserve">In August 2018, the FASB issued ASU 2018-15, </w:t>
      </w:r>
      <w:r>
        <w:rPr>
          <w:rFonts w:ascii="Times New Roman" w:cs="Times New Roman" w:eastAsia="Times New Roman" w:hAnsi="Times New Roman"/>
          <w:sz w:val="18"/>
          <w:szCs w:val="18"/>
          <w:i w:val="1"/>
          <w:iCs w:val="1"/>
          <w:color w:val="auto"/>
        </w:rPr>
        <w:t>Intangibles—Goodwill and Other—Internal-Use Software (Subtopic 350-40): Customer’s Accounting for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Implementation Costs Incurred in a Cloud Computing Arrangement That Is a Service Contract. </w:t>
      </w:r>
      <w:r>
        <w:rPr>
          <w:rFonts w:ascii="Times New Roman" w:cs="Times New Roman" w:eastAsia="Times New Roman" w:hAnsi="Times New Roman"/>
          <w:sz w:val="18"/>
          <w:szCs w:val="18"/>
          <w:color w:val="auto"/>
        </w:rPr>
        <w:t>This guidance requires capitalizing implementation costs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incurred to develop or obtain internal-use software (and hosting arrangements that include an internal-use software license). This guidance should be applied either retrospectively or prospectively, and is effective for annual reporting period beginning after December 15, 2019 including interim periods, with early adoption permitted. The Company is currently evaluating the impact on its consolidated financial statements upon the adoption of this guidance.</w:t>
      </w:r>
    </w:p>
    <w:p>
      <w:pPr>
        <w:spacing w:after="0" w:line="18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 xml:space="preserve">In August 2018, the FASB issued ASU 2018-13, </w:t>
      </w:r>
      <w:r>
        <w:rPr>
          <w:rFonts w:ascii="Times New Roman" w:cs="Times New Roman" w:eastAsia="Times New Roman" w:hAnsi="Times New Roman"/>
          <w:sz w:val="18"/>
          <w:szCs w:val="18"/>
          <w:i w:val="1"/>
          <w:iCs w:val="1"/>
          <w:color w:val="auto"/>
        </w:rPr>
        <w:t>Fair Value Measurement (Topic 820): Disclosure Framework—Changes to the Disclosure Requirements for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Fair Value Measurement. </w:t>
      </w:r>
      <w:r>
        <w:rPr>
          <w:rFonts w:ascii="Times New Roman" w:cs="Times New Roman" w:eastAsia="Times New Roman" w:hAnsi="Times New Roman"/>
          <w:sz w:val="18"/>
          <w:szCs w:val="18"/>
          <w:color w:val="auto"/>
        </w:rPr>
        <w:t>This guidance amends existing fair value measurement disclosure requirements by adding, changing, or removing certain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disclosures. This guidance is effective for annual reporting period beginning after December 15, 2019 including interim periods, with early adoption permitted. The amendments on changes in unrealized gains and losses, the range and weighted average of significant unobservable inputs used to develop Level 3 fair value measurements, and the narrative description of measurement uncertainty should be applied prospectively for only the most recent interim or annual period presented in the initial fiscal year of adoption. All other amendments should be applied retrospectively to all periods presented upon their effective date. The Company does not anticipate a material impact to its consolidated financial statements upon adoption of this guidance.</w:t>
      </w:r>
    </w:p>
    <w:p>
      <w:pPr>
        <w:spacing w:after="0" w:line="183"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color w:val="auto"/>
        </w:rPr>
        <w:t xml:space="preserve">In June 2016, the FASB issued ASU 2016-13, </w:t>
      </w:r>
      <w:r>
        <w:rPr>
          <w:rFonts w:ascii="Times New Roman" w:cs="Times New Roman" w:eastAsia="Times New Roman" w:hAnsi="Times New Roman"/>
          <w:sz w:val="18"/>
          <w:szCs w:val="18"/>
          <w:i w:val="1"/>
          <w:iCs w:val="1"/>
          <w:color w:val="auto"/>
        </w:rPr>
        <w:t>Financial Instruments – Credit Losses (Topic 326): Measurement of Credit Losses on Financial Instruments</w:t>
      </w:r>
      <w:r>
        <w:rPr>
          <w:rFonts w:ascii="Times New Roman" w:cs="Times New Roman" w:eastAsia="Times New Roman" w:hAnsi="Times New Roman"/>
          <w:sz w:val="18"/>
          <w:szCs w:val="18"/>
          <w:color w:val="auto"/>
        </w:rPr>
        <w:t>. This guidance requires that financial assets measured at amortized cost be presented at the net amount expected to be collected. The measurement of expected credit losses is based on historical experience, current conditions, and reasonable and supportable forecasts that affect the collectability. This guidance is effective for the annual reporting period beginning after December 15, 2019, including interim periods within that reporting period. The Company is currently evaluating the impact on its consolidated financial statements upon the adoption of this guidance.</w:t>
      </w:r>
    </w:p>
    <w:p>
      <w:pPr>
        <w:spacing w:after="0" w:line="286" w:lineRule="exact"/>
        <w:rPr>
          <w:sz w:val="20"/>
          <w:szCs w:val="20"/>
          <w:color w:val="auto"/>
        </w:rPr>
      </w:pPr>
    </w:p>
    <w:p>
      <w:pPr>
        <w:ind w:right="8840" w:firstLine="8"/>
        <w:spacing w:after="0" w:line="376" w:lineRule="auto"/>
        <w:tabs>
          <w:tab w:leader="none" w:pos="513"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Collaboration Agreements Astellas Agreements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Japan Agreement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June 2005, the Company entered into a collaboration agreement with Astellas for the development and commercialization (but not manufacture)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roxadustat for the treatment of anemia in Japan (“Japan Agreement”). Under this agreement, Astellas paid license fees and other consideration totaling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$40.1 million (such amounts were fully received as of February 2009). Under the Japan Agreement, the Company is also eligible to receive from Astellas 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aggregate of approximately $132.5 million in potential milestone payments, comprised of (i) up to $22.5 million in milestone payments upon achievement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specified clinical and development milestone events (such amounts were fully received as of July 2016), (ii) up to $95.0 million in milestone payments upon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achievement of specified regulatory milestone events, and (iii) up to approximately $15.0 million in milestone payments upon the achievement of specified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commercial sales milestone.</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11" w:name="page12"/>
    <w:bookmarkEnd w:id="1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Europe Agreement</w:t>
      </w:r>
    </w:p>
    <w:p>
      <w:pPr>
        <w:spacing w:after="0" w:line="11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April 2006, the Company entered into a separate collaboration agreement with Astellas for the development and commercialization of roxadustat for the treatment of anemia in Europe, the Middle East, the Commonwealth of Independent States and South Africa (“Europe Agreement”). Under the terms of the Europe Agreement, Astellas paid license fees and other upfront consideration totaling $320.0 million (such amounts were fully received as of February 2009). Under the Europe Agreement, the Company is also eligible to receive from Astellas an aggregate of approximately $425.0 million in potential milestone payments, comprised of (i) up to $90.0 million in milestone payments upon achievement of specified clinical and development milestone events (such amounts were fully received as of 2012), (ii) up to $335.0 million in milestone payments upon achievement of specified regulatory milestone events. Under the Europe Agreement, Astellas committed to fund 50% of joint development costs for Europe and North America, and all territory-specific costs. The Europe Agreement also provides for tiered payments based on net sales of product (as defined) in the low 20% range.</w:t>
      </w:r>
    </w:p>
    <w:p>
      <w:pPr>
        <w:spacing w:after="0" w:line="18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the fourth quarter of 2018, the Company was engaged in the final stages of review with its partners over the proposed development of roxadustat for the treatment of chemotherapy induced anemia (“CIA”). AstraZeneca and Astellas approved the program in December 2018 and January 2019, respectively. Costs associated with the development of this indication are expected to be shared 50/50 between AstraZeneca and Astellas. For revenue recognition purposes, the Company concluded that this new indication represents a modification to the Europe agreements and will be accounted for separately, meaning the development costs associated with the new indications are distinct from the original development costs. The development service period for roxadustat for the treatment of CIA under the Europe Agreement is estimated to continue through the end of 2023 to allow for development of this indication.</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AstraZeneca Agreements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U.S./Rest of World (“RoW”) Agreement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Effective July 30, 2013, the Company entered into a collaboration agreement with AstraZeneca for the development and commercialization of roxadustat for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treatment of anemia in the U.S. and all other countries in the world, other than China, not previously licensed under the Astellas Europe and Astellas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Japan Agreements (“U.S./RoW Agreement”). It also excludes China, which is covered by a separate agreement with AstraZeneca described below. Under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terms of the U.S./RoW Agreement, AstraZeneca paid upfront, non-contingent, non-refundable and time-based payments totaling $374.0 million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amounts were fully received as of June 2016). Under the U.S./RoW Agreement, the Company is also eligible to receive from AstraZeneca an aggregate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approximately $875.0 million in potential milestone payments, comprised of (i) up to $65.0 million in milestone payments upon achievement of specified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clinical and development milestone events, $15.0 million of which was received in 2015 as a result of the finalization of its two audited pre-clinical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carcinogenicity study reports, (ii) up to $325.0 million in milestone payments upon achievement of specified regulatory milestone events, (iii) up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$160.0 million in milestone payments related to activity by potential competitors and (iv) up to approximately $325.0 million in milestone payments upon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achievement of specified commercial sales events.</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China Agreement</w:t>
      </w:r>
    </w:p>
    <w:p>
      <w:pPr>
        <w:spacing w:after="0" w:line="11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Effective July 30, 2013, the Company (through its subsidiaries affiliated with China) entered into a collaboration agreement with AstraZeneca for the development and commercialization (but not manufacture) of roxadustat for the treatment of anemia in China (“China Agreement”). Under the terms of the China Agreement, AstraZeneca paid upfront, non-contingent and non-refundable payments totaling $28.2 million (such amounts were fully received in 2014). Under the China Agreement, the Company is also eligible to receive from AstraZeneca an aggregate of approximately $348.5 million in potential milestone payments, comprised of (i) up to $15.0 million in milestone payments upon achievement of specified clinical and development milestone events, (ii) up to $146.0 million in milestone payments upon achievement of specified regulatory milestone events, and (iii) up to approximately $187.5 million in milestone payments upon the achievement of specified commercial sales and other events. The China Agreement is structured as a 50/50 profit or loss share (as defined) and provides for joint development costs (including capital and equipment costs for construction of the manufacturing plant in China), to be shared equally during the development.</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12" w:name="page13"/>
    <w:bookmarkEnd w:id="1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As mentioned above, in the fourth quarter of 2018, the Company was engaged in the final stages of review with its partners over the proposed development of roxadustat for the treatment of CIA. AstraZeneca and Astellas approved the program in December 2018 and January 2019, respectively. Costs associated with the development of this indication are expected to be shared 50/50 between AstraZeneca and Astellas. In addition to CIA, in December 2018, anemia of chronic inflammation (“ACI”) and multiple myeloma (“MM”) have been approved for development by AstraZeneca and is expected to be fully funded by them. For revenue recognition purposes, the Company concluded that the addition of these new indications represents a modification to the collaboration agreements and will be accounted for separately, meaning the development costs associated with the new indications are distinct from the original development costs. The development service period for roxadustat for the treatment of CIA, ACI and MM under the AstraZeneca agreements is estimated to continue through the end of 2024, to allow for development of these additional indications.</w:t>
      </w:r>
    </w:p>
    <w:p>
      <w:pPr>
        <w:spacing w:after="0" w:line="185"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On December 17, 2018, FibroGen (China) Medical Technology Development Co., Ltd. (“FibroGen Beijing”), received marketing authorization from the NMPA for roxadustat, a first-in-class hypoxia-inducible factor prolyl hydroxylase inhibitor, for the treatment of anemia caused by CKD in patients on dialysis. This approval triggered a $6.0 million milestone payable to the Company by AstraZeneca. On December 29, 2018, FibroGen Beijing received First Manufacturing Approval for a Product in the Field in the Territory, which allows production for Phase IV clinical studies, patients’ early experience programs, donation programs, as well as to supply products for testing and assessments required prior to launch. This approval triggered a $6.0 million milestone payable to the Company by AstraZeneca.</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Revenue Recognized Under the Collaboration Agreements</w:t>
      </w:r>
    </w:p>
    <w:p>
      <w:pPr>
        <w:spacing w:after="0" w:line="121"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The table below summarizes the accounting treatment for the various performance obligations pursuant to each of the Astellas and AstraZeneca agreements. License amounts identified below are included in the “License revenue” line item in the condensed consolidated statements of operations. All other elements identified below are included in the “Development and other revenue” line item in the condensed consolidated statements of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Amounts recognized as revenue under the Japan Agreement were as follows (in thousands):</w:t>
      </w:r>
    </w:p>
    <w:p>
      <w:pPr>
        <w:spacing w:after="0" w:line="300"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14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Agreement</w:t>
            </w:r>
          </w:p>
        </w:tc>
        <w:tc>
          <w:tcPr>
            <w:tcW w:w="41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Performance Obligation</w:t>
            </w:r>
          </w:p>
        </w:tc>
        <w:tc>
          <w:tcPr>
            <w:tcW w:w="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02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56"/>
        </w:trPr>
        <w:tc>
          <w:tcPr>
            <w:tcW w:w="1480" w:type="dxa"/>
            <w:vAlign w:val="bottom"/>
            <w:gridSpan w:val="2"/>
            <w:vMerge w:val="continue"/>
          </w:tcPr>
          <w:p>
            <w:pPr>
              <w:spacing w:after="0"/>
              <w:rPr>
                <w:sz w:val="13"/>
                <w:szCs w:val="13"/>
                <w:color w:val="auto"/>
              </w:rPr>
            </w:pPr>
          </w:p>
        </w:tc>
        <w:tc>
          <w:tcPr>
            <w:tcW w:w="412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jc w:val="right"/>
              <w:ind w:right="539"/>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28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jc w:val="right"/>
              <w:ind w:right="536"/>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46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Japan</w:t>
            </w:r>
          </w:p>
        </w:tc>
        <w:tc>
          <w:tcPr>
            <w:tcW w:w="200" w:type="dxa"/>
            <w:vAlign w:val="bottom"/>
            <w:tcBorders>
              <w:top w:val="single" w:sz="8" w:color="CFF0FC"/>
            </w:tcBorders>
            <w:shd w:val="clear" w:color="auto" w:fill="CFF0FC"/>
          </w:tcPr>
          <w:p>
            <w:pPr>
              <w:spacing w:after="0"/>
              <w:rPr>
                <w:sz w:val="19"/>
                <w:szCs w:val="19"/>
                <w:color w:val="auto"/>
              </w:rPr>
            </w:pPr>
          </w:p>
        </w:tc>
        <w:tc>
          <w:tcPr>
            <w:tcW w:w="392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License revenue</w:t>
            </w:r>
          </w:p>
        </w:tc>
        <w:tc>
          <w:tcPr>
            <w:tcW w:w="18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41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Development revenue</w:t>
            </w:r>
          </w:p>
        </w:tc>
        <w:tc>
          <w:tcPr>
            <w:tcW w:w="520" w:type="dxa"/>
            <w:vAlign w:val="bottom"/>
            <w:gridSpan w:val="2"/>
          </w:tcPr>
          <w:p>
            <w:pPr>
              <w:jc w:val="right"/>
              <w:ind w:right="175"/>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620" w:type="dxa"/>
            <w:vAlign w:val="bottom"/>
            <w:gridSpan w:val="2"/>
          </w:tcPr>
          <w:p>
            <w:pPr>
              <w:jc w:val="right"/>
              <w:ind w:right="175"/>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transaction price related to consideration received and accounts receivable has been allocated to each of the following performance obligations under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Japan Agreement, along with any associated deferred revenue as follows (in thousands):</w:t>
      </w:r>
    </w:p>
    <w:p>
      <w:pPr>
        <w:spacing w:after="0" w:line="202"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8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Cumulative</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vMerge w:val="restart"/>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Deferred</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Revenue</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Consideration</w:t>
            </w:r>
          </w:p>
        </w:tc>
        <w:tc>
          <w:tcPr>
            <w:tcW w:w="0" w:type="dxa"/>
            <w:vAlign w:val="bottom"/>
          </w:tcPr>
          <w:p>
            <w:pPr>
              <w:spacing w:after="0"/>
              <w:rPr>
                <w:sz w:val="1"/>
                <w:szCs w:val="1"/>
                <w:color w:val="auto"/>
              </w:rPr>
            </w:pPr>
          </w:p>
        </w:tc>
      </w:tr>
      <w:tr>
        <w:trPr>
          <w:trHeight w:val="149"/>
        </w:trPr>
        <w:tc>
          <w:tcPr>
            <w:tcW w:w="39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Japan Agreement</w:t>
            </w: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Through</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jc w:val="center"/>
              <w:ind w:right="79"/>
              <w:spacing w:after="0" w:line="149" w:lineRule="exact"/>
              <w:rPr>
                <w:sz w:val="20"/>
                <w:szCs w:val="20"/>
                <w:color w:val="auto"/>
              </w:rPr>
            </w:pPr>
            <w:r>
              <w:rPr>
                <w:rFonts w:ascii="Times New Roman" w:cs="Times New Roman" w:eastAsia="Times New Roman" w:hAnsi="Times New Roman"/>
                <w:sz w:val="14"/>
                <w:szCs w:val="14"/>
                <w:b w:val="1"/>
                <w:bCs w:val="1"/>
                <w:color w:val="auto"/>
              </w:rPr>
              <w:t>Revenue at</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Through</w:t>
            </w:r>
          </w:p>
        </w:tc>
        <w:tc>
          <w:tcPr>
            <w:tcW w:w="0" w:type="dxa"/>
            <w:vAlign w:val="bottom"/>
          </w:tcPr>
          <w:p>
            <w:pPr>
              <w:spacing w:after="0"/>
              <w:rPr>
                <w:sz w:val="1"/>
                <w:szCs w:val="1"/>
                <w:color w:val="auto"/>
              </w:rPr>
            </w:pPr>
          </w:p>
        </w:tc>
      </w:tr>
      <w:tr>
        <w:trPr>
          <w:trHeight w:val="173"/>
        </w:trPr>
        <w:tc>
          <w:tcPr>
            <w:tcW w:w="3900" w:type="dxa"/>
            <w:vAlign w:val="bottom"/>
            <w:gridSpan w:val="2"/>
            <w:vMerge w:val="continue"/>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March 31, 2019</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March 31, 2019</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March 31, 2019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License</w:t>
            </w:r>
          </w:p>
        </w:tc>
        <w:tc>
          <w:tcPr>
            <w:tcW w:w="8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74,089</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74,089</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Development revenue</w:t>
            </w:r>
          </w:p>
        </w:tc>
        <w:tc>
          <w:tcPr>
            <w:tcW w:w="8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14,154</w:t>
            </w:r>
          </w:p>
        </w:tc>
        <w:tc>
          <w:tcPr>
            <w:tcW w:w="2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2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14,361</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8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Total license and development revenue</w:t>
            </w:r>
          </w:p>
        </w:tc>
        <w:tc>
          <w:tcPr>
            <w:tcW w:w="8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88,243</w:t>
            </w:r>
          </w:p>
        </w:tc>
        <w:tc>
          <w:tcPr>
            <w:tcW w:w="2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2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88,450</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revenue recognized under the Japan Agreement for the three months ended March 31, 2019 included an immaterial amount resulting from changes to estimated variable consideration in the current period relating to performance obligations satisfied or partially satisfied in previous periods. The remainder of the transaction price related to the Japan Agreement includes $0.9 million of variable consideration from estimated future co-development billing and is expected to be recognized over the remaining development service period.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Amounts recognized as revenue under the Europe Agreement were as follows (in thousands):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620" w:type="dxa"/>
            <w:vAlign w:val="bottom"/>
            <w:gridSpan w:val="2"/>
            <w:vMerge w:val="restart"/>
          </w:tcPr>
          <w:p>
            <w:pPr>
              <w:ind w:left="1140"/>
              <w:spacing w:after="0"/>
              <w:rPr>
                <w:sz w:val="20"/>
                <w:szCs w:val="20"/>
                <w:color w:val="auto"/>
              </w:rPr>
            </w:pPr>
            <w:r>
              <w:rPr>
                <w:rFonts w:ascii="Times New Roman" w:cs="Times New Roman" w:eastAsia="Times New Roman" w:hAnsi="Times New Roman"/>
                <w:sz w:val="14"/>
                <w:szCs w:val="14"/>
                <w:b w:val="1"/>
                <w:bCs w:val="1"/>
                <w:color w:val="auto"/>
              </w:rPr>
              <w:t>Agreement</w:t>
            </w:r>
          </w:p>
        </w:tc>
        <w:tc>
          <w:tcPr>
            <w:tcW w:w="23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Performance Obligation</w:t>
            </w:r>
          </w:p>
        </w:tc>
        <w:tc>
          <w:tcPr>
            <w:tcW w:w="1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04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620" w:type="dxa"/>
            <w:vAlign w:val="bottom"/>
            <w:gridSpan w:val="2"/>
            <w:vMerge w:val="continue"/>
          </w:tcPr>
          <w:p>
            <w:pPr>
              <w:spacing w:after="0"/>
              <w:rPr>
                <w:sz w:val="13"/>
                <w:szCs w:val="13"/>
                <w:color w:val="auto"/>
              </w:rPr>
            </w:pPr>
          </w:p>
        </w:tc>
        <w:tc>
          <w:tcPr>
            <w:tcW w:w="2380" w:type="dxa"/>
            <w:vAlign w:val="bottom"/>
            <w:gridSpan w:val="2"/>
            <w:vMerge w:val="continue"/>
          </w:tcPr>
          <w:p>
            <w:pPr>
              <w:spacing w:after="0"/>
              <w:rPr>
                <w:sz w:val="13"/>
                <w:szCs w:val="13"/>
                <w:color w:val="auto"/>
              </w:rPr>
            </w:pPr>
          </w:p>
        </w:tc>
        <w:tc>
          <w:tcPr>
            <w:tcW w:w="1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jc w:val="right"/>
              <w:ind w:right="539"/>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30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jc w:val="right"/>
              <w:ind w:right="536"/>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146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Europe</w:t>
            </w:r>
          </w:p>
        </w:tc>
        <w:tc>
          <w:tcPr>
            <w:tcW w:w="200" w:type="dxa"/>
            <w:vAlign w:val="bottom"/>
            <w:tcBorders>
              <w:top w:val="single" w:sz="8" w:color="CFF0FC"/>
            </w:tcBorders>
            <w:shd w:val="clear" w:color="auto" w:fill="CFF0FC"/>
          </w:tcPr>
          <w:p>
            <w:pPr>
              <w:spacing w:after="0"/>
              <w:rPr>
                <w:sz w:val="19"/>
                <w:szCs w:val="19"/>
                <w:color w:val="auto"/>
              </w:rPr>
            </w:pPr>
          </w:p>
        </w:tc>
        <w:tc>
          <w:tcPr>
            <w:tcW w:w="218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License revenue</w:t>
            </w:r>
          </w:p>
        </w:tc>
        <w:tc>
          <w:tcPr>
            <w:tcW w:w="170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FF0FC"/>
            </w:tcBorders>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3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Development revenue</w:t>
            </w:r>
          </w:p>
        </w:tc>
        <w:tc>
          <w:tcPr>
            <w:tcW w:w="2240" w:type="dxa"/>
            <w:vAlign w:val="bottom"/>
            <w:gridSpan w:val="3"/>
          </w:tcPr>
          <w:p>
            <w:pPr>
              <w:jc w:val="right"/>
              <w:ind w:right="175"/>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4,613</w:t>
            </w:r>
          </w:p>
        </w:tc>
        <w:tc>
          <w:tcPr>
            <w:tcW w:w="640" w:type="dxa"/>
            <w:vAlign w:val="bottom"/>
            <w:gridSpan w:val="2"/>
          </w:tcPr>
          <w:p>
            <w:pPr>
              <w:jc w:val="right"/>
              <w:ind w:right="175"/>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4,723</w:t>
            </w:r>
          </w:p>
        </w:tc>
        <w:tc>
          <w:tcPr>
            <w:tcW w:w="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11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70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rPr>
              <w:t>12</w:t>
            </w: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6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180" w:type="dxa"/>
            <w:vAlign w:val="bottom"/>
            <w:tcBorders>
              <w:bottom w:val="single" w:sz="8" w:color="9A9A9A"/>
            </w:tcBorders>
          </w:tcPr>
          <w:p>
            <w:pPr>
              <w:spacing w:after="0"/>
              <w:rPr>
                <w:sz w:val="10"/>
                <w:szCs w:val="10"/>
                <w:color w:val="auto"/>
              </w:rPr>
            </w:pPr>
          </w:p>
        </w:tc>
        <w:tc>
          <w:tcPr>
            <w:tcW w:w="17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13" w:name="page14"/>
    <w:bookmarkEnd w:id="1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transaction price related to consideration received and accounts receivable has been allocated to each of the following performance obligations under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Europe Agreement, along with any associated deferred revenue as follows (in thousands):</w:t>
      </w:r>
    </w:p>
    <w:p>
      <w:pPr>
        <w:spacing w:after="0" w:line="202"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8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Cumulative</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vMerge w:val="restart"/>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Deferred</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Revenue</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Consideration</w:t>
            </w:r>
          </w:p>
        </w:tc>
        <w:tc>
          <w:tcPr>
            <w:tcW w:w="0" w:type="dxa"/>
            <w:vAlign w:val="bottom"/>
          </w:tcPr>
          <w:p>
            <w:pPr>
              <w:spacing w:after="0"/>
              <w:rPr>
                <w:sz w:val="1"/>
                <w:szCs w:val="1"/>
                <w:color w:val="auto"/>
              </w:rPr>
            </w:pPr>
          </w:p>
        </w:tc>
      </w:tr>
      <w:tr>
        <w:trPr>
          <w:trHeight w:val="149"/>
        </w:trPr>
        <w:tc>
          <w:tcPr>
            <w:tcW w:w="39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Europe Agreement</w:t>
            </w: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Through</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jc w:val="center"/>
              <w:ind w:right="79"/>
              <w:spacing w:after="0" w:line="149" w:lineRule="exact"/>
              <w:rPr>
                <w:sz w:val="20"/>
                <w:szCs w:val="20"/>
                <w:color w:val="auto"/>
              </w:rPr>
            </w:pPr>
            <w:r>
              <w:rPr>
                <w:rFonts w:ascii="Times New Roman" w:cs="Times New Roman" w:eastAsia="Times New Roman" w:hAnsi="Times New Roman"/>
                <w:sz w:val="14"/>
                <w:szCs w:val="14"/>
                <w:b w:val="1"/>
                <w:bCs w:val="1"/>
                <w:color w:val="auto"/>
              </w:rPr>
              <w:t>Revenue at</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Through</w:t>
            </w:r>
          </w:p>
        </w:tc>
        <w:tc>
          <w:tcPr>
            <w:tcW w:w="0" w:type="dxa"/>
            <w:vAlign w:val="bottom"/>
          </w:tcPr>
          <w:p>
            <w:pPr>
              <w:spacing w:after="0"/>
              <w:rPr>
                <w:sz w:val="1"/>
                <w:szCs w:val="1"/>
                <w:color w:val="auto"/>
              </w:rPr>
            </w:pPr>
          </w:p>
        </w:tc>
      </w:tr>
      <w:tr>
        <w:trPr>
          <w:trHeight w:val="173"/>
        </w:trPr>
        <w:tc>
          <w:tcPr>
            <w:tcW w:w="3900" w:type="dxa"/>
            <w:vAlign w:val="bottom"/>
            <w:gridSpan w:val="2"/>
            <w:vMerge w:val="continue"/>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March 31, 2019</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March 31, 2019</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March 31, 2019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License</w:t>
            </w:r>
          </w:p>
        </w:tc>
        <w:tc>
          <w:tcPr>
            <w:tcW w:w="8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370,481</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370,481</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Development revenue</w:t>
            </w:r>
          </w:p>
        </w:tc>
        <w:tc>
          <w:tcPr>
            <w:tcW w:w="8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207,450</w:t>
            </w:r>
          </w:p>
        </w:tc>
        <w:tc>
          <w:tcPr>
            <w:tcW w:w="2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2,334</w:t>
            </w:r>
          </w:p>
        </w:tc>
        <w:tc>
          <w:tcPr>
            <w:tcW w:w="2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209,784</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8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Total license and development revenue</w:t>
            </w:r>
          </w:p>
        </w:tc>
        <w:tc>
          <w:tcPr>
            <w:tcW w:w="8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577,931</w:t>
            </w:r>
          </w:p>
        </w:tc>
        <w:tc>
          <w:tcPr>
            <w:tcW w:w="2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2,334</w:t>
            </w:r>
          </w:p>
        </w:tc>
        <w:tc>
          <w:tcPr>
            <w:tcW w:w="2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580,265</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5"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revenue recognized under the Europe Agreement for the three months ended March 31, 2019 included an increase in revenue of $0.1 million resulting from changes to estimated variable consideration in the current period relating to performance obligations satisfied or partially satisfied in previous periods. The remainder of the transaction price related to the Europe Agreement includes $12.7 million of variable consideration from estimated future co-development billing and is expected to be recognized over the remaining development service period.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Amounts recognized as revenue under the U.S./RoW Agreement were as follows (in thousands):</w:t>
      </w:r>
    </w:p>
    <w:p>
      <w:pPr>
        <w:spacing w:after="0" w:line="300"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14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Agreement</w:t>
            </w:r>
          </w:p>
        </w:tc>
        <w:tc>
          <w:tcPr>
            <w:tcW w:w="40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Performance Obligation</w:t>
            </w: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04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56"/>
        </w:trPr>
        <w:tc>
          <w:tcPr>
            <w:tcW w:w="1480" w:type="dxa"/>
            <w:vAlign w:val="bottom"/>
            <w:gridSpan w:val="2"/>
            <w:vMerge w:val="continue"/>
          </w:tcPr>
          <w:p>
            <w:pPr>
              <w:spacing w:after="0"/>
              <w:rPr>
                <w:sz w:val="13"/>
                <w:szCs w:val="13"/>
                <w:color w:val="auto"/>
              </w:rPr>
            </w:pPr>
          </w:p>
        </w:tc>
        <w:tc>
          <w:tcPr>
            <w:tcW w:w="408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jc w:val="right"/>
              <w:ind w:right="537"/>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30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jc w:val="right"/>
              <w:ind w:right="534"/>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460" w:type="dxa"/>
            <w:vAlign w:val="bottom"/>
            <w:tcBorders>
              <w:top w:val="single" w:sz="8" w:color="auto"/>
            </w:tcBorders>
            <w:shd w:val="clear" w:color="auto" w:fill="CFF0FC"/>
          </w:tcPr>
          <w:p>
            <w:pPr>
              <w:spacing w:after="0" w:line="205" w:lineRule="exact"/>
              <w:rPr>
                <w:sz w:val="20"/>
                <w:szCs w:val="20"/>
                <w:color w:val="auto"/>
              </w:rPr>
            </w:pPr>
            <w:r>
              <w:rPr>
                <w:rFonts w:ascii="Times New Roman" w:cs="Times New Roman" w:eastAsia="Times New Roman" w:hAnsi="Times New Roman"/>
                <w:sz w:val="18"/>
                <w:szCs w:val="18"/>
                <w:color w:val="auto"/>
              </w:rPr>
              <w:t>U.S. / RoW</w:t>
            </w:r>
          </w:p>
        </w:tc>
        <w:tc>
          <w:tcPr>
            <w:tcW w:w="200" w:type="dxa"/>
            <w:vAlign w:val="bottom"/>
            <w:tcBorders>
              <w:top w:val="single" w:sz="8" w:color="CFF0FC"/>
            </w:tcBorders>
            <w:shd w:val="clear" w:color="auto" w:fill="CFF0FC"/>
          </w:tcPr>
          <w:p>
            <w:pPr>
              <w:spacing w:after="0"/>
              <w:rPr>
                <w:sz w:val="17"/>
                <w:szCs w:val="17"/>
                <w:color w:val="auto"/>
              </w:rPr>
            </w:pPr>
          </w:p>
        </w:tc>
        <w:tc>
          <w:tcPr>
            <w:tcW w:w="3880" w:type="dxa"/>
            <w:vAlign w:val="bottom"/>
            <w:tcBorders>
              <w:top w:val="single" w:sz="8" w:color="auto"/>
            </w:tcBorders>
            <w:shd w:val="clear" w:color="auto" w:fill="CFF0FC"/>
          </w:tcPr>
          <w:p>
            <w:pPr>
              <w:spacing w:after="0" w:line="205" w:lineRule="exact"/>
              <w:rPr>
                <w:sz w:val="20"/>
                <w:szCs w:val="20"/>
                <w:color w:val="auto"/>
              </w:rPr>
            </w:pPr>
            <w:r>
              <w:rPr>
                <w:rFonts w:ascii="Times New Roman" w:cs="Times New Roman" w:eastAsia="Times New Roman" w:hAnsi="Times New Roman"/>
                <w:sz w:val="18"/>
                <w:szCs w:val="18"/>
                <w:color w:val="auto"/>
              </w:rPr>
              <w:t>License revenue</w:t>
            </w:r>
          </w:p>
        </w:tc>
        <w:tc>
          <w:tcPr>
            <w:tcW w:w="200" w:type="dxa"/>
            <w:vAlign w:val="bottom"/>
            <w:tcBorders>
              <w:top w:val="single" w:sz="8" w:color="CFF0FC"/>
            </w:tcBorders>
            <w:shd w:val="clear" w:color="auto" w:fill="CFF0FC"/>
          </w:tcPr>
          <w:p>
            <w:pPr>
              <w:spacing w:after="0"/>
              <w:rPr>
                <w:sz w:val="17"/>
                <w:szCs w:val="17"/>
                <w:color w:val="auto"/>
              </w:rPr>
            </w:pPr>
          </w:p>
        </w:tc>
        <w:tc>
          <w:tcPr>
            <w:tcW w:w="340" w:type="dxa"/>
            <w:vAlign w:val="bottom"/>
            <w:tcBorders>
              <w:top w:val="single" w:sz="8" w:color="auto"/>
            </w:tcBorders>
            <w:shd w:val="clear" w:color="auto" w:fill="CFF0FC"/>
          </w:tcPr>
          <w:p>
            <w:pPr>
              <w:spacing w:after="0"/>
              <w:rPr>
                <w:sz w:val="17"/>
                <w:szCs w:val="17"/>
                <w:color w:val="auto"/>
              </w:rPr>
            </w:pPr>
          </w:p>
        </w:tc>
        <w:tc>
          <w:tcPr>
            <w:tcW w:w="1160" w:type="dxa"/>
            <w:vAlign w:val="bottom"/>
            <w:tcBorders>
              <w:top w:val="single" w:sz="8" w:color="auto"/>
            </w:tcBorders>
            <w:shd w:val="clear" w:color="auto" w:fill="CFF0FC"/>
          </w:tcPr>
          <w:p>
            <w:pPr>
              <w:spacing w:after="0"/>
              <w:rPr>
                <w:sz w:val="17"/>
                <w:szCs w:val="17"/>
                <w:color w:val="auto"/>
              </w:rPr>
            </w:pPr>
          </w:p>
        </w:tc>
        <w:tc>
          <w:tcPr>
            <w:tcW w:w="300" w:type="dxa"/>
            <w:vAlign w:val="bottom"/>
            <w:tcBorders>
              <w:top w:val="single" w:sz="8" w:color="CFF0FC"/>
            </w:tcBorders>
            <w:shd w:val="clear" w:color="auto" w:fill="CFF0FC"/>
          </w:tcPr>
          <w:p>
            <w:pPr>
              <w:spacing w:after="0"/>
              <w:rPr>
                <w:sz w:val="17"/>
                <w:szCs w:val="17"/>
                <w:color w:val="auto"/>
              </w:rPr>
            </w:pPr>
          </w:p>
        </w:tc>
        <w:tc>
          <w:tcPr>
            <w:tcW w:w="340" w:type="dxa"/>
            <w:vAlign w:val="bottom"/>
            <w:tcBorders>
              <w:top w:val="single" w:sz="8" w:color="auto"/>
            </w:tcBorders>
            <w:shd w:val="clear" w:color="auto" w:fill="CFF0FC"/>
          </w:tcPr>
          <w:p>
            <w:pPr>
              <w:spacing w:after="0"/>
              <w:rPr>
                <w:sz w:val="17"/>
                <w:szCs w:val="17"/>
                <w:color w:val="auto"/>
              </w:rPr>
            </w:pPr>
          </w:p>
        </w:tc>
        <w:tc>
          <w:tcPr>
            <w:tcW w:w="116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and China</w:t>
            </w:r>
          </w:p>
        </w:tc>
        <w:tc>
          <w:tcPr>
            <w:tcW w:w="200" w:type="dxa"/>
            <w:vAlign w:val="bottom"/>
            <w:shd w:val="clear" w:color="auto" w:fill="CFF0FC"/>
          </w:tcPr>
          <w:p>
            <w:pPr>
              <w:spacing w:after="0"/>
              <w:rPr>
                <w:sz w:val="20"/>
                <w:szCs w:val="20"/>
                <w:color w:val="auto"/>
              </w:rPr>
            </w:pPr>
          </w:p>
        </w:tc>
        <w:tc>
          <w:tcPr>
            <w:tcW w:w="3880" w:type="dxa"/>
            <w:vAlign w:val="bottom"/>
            <w:shd w:val="clear" w:color="auto" w:fill="CFF0FC"/>
          </w:tcPr>
          <w:p>
            <w:pPr>
              <w:spacing w:after="0"/>
              <w:rPr>
                <w:sz w:val="20"/>
                <w:szCs w:val="20"/>
                <w:color w:val="auto"/>
              </w:rPr>
            </w:pPr>
          </w:p>
        </w:tc>
        <w:tc>
          <w:tcPr>
            <w:tcW w:w="5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40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Development revenue</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19,004</w:t>
            </w: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26,723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408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China performance obligation</w:t>
            </w:r>
          </w:p>
        </w:tc>
        <w:tc>
          <w:tcPr>
            <w:tcW w:w="5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transaction price related to consideration received and accounts receivable has been allocated to each of the following performance obligations under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U.S./RoW Agreement and China Agreement, along with any associated deferred revenue as follows (in thousands):</w:t>
      </w:r>
    </w:p>
    <w:p>
      <w:pPr>
        <w:spacing w:after="0" w:line="229"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Cumulative</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Deferred</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jc w:val="center"/>
              <w:ind w:right="59"/>
              <w:spacing w:after="0" w:line="149" w:lineRule="exact"/>
              <w:rPr>
                <w:sz w:val="20"/>
                <w:szCs w:val="20"/>
                <w:color w:val="auto"/>
              </w:rPr>
            </w:pPr>
            <w:r>
              <w:rPr>
                <w:rFonts w:ascii="Times New Roman" w:cs="Times New Roman" w:eastAsia="Times New Roman" w:hAnsi="Times New Roman"/>
                <w:sz w:val="14"/>
                <w:szCs w:val="14"/>
                <w:b w:val="1"/>
                <w:bCs w:val="1"/>
                <w:color w:val="auto"/>
              </w:rPr>
              <w:t>Revenue</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Consideration</w:t>
            </w:r>
          </w:p>
        </w:tc>
        <w:tc>
          <w:tcPr>
            <w:tcW w:w="0" w:type="dxa"/>
            <w:vAlign w:val="bottom"/>
          </w:tcPr>
          <w:p>
            <w:pPr>
              <w:spacing w:after="0"/>
              <w:rPr>
                <w:sz w:val="1"/>
                <w:szCs w:val="1"/>
                <w:color w:val="auto"/>
              </w:rPr>
            </w:pPr>
          </w:p>
        </w:tc>
      </w:tr>
      <w:tr>
        <w:trPr>
          <w:trHeight w:val="149"/>
        </w:trPr>
        <w:tc>
          <w:tcPr>
            <w:tcW w:w="46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U.S. / RoW and China Agreements</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jc w:val="center"/>
              <w:ind w:right="79"/>
              <w:spacing w:after="0" w:line="149" w:lineRule="exact"/>
              <w:rPr>
                <w:sz w:val="20"/>
                <w:szCs w:val="20"/>
                <w:color w:val="auto"/>
              </w:rPr>
            </w:pPr>
            <w:r>
              <w:rPr>
                <w:rFonts w:ascii="Times New Roman" w:cs="Times New Roman" w:eastAsia="Times New Roman" w:hAnsi="Times New Roman"/>
                <w:sz w:val="14"/>
                <w:szCs w:val="14"/>
                <w:b w:val="1"/>
                <w:bCs w:val="1"/>
                <w:color w:val="auto"/>
              </w:rPr>
              <w:t>Through</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Revenue at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Through</w:t>
            </w:r>
          </w:p>
        </w:tc>
        <w:tc>
          <w:tcPr>
            <w:tcW w:w="0" w:type="dxa"/>
            <w:vAlign w:val="bottom"/>
          </w:tcPr>
          <w:p>
            <w:pPr>
              <w:spacing w:after="0"/>
              <w:rPr>
                <w:sz w:val="1"/>
                <w:szCs w:val="1"/>
                <w:color w:val="auto"/>
              </w:rPr>
            </w:pPr>
          </w:p>
        </w:tc>
      </w:tr>
      <w:tr>
        <w:trPr>
          <w:trHeight w:val="173"/>
        </w:trPr>
        <w:tc>
          <w:tcPr>
            <w:tcW w:w="46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March 31, 2019</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March 31, 2019</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March 31, 2019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8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License</w:t>
            </w:r>
          </w:p>
        </w:tc>
        <w:tc>
          <w:tcPr>
            <w:tcW w:w="1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294,163</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294,163</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Co-development, information sharing &amp;</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5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committee services</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427,641</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16,787</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444,428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China performance obligation</w:t>
            </w:r>
          </w:p>
        </w:tc>
        <w:tc>
          <w:tcPr>
            <w:tcW w:w="1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127,972</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127,972</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license and development revenue</w:t>
            </w:r>
          </w:p>
        </w:tc>
        <w:tc>
          <w:tcPr>
            <w:tcW w:w="14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721,804</w:t>
            </w:r>
          </w:p>
        </w:tc>
        <w:tc>
          <w:tcPr>
            <w:tcW w:w="2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144,759</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866,563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revenue recognized under the U.S./RoW Agreement for the three months ended March 31, 2019 included an increase in revenue of $0.9 million resulting from changes to estimated variable consideration in the current period relating to performance obligations satisfied or partially satisfied in previous periods. The remainder of the transaction price related to the U.S./RoW Agreement and China Agreement includes $172.3 million of variable consideration from estimated future co-development billing and is expected to be recognized over the remaining development service period, except for amounts allocated to the China performance obligation, which are expected to be recognized in a pattern consistent with estimated deliveries of the commercial drug product.</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Revenues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revenues consist primarily of collagen material sold for research purposes. Other revenues were immaterial for all periods presented.</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121" w:right="299" w:bottom="1440" w:gutter="0" w:footer="0" w:header="0"/>
        </w:sectPr>
      </w:pPr>
    </w:p>
    <w:bookmarkStart w:id="14" w:name="page15"/>
    <w:bookmarkEnd w:id="1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Deferred Revenue</w:t>
      </w:r>
    </w:p>
    <w:p>
      <w:pPr>
        <w:spacing w:after="0" w:line="121"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Deferred revenue represents amounts billed to the Company’s collaboration partners for which the related revenues have not been recognized because one or more of the revenue recognition criteria have not been met. The current portion of deferred revenue represents the amount to be recognized within one year from the balance sheet date based on the estimated performance period of the underlying performance obligations. The long term portion of deferred revenue represents amounts to be recognized after one year through the end of the non-contingent performance period of the underlying performance obligations. The long term portion of deferred revenue also includes amounts allocated to the China unit of accounting under the AstraZeneca arrangement as revenue recognition associated with this unit of accounting is tied to the commercial launch of the products within China, which is not expected to occur within the next year.</w:t>
      </w:r>
    </w:p>
    <w:p>
      <w:pPr>
        <w:spacing w:after="0" w:line="293" w:lineRule="exact"/>
        <w:rPr>
          <w:sz w:val="20"/>
          <w:szCs w:val="20"/>
          <w:color w:val="auto"/>
        </w:rPr>
      </w:pPr>
    </w:p>
    <w:p>
      <w:pPr>
        <w:ind w:left="520" w:hanging="512"/>
        <w:spacing w:after="0"/>
        <w:tabs>
          <w:tab w:leader="none" w:pos="52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values of the Company’s financial assets that are measured on a recurring basis are as follows (in thousands):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4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gridSpan w:val="3"/>
          </w:tcPr>
          <w:p>
            <w:pPr>
              <w:jc w:val="right"/>
              <w:ind w:right="716"/>
              <w:spacing w:after="0"/>
              <w:rPr>
                <w:sz w:val="20"/>
                <w:szCs w:val="20"/>
                <w:color w:val="auto"/>
              </w:rPr>
            </w:pPr>
            <w:r>
              <w:rPr>
                <w:rFonts w:ascii="Times New Roman" w:cs="Times New Roman" w:eastAsia="Times New Roman" w:hAnsi="Times New Roman"/>
                <w:sz w:val="14"/>
                <w:szCs w:val="14"/>
                <w:b w:val="1"/>
                <w:bCs w:val="1"/>
                <w:color w:val="auto"/>
              </w:rPr>
              <w:t>March 31, 2019</w:t>
            </w:r>
          </w:p>
        </w:tc>
        <w:tc>
          <w:tcPr>
            <w:tcW w:w="36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56"/>
        </w:trPr>
        <w:tc>
          <w:tcPr>
            <w:tcW w:w="44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60" w:type="dxa"/>
            <w:vAlign w:val="bottom"/>
            <w:gridSpan w:val="2"/>
          </w:tcPr>
          <w:p>
            <w:pPr>
              <w:ind w:left="220"/>
              <w:spacing w:after="0" w:line="155" w:lineRule="exact"/>
              <w:rPr>
                <w:sz w:val="20"/>
                <w:szCs w:val="20"/>
                <w:color w:val="auto"/>
              </w:rPr>
            </w:pPr>
            <w:r>
              <w:rPr>
                <w:rFonts w:ascii="Times New Roman" w:cs="Times New Roman" w:eastAsia="Times New Roman" w:hAnsi="Times New Roman"/>
                <w:sz w:val="14"/>
                <w:szCs w:val="14"/>
                <w:b w:val="1"/>
                <w:bCs w:val="1"/>
                <w:color w:val="auto"/>
              </w:rPr>
              <w:t>Level 1</w:t>
            </w:r>
          </w:p>
        </w:tc>
        <w:tc>
          <w:tcPr>
            <w:tcW w:w="320" w:type="dxa"/>
            <w:vAlign w:val="bottom"/>
          </w:tcPr>
          <w:p>
            <w:pPr>
              <w:spacing w:after="0"/>
              <w:rPr>
                <w:sz w:val="13"/>
                <w:szCs w:val="13"/>
                <w:color w:val="auto"/>
              </w:rPr>
            </w:pPr>
          </w:p>
        </w:tc>
        <w:tc>
          <w:tcPr>
            <w:tcW w:w="1200" w:type="dxa"/>
            <w:vAlign w:val="bottom"/>
          </w:tcPr>
          <w:p>
            <w:pPr>
              <w:jc w:val="right"/>
              <w:ind w:right="454"/>
              <w:spacing w:after="0" w:line="155" w:lineRule="exact"/>
              <w:rPr>
                <w:sz w:val="20"/>
                <w:szCs w:val="20"/>
                <w:color w:val="auto"/>
              </w:rPr>
            </w:pPr>
            <w:r>
              <w:rPr>
                <w:rFonts w:ascii="Times New Roman" w:cs="Times New Roman" w:eastAsia="Times New Roman" w:hAnsi="Times New Roman"/>
                <w:sz w:val="14"/>
                <w:szCs w:val="14"/>
                <w:b w:val="1"/>
                <w:bCs w:val="1"/>
                <w:color w:val="auto"/>
              </w:rPr>
              <w:t>Level 2</w:t>
            </w:r>
          </w:p>
        </w:tc>
        <w:tc>
          <w:tcPr>
            <w:tcW w:w="260" w:type="dxa"/>
            <w:vAlign w:val="bottom"/>
          </w:tcPr>
          <w:p>
            <w:pPr>
              <w:spacing w:after="0"/>
              <w:rPr>
                <w:sz w:val="13"/>
                <w:szCs w:val="13"/>
                <w:color w:val="auto"/>
              </w:rPr>
            </w:pPr>
          </w:p>
        </w:tc>
        <w:tc>
          <w:tcPr>
            <w:tcW w:w="1160" w:type="dxa"/>
            <w:vAlign w:val="bottom"/>
          </w:tcPr>
          <w:p>
            <w:pPr>
              <w:jc w:val="right"/>
              <w:ind w:right="96"/>
              <w:spacing w:after="0" w:line="155" w:lineRule="exact"/>
              <w:rPr>
                <w:sz w:val="20"/>
                <w:szCs w:val="20"/>
                <w:color w:val="auto"/>
              </w:rPr>
            </w:pPr>
            <w:r>
              <w:rPr>
                <w:rFonts w:ascii="Times New Roman" w:cs="Times New Roman" w:eastAsia="Times New Roman" w:hAnsi="Times New Roman"/>
                <w:sz w:val="14"/>
                <w:szCs w:val="14"/>
                <w:b w:val="1"/>
                <w:bCs w:val="1"/>
                <w:color w:val="auto"/>
              </w:rPr>
              <w:t>Level 3</w:t>
            </w:r>
          </w:p>
        </w:tc>
        <w:tc>
          <w:tcPr>
            <w:tcW w:w="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80" w:type="dxa"/>
            <w:vAlign w:val="bottom"/>
          </w:tcPr>
          <w:p>
            <w:pPr>
              <w:jc w:val="right"/>
              <w:ind w:right="532"/>
              <w:spacing w:after="0" w:line="155" w:lineRule="exact"/>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3"/>
                <w:szCs w:val="13"/>
                <w:color w:val="auto"/>
              </w:rPr>
            </w:pPr>
          </w:p>
        </w:tc>
      </w:tr>
      <w:tr>
        <w:trPr>
          <w:trHeight w:val="223"/>
        </w:trPr>
        <w:tc>
          <w:tcPr>
            <w:tcW w:w="44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US treasury notes and bills</w:t>
            </w:r>
          </w:p>
        </w:tc>
        <w:tc>
          <w:tcPr>
            <w:tcW w:w="320" w:type="dxa"/>
            <w:vAlign w:val="bottom"/>
            <w:tcBorders>
              <w:top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344,728</w:t>
            </w:r>
          </w:p>
        </w:tc>
        <w:tc>
          <w:tcPr>
            <w:tcW w:w="26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150,368</w:t>
            </w:r>
          </w:p>
        </w:tc>
        <w:tc>
          <w:tcPr>
            <w:tcW w:w="260" w:type="dxa"/>
            <w:vAlign w:val="bottom"/>
            <w:tcBorders>
              <w:top w:val="single" w:sz="8" w:color="CFF0FC"/>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jc w:val="right"/>
              <w:ind w:right="976"/>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top w:val="single" w:sz="8" w:color="auto"/>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495,096</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Bond and mutual funds</w:t>
            </w: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10,591</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10,591</w:t>
            </w:r>
          </w:p>
        </w:tc>
        <w:tc>
          <w:tcPr>
            <w:tcW w:w="120" w:type="dxa"/>
            <w:vAlign w:val="bottom"/>
          </w:tcPr>
          <w:p>
            <w:pPr>
              <w:spacing w:after="0"/>
              <w:rPr>
                <w:sz w:val="19"/>
                <w:szCs w:val="19"/>
                <w:color w:val="auto"/>
              </w:rPr>
            </w:pPr>
          </w:p>
        </w:tc>
      </w:tr>
      <w:tr>
        <w:trPr>
          <w:trHeight w:val="230"/>
        </w:trPr>
        <w:tc>
          <w:tcPr>
            <w:tcW w:w="4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Equity investments</w:t>
            </w:r>
          </w:p>
        </w:tc>
        <w:tc>
          <w:tcPr>
            <w:tcW w:w="3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64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20" w:type="dxa"/>
            <w:vAlign w:val="bottom"/>
            <w:shd w:val="clear" w:color="auto" w:fill="CFF0FC"/>
          </w:tcPr>
          <w:p>
            <w:pPr>
              <w:spacing w:after="0"/>
              <w:rPr>
                <w:sz w:val="19"/>
                <w:szCs w:val="19"/>
                <w:color w:val="auto"/>
              </w:rPr>
            </w:pPr>
          </w:p>
        </w:tc>
      </w:tr>
      <w:tr>
        <w:trPr>
          <w:trHeight w:val="230"/>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9,395</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9,395</w:t>
            </w:r>
          </w:p>
        </w:tc>
        <w:tc>
          <w:tcPr>
            <w:tcW w:w="120" w:type="dxa"/>
            <w:vAlign w:val="bottom"/>
          </w:tcPr>
          <w:p>
            <w:pPr>
              <w:spacing w:after="0"/>
              <w:rPr>
                <w:sz w:val="19"/>
                <w:szCs w:val="19"/>
                <w:color w:val="auto"/>
              </w:rPr>
            </w:pPr>
          </w:p>
        </w:tc>
      </w:tr>
      <w:tr>
        <w:trPr>
          <w:trHeight w:val="230"/>
        </w:trPr>
        <w:tc>
          <w:tcPr>
            <w:tcW w:w="4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Term deposit</w:t>
            </w:r>
          </w:p>
        </w:tc>
        <w:tc>
          <w:tcPr>
            <w:tcW w:w="32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80,000</w:t>
            </w:r>
          </w:p>
        </w:tc>
        <w:tc>
          <w:tcPr>
            <w:tcW w:w="26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64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80,000</w:t>
            </w:r>
          </w:p>
        </w:tc>
        <w:tc>
          <w:tcPr>
            <w:tcW w:w="120" w:type="dxa"/>
            <w:vAlign w:val="bottom"/>
            <w:shd w:val="clear" w:color="auto" w:fill="CFF0FC"/>
          </w:tcPr>
          <w:p>
            <w:pPr>
              <w:spacing w:after="0"/>
              <w:rPr>
                <w:sz w:val="19"/>
                <w:szCs w:val="19"/>
                <w:color w:val="auto"/>
              </w:rPr>
            </w:pPr>
          </w:p>
        </w:tc>
      </w:tr>
      <w:tr>
        <w:trPr>
          <w:trHeight w:val="230"/>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Certificate of deposit</w:t>
            </w:r>
          </w:p>
        </w:tc>
        <w:tc>
          <w:tcPr>
            <w:tcW w:w="320" w:type="dxa"/>
            <w:vAlign w:val="bottom"/>
          </w:tcPr>
          <w:p>
            <w:pPr>
              <w:spacing w:after="0"/>
              <w:rPr>
                <w:sz w:val="19"/>
                <w:szCs w:val="19"/>
                <w:color w:val="auto"/>
              </w:rPr>
            </w:pPr>
          </w:p>
        </w:tc>
        <w:tc>
          <w:tcPr>
            <w:tcW w:w="14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29,996</w:t>
            </w: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29,996</w:t>
            </w:r>
          </w:p>
        </w:tc>
        <w:tc>
          <w:tcPr>
            <w:tcW w:w="120" w:type="dxa"/>
            <w:vAlign w:val="bottom"/>
          </w:tcPr>
          <w:p>
            <w:pPr>
              <w:spacing w:after="0"/>
              <w:rPr>
                <w:sz w:val="19"/>
                <w:szCs w:val="19"/>
                <w:color w:val="auto"/>
              </w:rPr>
            </w:pPr>
          </w:p>
        </w:tc>
      </w:tr>
      <w:tr>
        <w:trPr>
          <w:trHeight w:val="223"/>
        </w:trPr>
        <w:tc>
          <w:tcPr>
            <w:tcW w:w="442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364,960</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260,364</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160" w:type="dxa"/>
            <w:vAlign w:val="bottom"/>
            <w:tcBorders>
              <w:top w:val="single" w:sz="8" w:color="auto"/>
              <w:bottom w:val="single" w:sz="8" w:color="auto"/>
            </w:tcBorders>
            <w:shd w:val="clear" w:color="auto" w:fill="CFF0FC"/>
          </w:tcPr>
          <w:p>
            <w:pPr>
              <w:jc w:val="right"/>
              <w:ind w:right="976"/>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top w:val="single" w:sz="8" w:color="auto"/>
              <w:bottom w:val="single" w:sz="8" w:color="auto"/>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625,324</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4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72"/>
        </w:trPr>
        <w:tc>
          <w:tcPr>
            <w:tcW w:w="44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3"/>
          </w:tcPr>
          <w:p>
            <w:pPr>
              <w:jc w:val="right"/>
              <w:ind w:right="616"/>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56"/>
        </w:trPr>
        <w:tc>
          <w:tcPr>
            <w:tcW w:w="44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60" w:type="dxa"/>
            <w:vAlign w:val="bottom"/>
            <w:gridSpan w:val="2"/>
          </w:tcPr>
          <w:p>
            <w:pPr>
              <w:ind w:left="220"/>
              <w:spacing w:after="0" w:line="155" w:lineRule="exact"/>
              <w:rPr>
                <w:sz w:val="20"/>
                <w:szCs w:val="20"/>
                <w:color w:val="auto"/>
              </w:rPr>
            </w:pPr>
            <w:r>
              <w:rPr>
                <w:rFonts w:ascii="Times New Roman" w:cs="Times New Roman" w:eastAsia="Times New Roman" w:hAnsi="Times New Roman"/>
                <w:sz w:val="14"/>
                <w:szCs w:val="14"/>
                <w:b w:val="1"/>
                <w:bCs w:val="1"/>
                <w:color w:val="auto"/>
              </w:rPr>
              <w:t>Level 1</w:t>
            </w:r>
          </w:p>
        </w:tc>
        <w:tc>
          <w:tcPr>
            <w:tcW w:w="320" w:type="dxa"/>
            <w:vAlign w:val="bottom"/>
          </w:tcPr>
          <w:p>
            <w:pPr>
              <w:spacing w:after="0"/>
              <w:rPr>
                <w:sz w:val="13"/>
                <w:szCs w:val="13"/>
                <w:color w:val="auto"/>
              </w:rPr>
            </w:pPr>
          </w:p>
        </w:tc>
        <w:tc>
          <w:tcPr>
            <w:tcW w:w="1200" w:type="dxa"/>
            <w:vAlign w:val="bottom"/>
          </w:tcPr>
          <w:p>
            <w:pPr>
              <w:jc w:val="right"/>
              <w:ind w:right="454"/>
              <w:spacing w:after="0" w:line="155" w:lineRule="exact"/>
              <w:rPr>
                <w:sz w:val="20"/>
                <w:szCs w:val="20"/>
                <w:color w:val="auto"/>
              </w:rPr>
            </w:pPr>
            <w:r>
              <w:rPr>
                <w:rFonts w:ascii="Times New Roman" w:cs="Times New Roman" w:eastAsia="Times New Roman" w:hAnsi="Times New Roman"/>
                <w:sz w:val="14"/>
                <w:szCs w:val="14"/>
                <w:b w:val="1"/>
                <w:bCs w:val="1"/>
                <w:color w:val="auto"/>
              </w:rPr>
              <w:t>Level 2</w:t>
            </w:r>
          </w:p>
        </w:tc>
        <w:tc>
          <w:tcPr>
            <w:tcW w:w="260" w:type="dxa"/>
            <w:vAlign w:val="bottom"/>
          </w:tcPr>
          <w:p>
            <w:pPr>
              <w:spacing w:after="0"/>
              <w:rPr>
                <w:sz w:val="13"/>
                <w:szCs w:val="13"/>
                <w:color w:val="auto"/>
              </w:rPr>
            </w:pPr>
          </w:p>
        </w:tc>
        <w:tc>
          <w:tcPr>
            <w:tcW w:w="1160" w:type="dxa"/>
            <w:vAlign w:val="bottom"/>
          </w:tcPr>
          <w:p>
            <w:pPr>
              <w:jc w:val="right"/>
              <w:ind w:right="96"/>
              <w:spacing w:after="0" w:line="155" w:lineRule="exact"/>
              <w:rPr>
                <w:sz w:val="20"/>
                <w:szCs w:val="20"/>
                <w:color w:val="auto"/>
              </w:rPr>
            </w:pPr>
            <w:r>
              <w:rPr>
                <w:rFonts w:ascii="Times New Roman" w:cs="Times New Roman" w:eastAsia="Times New Roman" w:hAnsi="Times New Roman"/>
                <w:sz w:val="14"/>
                <w:szCs w:val="14"/>
                <w:b w:val="1"/>
                <w:bCs w:val="1"/>
                <w:color w:val="auto"/>
              </w:rPr>
              <w:t>Level 3</w:t>
            </w:r>
          </w:p>
        </w:tc>
        <w:tc>
          <w:tcPr>
            <w:tcW w:w="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80" w:type="dxa"/>
            <w:vAlign w:val="bottom"/>
          </w:tcPr>
          <w:p>
            <w:pPr>
              <w:jc w:val="right"/>
              <w:ind w:right="532"/>
              <w:spacing w:after="0" w:line="155" w:lineRule="exact"/>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3"/>
                <w:szCs w:val="13"/>
                <w:color w:val="auto"/>
              </w:rPr>
            </w:pPr>
          </w:p>
        </w:tc>
      </w:tr>
      <w:tr>
        <w:trPr>
          <w:trHeight w:val="223"/>
        </w:trPr>
        <w:tc>
          <w:tcPr>
            <w:tcW w:w="44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US treasury notes and bills</w:t>
            </w:r>
          </w:p>
        </w:tc>
        <w:tc>
          <w:tcPr>
            <w:tcW w:w="320" w:type="dxa"/>
            <w:vAlign w:val="bottom"/>
            <w:tcBorders>
              <w:top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292,317</w:t>
            </w:r>
          </w:p>
        </w:tc>
        <w:tc>
          <w:tcPr>
            <w:tcW w:w="26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224,953</w:t>
            </w:r>
          </w:p>
        </w:tc>
        <w:tc>
          <w:tcPr>
            <w:tcW w:w="260" w:type="dxa"/>
            <w:vAlign w:val="bottom"/>
            <w:tcBorders>
              <w:top w:val="single" w:sz="8" w:color="CFF0FC"/>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jc w:val="right"/>
              <w:ind w:right="976"/>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top w:val="single" w:sz="8" w:color="auto"/>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517,270</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Bond and mutual funds</w:t>
            </w: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10,484</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10,484</w:t>
            </w:r>
          </w:p>
        </w:tc>
        <w:tc>
          <w:tcPr>
            <w:tcW w:w="120" w:type="dxa"/>
            <w:vAlign w:val="bottom"/>
          </w:tcPr>
          <w:p>
            <w:pPr>
              <w:spacing w:after="0"/>
              <w:rPr>
                <w:sz w:val="19"/>
                <w:szCs w:val="19"/>
                <w:color w:val="auto"/>
              </w:rPr>
            </w:pPr>
          </w:p>
        </w:tc>
      </w:tr>
      <w:tr>
        <w:trPr>
          <w:trHeight w:val="230"/>
        </w:trPr>
        <w:tc>
          <w:tcPr>
            <w:tcW w:w="4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Equity investments</w:t>
            </w:r>
          </w:p>
        </w:tc>
        <w:tc>
          <w:tcPr>
            <w:tcW w:w="3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64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120" w:type="dxa"/>
            <w:vAlign w:val="bottom"/>
            <w:shd w:val="clear" w:color="auto" w:fill="CFF0FC"/>
          </w:tcPr>
          <w:p>
            <w:pPr>
              <w:spacing w:after="0"/>
              <w:rPr>
                <w:sz w:val="19"/>
                <w:szCs w:val="19"/>
                <w:color w:val="auto"/>
              </w:rPr>
            </w:pPr>
          </w:p>
        </w:tc>
      </w:tr>
      <w:tr>
        <w:trPr>
          <w:trHeight w:val="230"/>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120" w:type="dxa"/>
            <w:vAlign w:val="bottom"/>
          </w:tcPr>
          <w:p>
            <w:pPr>
              <w:spacing w:after="0"/>
              <w:rPr>
                <w:sz w:val="19"/>
                <w:szCs w:val="19"/>
                <w:color w:val="auto"/>
              </w:rPr>
            </w:pPr>
          </w:p>
        </w:tc>
      </w:tr>
      <w:tr>
        <w:trPr>
          <w:trHeight w:val="230"/>
        </w:trPr>
        <w:tc>
          <w:tcPr>
            <w:tcW w:w="4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Term deposit</w:t>
            </w:r>
          </w:p>
        </w:tc>
        <w:tc>
          <w:tcPr>
            <w:tcW w:w="32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80,000</w:t>
            </w:r>
          </w:p>
        </w:tc>
        <w:tc>
          <w:tcPr>
            <w:tcW w:w="26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64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80,000</w:t>
            </w:r>
          </w:p>
        </w:tc>
        <w:tc>
          <w:tcPr>
            <w:tcW w:w="120" w:type="dxa"/>
            <w:vAlign w:val="bottom"/>
            <w:shd w:val="clear" w:color="auto" w:fill="CFF0FC"/>
          </w:tcPr>
          <w:p>
            <w:pPr>
              <w:spacing w:after="0"/>
              <w:rPr>
                <w:sz w:val="19"/>
                <w:szCs w:val="19"/>
                <w:color w:val="auto"/>
              </w:rPr>
            </w:pPr>
          </w:p>
        </w:tc>
      </w:tr>
      <w:tr>
        <w:trPr>
          <w:trHeight w:val="230"/>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Certificate of deposit</w:t>
            </w:r>
          </w:p>
        </w:tc>
        <w:tc>
          <w:tcPr>
            <w:tcW w:w="320" w:type="dxa"/>
            <w:vAlign w:val="bottom"/>
          </w:tcPr>
          <w:p>
            <w:pPr>
              <w:spacing w:after="0"/>
              <w:rPr>
                <w:sz w:val="19"/>
                <w:szCs w:val="19"/>
                <w:color w:val="auto"/>
              </w:rPr>
            </w:pPr>
          </w:p>
        </w:tc>
        <w:tc>
          <w:tcPr>
            <w:tcW w:w="14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29,910</w:t>
            </w: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29,910</w:t>
            </w:r>
          </w:p>
        </w:tc>
        <w:tc>
          <w:tcPr>
            <w:tcW w:w="120" w:type="dxa"/>
            <w:vAlign w:val="bottom"/>
          </w:tcPr>
          <w:p>
            <w:pPr>
              <w:spacing w:after="0"/>
              <w:rPr>
                <w:sz w:val="19"/>
                <w:szCs w:val="19"/>
                <w:color w:val="auto"/>
              </w:rPr>
            </w:pPr>
          </w:p>
        </w:tc>
      </w:tr>
      <w:tr>
        <w:trPr>
          <w:trHeight w:val="223"/>
        </w:trPr>
        <w:tc>
          <w:tcPr>
            <w:tcW w:w="442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303,576</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334,863</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160" w:type="dxa"/>
            <w:vAlign w:val="bottom"/>
            <w:tcBorders>
              <w:top w:val="single" w:sz="8" w:color="auto"/>
              <w:bottom w:val="single" w:sz="8" w:color="auto"/>
            </w:tcBorders>
            <w:shd w:val="clear" w:color="auto" w:fill="CFF0FC"/>
          </w:tcPr>
          <w:p>
            <w:pPr>
              <w:jc w:val="right"/>
              <w:ind w:right="976"/>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top w:val="single" w:sz="8" w:color="auto"/>
              <w:bottom w:val="single" w:sz="8" w:color="auto"/>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638,439</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4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38" w:lineRule="exact"/>
        <w:rPr>
          <w:sz w:val="20"/>
          <w:szCs w:val="20"/>
          <w:color w:val="auto"/>
        </w:rPr>
      </w:pPr>
    </w:p>
    <w:p>
      <w:pPr>
        <w:jc w:val="both"/>
        <w:ind w:right="60"/>
        <w:spacing w:after="0" w:line="261" w:lineRule="auto"/>
        <w:rPr>
          <w:sz w:val="20"/>
          <w:szCs w:val="20"/>
          <w:color w:val="auto"/>
        </w:rPr>
      </w:pPr>
      <w:r>
        <w:rPr>
          <w:rFonts w:ascii="Times New Roman" w:cs="Times New Roman" w:eastAsia="Times New Roman" w:hAnsi="Times New Roman"/>
          <w:sz w:val="18"/>
          <w:szCs w:val="18"/>
          <w:color w:val="auto"/>
        </w:rPr>
        <w:t>Our Level 2 investments are valued using third-party pricing sources. The pricing services utilize industry standard valuation models, including both income and market-based approaches, for which all significant inputs are observable, either directly or indirectly, to estimate fair value. These inputs include reported trades of and broker/dealer quotes on the same or similar investments, issuer credit spreads, benchmark investments, prepayment/default projections based on historical data and other observable inputs.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values of the Company’s financial liabilities that are carried at historical cost are as follows (in thousands):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4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gridSpan w:val="3"/>
          </w:tcPr>
          <w:p>
            <w:pPr>
              <w:jc w:val="center"/>
              <w:ind w:left="642"/>
              <w:spacing w:after="0"/>
              <w:rPr>
                <w:sz w:val="20"/>
                <w:szCs w:val="20"/>
                <w:color w:val="auto"/>
              </w:rPr>
            </w:pPr>
            <w:r>
              <w:rPr>
                <w:rFonts w:ascii="Times New Roman" w:cs="Times New Roman" w:eastAsia="Times New Roman" w:hAnsi="Times New Roman"/>
                <w:sz w:val="14"/>
                <w:szCs w:val="14"/>
                <w:b w:val="1"/>
                <w:bCs w:val="1"/>
                <w:color w:val="auto"/>
              </w:rPr>
              <w:t>March 31, 2019</w:t>
            </w:r>
          </w:p>
        </w:tc>
        <w:tc>
          <w:tcPr>
            <w:tcW w:w="10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56"/>
        </w:trPr>
        <w:tc>
          <w:tcPr>
            <w:tcW w:w="44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60" w:type="dxa"/>
            <w:vAlign w:val="bottom"/>
            <w:gridSpan w:val="2"/>
          </w:tcPr>
          <w:p>
            <w:pPr>
              <w:ind w:left="220"/>
              <w:spacing w:after="0" w:line="155" w:lineRule="exact"/>
              <w:rPr>
                <w:sz w:val="20"/>
                <w:szCs w:val="20"/>
                <w:color w:val="auto"/>
              </w:rPr>
            </w:pPr>
            <w:r>
              <w:rPr>
                <w:rFonts w:ascii="Times New Roman" w:cs="Times New Roman" w:eastAsia="Times New Roman" w:hAnsi="Times New Roman"/>
                <w:sz w:val="14"/>
                <w:szCs w:val="14"/>
                <w:b w:val="1"/>
                <w:bCs w:val="1"/>
                <w:color w:val="auto"/>
              </w:rPr>
              <w:t>Level 1</w:t>
            </w:r>
          </w:p>
        </w:tc>
        <w:tc>
          <w:tcPr>
            <w:tcW w:w="320" w:type="dxa"/>
            <w:vAlign w:val="bottom"/>
          </w:tcPr>
          <w:p>
            <w:pPr>
              <w:spacing w:after="0"/>
              <w:rPr>
                <w:sz w:val="13"/>
                <w:szCs w:val="13"/>
                <w:color w:val="auto"/>
              </w:rPr>
            </w:pPr>
          </w:p>
        </w:tc>
        <w:tc>
          <w:tcPr>
            <w:tcW w:w="1200" w:type="dxa"/>
            <w:vAlign w:val="bottom"/>
          </w:tcPr>
          <w:p>
            <w:pPr>
              <w:ind w:left="220"/>
              <w:spacing w:after="0" w:line="155" w:lineRule="exact"/>
              <w:rPr>
                <w:sz w:val="20"/>
                <w:szCs w:val="20"/>
                <w:color w:val="auto"/>
              </w:rPr>
            </w:pPr>
            <w:r>
              <w:rPr>
                <w:rFonts w:ascii="Times New Roman" w:cs="Times New Roman" w:eastAsia="Times New Roman" w:hAnsi="Times New Roman"/>
                <w:sz w:val="14"/>
                <w:szCs w:val="14"/>
                <w:b w:val="1"/>
                <w:bCs w:val="1"/>
                <w:color w:val="auto"/>
              </w:rPr>
              <w:t>Level 2</w:t>
            </w:r>
          </w:p>
        </w:tc>
        <w:tc>
          <w:tcPr>
            <w:tcW w:w="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300" w:type="dxa"/>
            <w:vAlign w:val="bottom"/>
            <w:gridSpan w:val="2"/>
          </w:tcPr>
          <w:p>
            <w:pPr>
              <w:ind w:left="40"/>
              <w:spacing w:after="0" w:line="155" w:lineRule="exact"/>
              <w:rPr>
                <w:sz w:val="20"/>
                <w:szCs w:val="20"/>
                <w:color w:val="auto"/>
              </w:rPr>
            </w:pPr>
            <w:r>
              <w:rPr>
                <w:rFonts w:ascii="Times New Roman" w:cs="Times New Roman" w:eastAsia="Times New Roman" w:hAnsi="Times New Roman"/>
                <w:sz w:val="14"/>
                <w:szCs w:val="14"/>
                <w:b w:val="1"/>
                <w:bCs w:val="1"/>
                <w:color w:val="auto"/>
              </w:rPr>
              <w:t>Level 3</w:t>
            </w:r>
          </w:p>
        </w:tc>
        <w:tc>
          <w:tcPr>
            <w:tcW w:w="340" w:type="dxa"/>
            <w:vAlign w:val="bottom"/>
          </w:tcPr>
          <w:p>
            <w:pPr>
              <w:spacing w:after="0"/>
              <w:rPr>
                <w:sz w:val="13"/>
                <w:szCs w:val="13"/>
                <w:color w:val="auto"/>
              </w:rPr>
            </w:pPr>
          </w:p>
        </w:tc>
        <w:tc>
          <w:tcPr>
            <w:tcW w:w="1180" w:type="dxa"/>
            <w:vAlign w:val="bottom"/>
          </w:tcPr>
          <w:p>
            <w:pPr>
              <w:jc w:val="right"/>
              <w:ind w:right="539"/>
              <w:spacing w:after="0" w:line="155" w:lineRule="exact"/>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3"/>
                <w:szCs w:val="13"/>
                <w:color w:val="auto"/>
              </w:rPr>
            </w:pPr>
          </w:p>
        </w:tc>
      </w:tr>
      <w:tr>
        <w:trPr>
          <w:trHeight w:val="223"/>
        </w:trPr>
        <w:tc>
          <w:tcPr>
            <w:tcW w:w="44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 obligations</w:t>
            </w:r>
          </w:p>
        </w:tc>
        <w:tc>
          <w:tcPr>
            <w:tcW w:w="320" w:type="dxa"/>
            <w:vAlign w:val="bottom"/>
            <w:tcBorders>
              <w:top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FF0FC"/>
          </w:tcPr>
          <w:p>
            <w:pPr>
              <w:ind w:left="1000"/>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FF0FC"/>
          </w:tcPr>
          <w:p>
            <w:pPr>
              <w:ind w:left="1000"/>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tcBorders>
              <w:top w:val="single" w:sz="8" w:color="CFF0FC"/>
            </w:tcBorders>
            <w:shd w:val="clear" w:color="auto" w:fill="CFF0FC"/>
          </w:tcPr>
          <w:p>
            <w:pPr>
              <w:spacing w:after="0"/>
              <w:rPr>
                <w:sz w:val="19"/>
                <w:szCs w:val="19"/>
                <w:color w:val="auto"/>
              </w:rPr>
            </w:pPr>
          </w:p>
        </w:tc>
        <w:tc>
          <w:tcPr>
            <w:tcW w:w="500" w:type="dxa"/>
            <w:vAlign w:val="bottom"/>
            <w:tcBorders>
              <w:top w:val="single" w:sz="8" w:color="auto"/>
            </w:tcBorders>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1,846</w:t>
            </w:r>
          </w:p>
        </w:tc>
        <w:tc>
          <w:tcPr>
            <w:tcW w:w="28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1,846</w:t>
            </w:r>
          </w:p>
        </w:tc>
        <w:tc>
          <w:tcPr>
            <w:tcW w:w="120" w:type="dxa"/>
            <w:vAlign w:val="bottom"/>
            <w:tcBorders>
              <w:top w:val="single" w:sz="8" w:color="CFF0FC"/>
            </w:tcBorders>
            <w:shd w:val="clear" w:color="auto" w:fill="CFF0FC"/>
          </w:tcPr>
          <w:p>
            <w:pPr>
              <w:spacing w:after="0"/>
              <w:rPr>
                <w:sz w:val="19"/>
                <w:szCs w:val="19"/>
                <w:color w:val="auto"/>
              </w:rPr>
            </w:pPr>
          </w:p>
        </w:tc>
      </w:tr>
      <w:tr>
        <w:trPr>
          <w:trHeight w:val="392"/>
        </w:trPr>
        <w:tc>
          <w:tcPr>
            <w:tcW w:w="44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3"/>
          </w:tcPr>
          <w:p>
            <w:pPr>
              <w:jc w:val="center"/>
              <w:ind w:left="642"/>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10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56"/>
        </w:trPr>
        <w:tc>
          <w:tcPr>
            <w:tcW w:w="44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60" w:type="dxa"/>
            <w:vAlign w:val="bottom"/>
            <w:gridSpan w:val="2"/>
          </w:tcPr>
          <w:p>
            <w:pPr>
              <w:ind w:left="220"/>
              <w:spacing w:after="0" w:line="155" w:lineRule="exact"/>
              <w:rPr>
                <w:sz w:val="20"/>
                <w:szCs w:val="20"/>
                <w:color w:val="auto"/>
              </w:rPr>
            </w:pPr>
            <w:r>
              <w:rPr>
                <w:rFonts w:ascii="Times New Roman" w:cs="Times New Roman" w:eastAsia="Times New Roman" w:hAnsi="Times New Roman"/>
                <w:sz w:val="14"/>
                <w:szCs w:val="14"/>
                <w:b w:val="1"/>
                <w:bCs w:val="1"/>
                <w:color w:val="auto"/>
              </w:rPr>
              <w:t>Level 1</w:t>
            </w:r>
          </w:p>
        </w:tc>
        <w:tc>
          <w:tcPr>
            <w:tcW w:w="320" w:type="dxa"/>
            <w:vAlign w:val="bottom"/>
          </w:tcPr>
          <w:p>
            <w:pPr>
              <w:spacing w:after="0"/>
              <w:rPr>
                <w:sz w:val="13"/>
                <w:szCs w:val="13"/>
                <w:color w:val="auto"/>
              </w:rPr>
            </w:pPr>
          </w:p>
        </w:tc>
        <w:tc>
          <w:tcPr>
            <w:tcW w:w="1200" w:type="dxa"/>
            <w:vAlign w:val="bottom"/>
          </w:tcPr>
          <w:p>
            <w:pPr>
              <w:ind w:left="220"/>
              <w:spacing w:after="0" w:line="155" w:lineRule="exact"/>
              <w:rPr>
                <w:sz w:val="20"/>
                <w:szCs w:val="20"/>
                <w:color w:val="auto"/>
              </w:rPr>
            </w:pPr>
            <w:r>
              <w:rPr>
                <w:rFonts w:ascii="Times New Roman" w:cs="Times New Roman" w:eastAsia="Times New Roman" w:hAnsi="Times New Roman"/>
                <w:sz w:val="14"/>
                <w:szCs w:val="14"/>
                <w:b w:val="1"/>
                <w:bCs w:val="1"/>
                <w:color w:val="auto"/>
              </w:rPr>
              <w:t>Level 2</w:t>
            </w:r>
          </w:p>
        </w:tc>
        <w:tc>
          <w:tcPr>
            <w:tcW w:w="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300" w:type="dxa"/>
            <w:vAlign w:val="bottom"/>
            <w:gridSpan w:val="2"/>
          </w:tcPr>
          <w:p>
            <w:pPr>
              <w:ind w:left="40"/>
              <w:spacing w:after="0" w:line="155" w:lineRule="exact"/>
              <w:rPr>
                <w:sz w:val="20"/>
                <w:szCs w:val="20"/>
                <w:color w:val="auto"/>
              </w:rPr>
            </w:pPr>
            <w:r>
              <w:rPr>
                <w:rFonts w:ascii="Times New Roman" w:cs="Times New Roman" w:eastAsia="Times New Roman" w:hAnsi="Times New Roman"/>
                <w:sz w:val="14"/>
                <w:szCs w:val="14"/>
                <w:b w:val="1"/>
                <w:bCs w:val="1"/>
                <w:color w:val="auto"/>
              </w:rPr>
              <w:t>Level 3</w:t>
            </w:r>
          </w:p>
        </w:tc>
        <w:tc>
          <w:tcPr>
            <w:tcW w:w="340" w:type="dxa"/>
            <w:vAlign w:val="bottom"/>
          </w:tcPr>
          <w:p>
            <w:pPr>
              <w:spacing w:after="0"/>
              <w:rPr>
                <w:sz w:val="13"/>
                <w:szCs w:val="13"/>
                <w:color w:val="auto"/>
              </w:rPr>
            </w:pPr>
          </w:p>
        </w:tc>
        <w:tc>
          <w:tcPr>
            <w:tcW w:w="1180" w:type="dxa"/>
            <w:vAlign w:val="bottom"/>
          </w:tcPr>
          <w:p>
            <w:pPr>
              <w:jc w:val="right"/>
              <w:ind w:right="539"/>
              <w:spacing w:after="0" w:line="155" w:lineRule="exact"/>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3"/>
                <w:szCs w:val="13"/>
                <w:color w:val="auto"/>
              </w:rPr>
            </w:pPr>
          </w:p>
        </w:tc>
      </w:tr>
      <w:tr>
        <w:trPr>
          <w:trHeight w:val="223"/>
        </w:trPr>
        <w:tc>
          <w:tcPr>
            <w:tcW w:w="44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 obligations</w:t>
            </w:r>
          </w:p>
        </w:tc>
        <w:tc>
          <w:tcPr>
            <w:tcW w:w="320" w:type="dxa"/>
            <w:vAlign w:val="bottom"/>
            <w:tcBorders>
              <w:top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FF0FC"/>
          </w:tcPr>
          <w:p>
            <w:pPr>
              <w:ind w:left="1000"/>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FF0FC"/>
          </w:tcPr>
          <w:p>
            <w:pPr>
              <w:ind w:left="1000"/>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tcBorders>
              <w:top w:val="single" w:sz="8" w:color="CFF0FC"/>
            </w:tcBorders>
            <w:shd w:val="clear" w:color="auto" w:fill="CFF0FC"/>
          </w:tcPr>
          <w:p>
            <w:pPr>
              <w:spacing w:after="0"/>
              <w:rPr>
                <w:sz w:val="19"/>
                <w:szCs w:val="19"/>
                <w:color w:val="auto"/>
              </w:rPr>
            </w:pPr>
          </w:p>
        </w:tc>
        <w:tc>
          <w:tcPr>
            <w:tcW w:w="500" w:type="dxa"/>
            <w:vAlign w:val="bottom"/>
            <w:tcBorders>
              <w:top w:val="single" w:sz="8" w:color="auto"/>
            </w:tcBorders>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98,105</w:t>
            </w:r>
          </w:p>
        </w:tc>
        <w:tc>
          <w:tcPr>
            <w:tcW w:w="28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98,105</w:t>
            </w:r>
          </w:p>
        </w:tc>
        <w:tc>
          <w:tcPr>
            <w:tcW w:w="120" w:type="dxa"/>
            <w:vAlign w:val="bottom"/>
            <w:tcBorders>
              <w:top w:val="single" w:sz="8" w:color="CFF0FC"/>
            </w:tcBorders>
            <w:shd w:val="clear" w:color="auto" w:fill="CFF0FC"/>
          </w:tcPr>
          <w:p>
            <w:pPr>
              <w:spacing w:after="0"/>
              <w:rPr>
                <w:sz w:val="19"/>
                <w:szCs w:val="19"/>
                <w:color w:val="auto"/>
              </w:rPr>
            </w:pPr>
          </w:p>
        </w:tc>
      </w:tr>
    </w:tbl>
    <w:p>
      <w:pPr>
        <w:spacing w:after="0" w:line="225"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fair values of the Company’s financial liabilities were derived by using an income approach, which required Level 3 inputs such as discounted estimated future cash flows.</w:t>
      </w:r>
    </w:p>
    <w:p>
      <w:pPr>
        <w:spacing w:after="0" w:line="162" w:lineRule="exact"/>
        <w:rPr>
          <w:sz w:val="20"/>
          <w:szCs w:val="20"/>
          <w:color w:val="auto"/>
        </w:rPr>
      </w:pPr>
    </w:p>
    <w:p>
      <w:pPr>
        <w:jc w:val="both"/>
        <w:ind w:right="540"/>
        <w:spacing w:after="0" w:line="266" w:lineRule="auto"/>
        <w:rPr>
          <w:sz w:val="20"/>
          <w:szCs w:val="20"/>
          <w:color w:val="auto"/>
        </w:rPr>
      </w:pPr>
      <w:r>
        <w:rPr>
          <w:rFonts w:ascii="Times New Roman" w:cs="Times New Roman" w:eastAsia="Times New Roman" w:hAnsi="Times New Roman"/>
          <w:sz w:val="18"/>
          <w:szCs w:val="18"/>
          <w:color w:val="auto"/>
        </w:rPr>
        <w:t>As of December 31, 2018, the Company had $96.2 million in lease obligations related to its building leases under build-to-suit arrangements. Upon the adoption of ASC 842 as of January 1, 2019, using the modified retrospective transition method, the Company derecognized these liabilities previously recognized under ASC 840 build-to-suit designation. Refer to Note 1 for details.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5" w:name="page16"/>
    <w:bookmarkEnd w:id="1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remaining balance of $1.8 million as of March 31, 2019 under lease obligations is related to an expansion option in the Company’s long-term property lease with Shorenstein Properties LLC (“Alexandria” or “landlord”). This expansion option allowed the Company to occupy part of an adjacent building within 31 months of the lease commencement date in 2008. In 2012, the Company gave notice to its landlord that it would not exercise this expansion option, which resulted in a $5.0 million payment liability to the landlord that is financed over the remaining lease term to 2023.</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transfers of assets or liabilities between levels for any of the periods presented.</w:t>
      </w:r>
    </w:p>
    <w:p>
      <w:pPr>
        <w:spacing w:after="0" w:line="370" w:lineRule="exact"/>
        <w:rPr>
          <w:sz w:val="20"/>
          <w:szCs w:val="20"/>
          <w:color w:val="auto"/>
        </w:rPr>
      </w:pPr>
    </w:p>
    <w:p>
      <w:pPr>
        <w:ind w:left="520" w:hanging="512"/>
        <w:spacing w:after="0"/>
        <w:tabs>
          <w:tab w:leader="none" w:pos="52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currently has two building leases treated as finance leases.</w:t>
      </w:r>
    </w:p>
    <w:p>
      <w:pPr>
        <w:spacing w:after="0" w:line="22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2006, The Company entered into a long-term property lease with Alexandria for its corporate headquarters in San Francisco, California, with an initial term of 15 years, scheduled to expire in 2023. The Company has an option to extend the lease for an additional 10 years through 2033. The lease contract provides for a fixed annual rent, with scheduled increases of two percent that occur on each anniversary of the rent commencement date. This lease requires the Company to pay all costs of ownership, operation, and maintenance of the premises, including without limitation all operating costs, insurance costs, and taxes.</w:t>
      </w:r>
    </w:p>
    <w:p>
      <w:pPr>
        <w:spacing w:after="0" w:line="184"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In 2013, the Company entered into a long-term property lease with Beijing Economic-Technological Development Area (“BDA”) Management Committee for a pilot plant located in Beijing Yizhuang Biomedical Park (“BYBP”) of BDA. The building is leased for an initial lease term of eight years, scheduled to expire in 2021. Renewal options are not specified within the lease contract. The lease contract provides for fixed quarterly rent payments, with scheduled increases that occur as detailed in the lease contract. This lease requires the Company to pay all operating and maintenance costs, and a fixed amount for property management fees.</w:t>
      </w:r>
    </w:p>
    <w:p>
      <w:pPr>
        <w:spacing w:after="0" w:line="184"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The Company currently has four additional real estate leases for space within a building, which are treated as operating leases. These leases have lease terms ranging from two to four years. These lease contracts provide for fixed quarterly rent payments, and require the Company to pay operating and maintenance costs, and a fixed amount for property management fees.</w:t>
      </w:r>
    </w:p>
    <w:p>
      <w:pPr>
        <w:spacing w:after="0" w:line="176" w:lineRule="exact"/>
        <w:rPr>
          <w:sz w:val="20"/>
          <w:szCs w:val="20"/>
          <w:color w:val="auto"/>
        </w:rPr>
      </w:pPr>
    </w:p>
    <w:p>
      <w:pPr>
        <w:ind w:right="360"/>
        <w:spacing w:after="0" w:line="261" w:lineRule="auto"/>
        <w:rPr>
          <w:sz w:val="20"/>
          <w:szCs w:val="20"/>
          <w:color w:val="auto"/>
        </w:rPr>
      </w:pPr>
      <w:r>
        <w:rPr>
          <w:rFonts w:ascii="Times New Roman" w:cs="Times New Roman" w:eastAsia="Times New Roman" w:hAnsi="Times New Roman"/>
          <w:sz w:val="18"/>
          <w:szCs w:val="18"/>
          <w:color w:val="auto"/>
        </w:rPr>
        <w:t>In addition, the Company has several office equipment leases for printers and copiers, with contracted lease terms ranging from three to five years. These lease contracts provide for fixed monthly rent payments, and are scheduled to automatically renew for an additional term upon lease expiration, unless purchased or returned. The Company does not anticipate exercising the additional lease terms and instead plans to return the equipment upon lease expiration.</w:t>
      </w:r>
    </w:p>
    <w:p>
      <w:pPr>
        <w:spacing w:after="0" w:line="180"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Additionally, the Company has one lease of an automobile in Cangzhou, China, with initial lease term of two years. The lease contract provides for fixed monthly rent payments, with no option to renew the lease.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6" w:name="page17"/>
    <w:bookmarkEnd w:id="1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The Company’s lease assets and related lease liabilities were as follows (in thousands):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Balance Sheet Line Item</w:t>
            </w: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gridSpan w:val="4"/>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March 31, 2019</w:t>
            </w: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260" w:type="dxa"/>
            <w:vAlign w:val="bottom"/>
            <w:tcBorders>
              <w:top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32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4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Finance:</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26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Right-of-use assets - cost</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280" w:type="dxa"/>
            <w:vAlign w:val="bottom"/>
            <w:shd w:val="clear" w:color="auto" w:fill="CFF0FC"/>
          </w:tcPr>
          <w:p>
            <w:pPr>
              <w:spacing w:after="0"/>
              <w:rPr>
                <w:sz w:val="19"/>
                <w:szCs w:val="19"/>
                <w:color w:val="auto"/>
              </w:rPr>
            </w:pPr>
          </w:p>
        </w:tc>
        <w:tc>
          <w:tcPr>
            <w:tcW w:w="1220" w:type="dxa"/>
            <w:vAlign w:val="bottom"/>
            <w:gridSpan w:val="6"/>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49,598</w:t>
            </w: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2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Accumulated amortization</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(2,569)</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260" w:type="dxa"/>
            <w:vAlign w:val="bottom"/>
            <w:tcBorders>
              <w:top w:val="single" w:sz="8" w:color="CFF0FC"/>
            </w:tcBorders>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Finance lease right-of-use assets, net</w:t>
            </w:r>
          </w:p>
        </w:tc>
        <w:tc>
          <w:tcPr>
            <w:tcW w:w="100" w:type="dxa"/>
            <w:vAlign w:val="bottom"/>
            <w:tcBorders>
              <w:top w:val="single" w:sz="8" w:color="CFF0FC"/>
            </w:tcBorders>
            <w:shd w:val="clear" w:color="auto" w:fill="CFF0FC"/>
          </w:tcPr>
          <w:p>
            <w:pPr>
              <w:spacing w:after="0"/>
              <w:rPr>
                <w:sz w:val="19"/>
                <w:szCs w:val="19"/>
                <w:color w:val="auto"/>
              </w:rPr>
            </w:pPr>
          </w:p>
        </w:tc>
        <w:tc>
          <w:tcPr>
            <w:tcW w:w="3420" w:type="dxa"/>
            <w:vAlign w:val="bottom"/>
            <w:tcBorders>
              <w:top w:val="single" w:sz="8" w:color="CFF0FC"/>
            </w:tcBorders>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Finance lease right-of-use assets</w:t>
            </w:r>
          </w:p>
        </w:tc>
        <w:tc>
          <w:tcPr>
            <w:tcW w:w="240" w:type="dxa"/>
            <w:vAlign w:val="bottom"/>
            <w:tcBorders>
              <w:top w:val="single" w:sz="8" w:color="CFF0FC"/>
            </w:tcBorders>
            <w:shd w:val="clear" w:color="auto" w:fill="CFF0FC"/>
          </w:tcPr>
          <w:p>
            <w:pPr>
              <w:spacing w:after="0"/>
              <w:rPr>
                <w:sz w:val="19"/>
                <w:szCs w:val="19"/>
                <w:color w:val="auto"/>
              </w:rPr>
            </w:pPr>
          </w:p>
        </w:tc>
        <w:tc>
          <w:tcPr>
            <w:tcW w:w="4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180" w:type="dxa"/>
            <w:vAlign w:val="bottom"/>
            <w:tcBorders>
              <w:top w:val="single" w:sz="8" w:color="auto"/>
            </w:tcBorders>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47,029</w:t>
            </w:r>
          </w:p>
        </w:tc>
        <w:tc>
          <w:tcPr>
            <w:tcW w:w="100" w:type="dxa"/>
            <w:vAlign w:val="bottom"/>
            <w:tcBorders>
              <w:top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26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Right-of-use assets - cost</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8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730</w:t>
            </w: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2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Accumulated amortization</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(122)</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260" w:type="dxa"/>
            <w:vAlign w:val="bottom"/>
            <w:tcBorders>
              <w:top w:val="single" w:sz="8" w:color="CFF0FC"/>
            </w:tcBorders>
            <w:gridSpan w:val="2"/>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Operating lease right-of-use assets, net</w:t>
            </w:r>
          </w:p>
        </w:tc>
        <w:tc>
          <w:tcPr>
            <w:tcW w:w="100" w:type="dxa"/>
            <w:vAlign w:val="bottom"/>
            <w:tcBorders>
              <w:top w:val="single" w:sz="8" w:color="CFF0FC"/>
            </w:tcBorders>
            <w:shd w:val="clear" w:color="auto" w:fill="CFF0FC"/>
          </w:tcPr>
          <w:p>
            <w:pPr>
              <w:spacing w:after="0"/>
              <w:rPr>
                <w:sz w:val="19"/>
                <w:szCs w:val="19"/>
                <w:color w:val="auto"/>
              </w:rPr>
            </w:pPr>
          </w:p>
        </w:tc>
        <w:tc>
          <w:tcPr>
            <w:tcW w:w="3420" w:type="dxa"/>
            <w:vAlign w:val="bottom"/>
            <w:tcBorders>
              <w:top w:val="single" w:sz="8" w:color="CFF0FC"/>
            </w:tcBorders>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Other assets</w:t>
            </w:r>
          </w:p>
        </w:tc>
        <w:tc>
          <w:tcPr>
            <w:tcW w:w="240" w:type="dxa"/>
            <w:vAlign w:val="bottom"/>
            <w:tcBorders>
              <w:top w:val="single" w:sz="8" w:color="CFF0FC"/>
            </w:tcBorders>
            <w:shd w:val="clear" w:color="auto" w:fill="CFF0FC"/>
          </w:tcPr>
          <w:p>
            <w:pPr>
              <w:spacing w:after="0"/>
              <w:rPr>
                <w:sz w:val="19"/>
                <w:szCs w:val="19"/>
                <w:color w:val="auto"/>
              </w:rPr>
            </w:pPr>
          </w:p>
        </w:tc>
        <w:tc>
          <w:tcPr>
            <w:tcW w:w="4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1180" w:type="dxa"/>
            <w:vAlign w:val="bottom"/>
            <w:tcBorders>
              <w:top w:val="single" w:sz="8" w:color="auto"/>
              <w:bottom w:val="single" w:sz="8" w:color="auto"/>
            </w:tcBorders>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608</w:t>
            </w:r>
          </w:p>
        </w:tc>
        <w:tc>
          <w:tcPr>
            <w:tcW w:w="100" w:type="dxa"/>
            <w:vAlign w:val="bottom"/>
            <w:tcBorders>
              <w:top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80" w:type="dxa"/>
            <w:vAlign w:val="bottom"/>
          </w:tcPr>
          <w:p>
            <w:pPr>
              <w:spacing w:after="0"/>
              <w:rPr>
                <w:sz w:val="22"/>
                <w:szCs w:val="22"/>
                <w:color w:val="auto"/>
              </w:rPr>
            </w:pPr>
          </w:p>
        </w:tc>
        <w:tc>
          <w:tcPr>
            <w:tcW w:w="580" w:type="dxa"/>
            <w:vAlign w:val="bottom"/>
            <w:tcBorders>
              <w:bottom w:val="single" w:sz="8" w:color="CFF0FC"/>
            </w:tcBorders>
          </w:tcPr>
          <w:p>
            <w:pPr>
              <w:spacing w:after="0"/>
              <w:rPr>
                <w:sz w:val="22"/>
                <w:szCs w:val="22"/>
                <w:color w:val="auto"/>
              </w:rPr>
            </w:pPr>
          </w:p>
        </w:tc>
        <w:tc>
          <w:tcPr>
            <w:tcW w:w="3680" w:type="dxa"/>
            <w:vAlign w:val="bottom"/>
            <w:tcBorders>
              <w:bottom w:val="single" w:sz="8" w:color="CFF0FC"/>
            </w:tcBorders>
          </w:tcPr>
          <w:p>
            <w:pPr>
              <w:jc w:val="right"/>
              <w:ind w:right="2310"/>
              <w:spacing w:after="0"/>
              <w:rPr>
                <w:sz w:val="20"/>
                <w:szCs w:val="20"/>
                <w:color w:val="auto"/>
              </w:rPr>
            </w:pPr>
            <w:r>
              <w:rPr>
                <w:rFonts w:ascii="Times New Roman" w:cs="Times New Roman" w:eastAsia="Times New Roman" w:hAnsi="Times New Roman"/>
                <w:sz w:val="18"/>
                <w:szCs w:val="18"/>
                <w:color w:val="auto"/>
              </w:rPr>
              <w:t>Total lease assets</w:t>
            </w:r>
          </w:p>
        </w:tc>
        <w:tc>
          <w:tcPr>
            <w:tcW w:w="100" w:type="dxa"/>
            <w:vAlign w:val="bottom"/>
            <w:tcBorders>
              <w:bottom w:val="single" w:sz="8" w:color="CFF0FC"/>
            </w:tcBorders>
          </w:tcPr>
          <w:p>
            <w:pPr>
              <w:spacing w:after="0"/>
              <w:rPr>
                <w:sz w:val="22"/>
                <w:szCs w:val="22"/>
                <w:color w:val="auto"/>
              </w:rPr>
            </w:pPr>
          </w:p>
        </w:tc>
        <w:tc>
          <w:tcPr>
            <w:tcW w:w="140" w:type="dxa"/>
            <w:vAlign w:val="bottom"/>
            <w:tcBorders>
              <w:bottom w:val="single" w:sz="8" w:color="CFF0FC"/>
            </w:tcBorders>
          </w:tcPr>
          <w:p>
            <w:pPr>
              <w:spacing w:after="0"/>
              <w:rPr>
                <w:sz w:val="22"/>
                <w:szCs w:val="22"/>
                <w:color w:val="auto"/>
              </w:rPr>
            </w:pPr>
          </w:p>
        </w:tc>
        <w:tc>
          <w:tcPr>
            <w:tcW w:w="3280" w:type="dxa"/>
            <w:vAlign w:val="bottom"/>
            <w:tcBorders>
              <w:bottom w:val="single" w:sz="8" w:color="CFF0FC"/>
            </w:tcBorders>
          </w:tcPr>
          <w:p>
            <w:pPr>
              <w:spacing w:after="0"/>
              <w:rPr>
                <w:sz w:val="22"/>
                <w:szCs w:val="22"/>
                <w:color w:val="auto"/>
              </w:rPr>
            </w:pPr>
          </w:p>
        </w:tc>
        <w:tc>
          <w:tcPr>
            <w:tcW w:w="240" w:type="dxa"/>
            <w:vAlign w:val="bottom"/>
            <w:tcBorders>
              <w:bottom w:val="single" w:sz="8" w:color="CFF0FC"/>
            </w:tcBorders>
          </w:tcPr>
          <w:p>
            <w:pPr>
              <w:spacing w:after="0"/>
              <w:rPr>
                <w:sz w:val="22"/>
                <w:szCs w:val="22"/>
                <w:color w:val="auto"/>
              </w:rPr>
            </w:pPr>
          </w:p>
        </w:tc>
        <w:tc>
          <w:tcPr>
            <w:tcW w:w="440" w:type="dxa"/>
            <w:vAlign w:val="bottom"/>
            <w:tcBorders>
              <w:bottom w:val="single" w:sz="8" w:color="CFF0FC"/>
            </w:tcBorders>
          </w:tcPr>
          <w:p>
            <w:pPr>
              <w:spacing w:after="0"/>
              <w:rPr>
                <w:sz w:val="22"/>
                <w:szCs w:val="22"/>
                <w:color w:val="auto"/>
              </w:rPr>
            </w:pPr>
          </w:p>
        </w:tc>
        <w:tc>
          <w:tcPr>
            <w:tcW w:w="20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47,637</w:t>
            </w:r>
          </w:p>
        </w:tc>
        <w:tc>
          <w:tcPr>
            <w:tcW w:w="100" w:type="dxa"/>
            <w:vAlign w:val="bottom"/>
            <w:tcBorders>
              <w:bottom w:val="single" w:sz="8" w:color="CFF0FC"/>
            </w:tcBorders>
          </w:tcPr>
          <w:p>
            <w:pPr>
              <w:spacing w:after="0"/>
              <w:rPr>
                <w:sz w:val="22"/>
                <w:szCs w:val="22"/>
                <w:color w:val="auto"/>
              </w:rPr>
            </w:pPr>
          </w:p>
        </w:tc>
        <w:tc>
          <w:tcPr>
            <w:tcW w:w="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80" w:type="dxa"/>
            <w:vAlign w:val="bottom"/>
            <w:vMerge w:val="restart"/>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36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vMerge w:val="continue"/>
          </w:tcPr>
          <w:p>
            <w:pPr>
              <w:spacing w:after="0"/>
              <w:rPr>
                <w:sz w:val="19"/>
                <w:szCs w:val="19"/>
                <w:color w:val="auto"/>
              </w:rPr>
            </w:pPr>
          </w:p>
        </w:tc>
        <w:tc>
          <w:tcPr>
            <w:tcW w:w="4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2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2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Finance lease liabilities</w:t>
            </w:r>
          </w:p>
        </w:tc>
        <w:tc>
          <w:tcPr>
            <w:tcW w:w="100" w:type="dxa"/>
            <w:vAlign w:val="bottom"/>
          </w:tcPr>
          <w:p>
            <w:pPr>
              <w:spacing w:after="0"/>
              <w:rPr>
                <w:sz w:val="19"/>
                <w:szCs w:val="19"/>
                <w:color w:val="auto"/>
              </w:rPr>
            </w:pPr>
          </w:p>
        </w:tc>
        <w:tc>
          <w:tcPr>
            <w:tcW w:w="34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Finance lease liabilities, current</w:t>
            </w:r>
          </w:p>
        </w:tc>
        <w:tc>
          <w:tcPr>
            <w:tcW w:w="122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11,766</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26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00" w:type="dxa"/>
            <w:vAlign w:val="bottom"/>
            <w:shd w:val="clear" w:color="auto" w:fill="CFF0FC"/>
          </w:tcPr>
          <w:p>
            <w:pPr>
              <w:spacing w:after="0"/>
              <w:rPr>
                <w:sz w:val="19"/>
                <w:szCs w:val="19"/>
                <w:color w:val="auto"/>
              </w:rPr>
            </w:pPr>
          </w:p>
        </w:tc>
        <w:tc>
          <w:tcPr>
            <w:tcW w:w="342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Accrued and other current liabilities</w:t>
            </w:r>
          </w:p>
        </w:tc>
        <w:tc>
          <w:tcPr>
            <w:tcW w:w="2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8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436</w:t>
            </w: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Non-current: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26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Finance lease liabilities</w:t>
            </w:r>
          </w:p>
        </w:tc>
        <w:tc>
          <w:tcPr>
            <w:tcW w:w="100" w:type="dxa"/>
            <w:vAlign w:val="bottom"/>
            <w:shd w:val="clear" w:color="auto" w:fill="CFF0FC"/>
          </w:tcPr>
          <w:p>
            <w:pPr>
              <w:spacing w:after="0"/>
              <w:rPr>
                <w:sz w:val="19"/>
                <w:szCs w:val="19"/>
                <w:color w:val="auto"/>
              </w:rPr>
            </w:pPr>
          </w:p>
        </w:tc>
        <w:tc>
          <w:tcPr>
            <w:tcW w:w="342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Finance lease liabilities, non-current</w:t>
            </w:r>
          </w:p>
        </w:tc>
        <w:tc>
          <w:tcPr>
            <w:tcW w:w="2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8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46,818</w:t>
            </w: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260" w:type="dxa"/>
            <w:vAlign w:val="bottom"/>
            <w:tcBorders>
              <w:bottom w:val="single" w:sz="8" w:color="CFF0FC"/>
            </w:tcBorders>
            <w:gridSpan w:val="2"/>
          </w:tcPr>
          <w:p>
            <w:pPr>
              <w:ind w:left="1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00" w:type="dxa"/>
            <w:vAlign w:val="bottom"/>
            <w:tcBorders>
              <w:bottom w:val="single" w:sz="8" w:color="CFF0FC"/>
            </w:tcBorders>
          </w:tcPr>
          <w:p>
            <w:pPr>
              <w:spacing w:after="0"/>
              <w:rPr>
                <w:sz w:val="19"/>
                <w:szCs w:val="19"/>
                <w:color w:val="auto"/>
              </w:rPr>
            </w:pPr>
          </w:p>
        </w:tc>
        <w:tc>
          <w:tcPr>
            <w:tcW w:w="3420" w:type="dxa"/>
            <w:vAlign w:val="bottom"/>
            <w:tcBorders>
              <w:bottom w:val="single" w:sz="8" w:color="CFF0FC"/>
            </w:tcBorders>
            <w:gridSpan w:val="2"/>
          </w:tcPr>
          <w:p>
            <w:pPr>
              <w:ind w:left="14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40" w:type="dxa"/>
            <w:vAlign w:val="bottom"/>
            <w:tcBorders>
              <w:bottom w:val="single" w:sz="8" w:color="CFF0FC"/>
            </w:tcBorders>
          </w:tcPr>
          <w:p>
            <w:pPr>
              <w:spacing w:after="0"/>
              <w:rPr>
                <w:sz w:val="19"/>
                <w:szCs w:val="19"/>
                <w:color w:val="auto"/>
              </w:rPr>
            </w:pPr>
          </w:p>
        </w:tc>
        <w:tc>
          <w:tcPr>
            <w:tcW w:w="44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tcBorders>
              <w:bottom w:val="single" w:sz="8" w:color="CFF0FC"/>
            </w:tcBorders>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260" w:type="dxa"/>
            <w:vAlign w:val="bottom"/>
            <w:tcBorders>
              <w:bottom w:val="single" w:sz="8" w:color="CFF0FC"/>
            </w:tcBorders>
            <w:gridSpan w:val="2"/>
            <w:shd w:val="clear" w:color="auto" w:fill="CFF0FC"/>
          </w:tcPr>
          <w:p>
            <w:pPr>
              <w:jc w:val="right"/>
              <w:ind w:right="2310"/>
              <w:spacing w:after="0"/>
              <w:rPr>
                <w:sz w:val="20"/>
                <w:szCs w:val="20"/>
                <w:color w:val="auto"/>
              </w:rPr>
            </w:pPr>
            <w:r>
              <w:rPr>
                <w:rFonts w:ascii="Times New Roman" w:cs="Times New Roman" w:eastAsia="Times New Roman" w:hAnsi="Times New Roman"/>
                <w:sz w:val="18"/>
                <w:szCs w:val="18"/>
                <w:color w:val="auto"/>
              </w:rPr>
              <w:t>Total lease liabilities</w:t>
            </w:r>
          </w:p>
        </w:tc>
        <w:tc>
          <w:tcPr>
            <w:tcW w:w="1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32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59,149</w:t>
            </w:r>
          </w:p>
        </w:tc>
        <w:tc>
          <w:tcPr>
            <w:tcW w:w="100" w:type="dxa"/>
            <w:vAlign w:val="bottom"/>
            <w:tcBorders>
              <w:bottom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40" w:type="dxa"/>
            <w:vAlign w:val="bottom"/>
            <w:gridSpan w:val="3"/>
            <w:vMerge w:val="restart"/>
          </w:tcPr>
          <w:p>
            <w:pPr>
              <w:ind w:left="40"/>
              <w:spacing w:after="0"/>
              <w:rPr>
                <w:sz w:val="20"/>
                <w:szCs w:val="20"/>
                <w:color w:val="auto"/>
              </w:rPr>
            </w:pPr>
            <w:r>
              <w:rPr>
                <w:rFonts w:ascii="Times New Roman" w:cs="Times New Roman" w:eastAsia="Times New Roman" w:hAnsi="Times New Roman"/>
                <w:sz w:val="18"/>
                <w:szCs w:val="18"/>
                <w:color w:val="auto"/>
              </w:rPr>
              <w:t>The components of lease expense were as follows (in thousands):</w:t>
            </w: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840" w:type="dxa"/>
            <w:vAlign w:val="bottom"/>
            <w:gridSpan w:val="3"/>
            <w:vMerge w:val="continue"/>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352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Statement of Operations Line Item</w:t>
            </w: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20" w:type="dxa"/>
            <w:vAlign w:val="bottom"/>
            <w:gridSpan w:val="7"/>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5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680" w:type="dxa"/>
            <w:vAlign w:val="bottom"/>
          </w:tcPr>
          <w:p>
            <w:pPr>
              <w:spacing w:after="0"/>
              <w:rPr>
                <w:sz w:val="15"/>
                <w:szCs w:val="15"/>
                <w:color w:val="auto"/>
              </w:rPr>
            </w:pPr>
          </w:p>
        </w:tc>
        <w:tc>
          <w:tcPr>
            <w:tcW w:w="3520" w:type="dxa"/>
            <w:vAlign w:val="bottom"/>
            <w:gridSpan w:val="3"/>
            <w:vMerge w:val="continue"/>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gridSpan w:val="5"/>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March 31, 2019</w:t>
            </w: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260" w:type="dxa"/>
            <w:vAlign w:val="bottom"/>
            <w:tcBorders>
              <w:top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Finance lease cost:</w:t>
            </w: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32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4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2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Amortization of right-of-use assets</w:t>
            </w:r>
          </w:p>
        </w:tc>
        <w:tc>
          <w:tcPr>
            <w:tcW w:w="35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9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2,569</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26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3520" w:type="dxa"/>
            <w:vAlign w:val="bottom"/>
            <w:gridSpan w:val="3"/>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8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640</w:t>
            </w: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580" w:type="dxa"/>
            <w:vAlign w:val="bottom"/>
          </w:tcPr>
          <w:p>
            <w:pPr>
              <w:spacing w:after="0"/>
              <w:rPr>
                <w:sz w:val="18"/>
                <w:szCs w:val="18"/>
                <w:color w:val="auto"/>
              </w:rPr>
            </w:pPr>
          </w:p>
        </w:tc>
        <w:tc>
          <w:tcPr>
            <w:tcW w:w="4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35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35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2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Sublease income</w:t>
            </w:r>
          </w:p>
        </w:tc>
        <w:tc>
          <w:tcPr>
            <w:tcW w:w="3520" w:type="dxa"/>
            <w:vAlign w:val="bottom"/>
            <w:gridSpan w:val="3"/>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80" w:type="dxa"/>
            <w:vAlign w:val="bottom"/>
            <w:gridSpan w:val="4"/>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(588)</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2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Total lease cost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2,747</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360" w:type="dxa"/>
            <w:vAlign w:val="bottom"/>
            <w:gridSpan w:val="6"/>
            <w:vMerge w:val="restart"/>
          </w:tcPr>
          <w:p>
            <w:pPr>
              <w:ind w:left="40"/>
              <w:spacing w:after="0"/>
              <w:rPr>
                <w:sz w:val="20"/>
                <w:szCs w:val="20"/>
                <w:color w:val="auto"/>
              </w:rPr>
            </w:pPr>
            <w:r>
              <w:rPr>
                <w:rFonts w:ascii="Times New Roman" w:cs="Times New Roman" w:eastAsia="Times New Roman" w:hAnsi="Times New Roman"/>
                <w:sz w:val="18"/>
                <w:szCs w:val="18"/>
                <w:color w:val="auto"/>
              </w:rPr>
              <w:t>Supplemental cash flow information related to leases were as follows (in thousands):</w:t>
            </w: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360" w:type="dxa"/>
            <w:vAlign w:val="bottom"/>
            <w:gridSpan w:val="6"/>
            <w:vMerge w:val="continue"/>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60" w:type="dxa"/>
            <w:vAlign w:val="bottom"/>
            <w:gridSpan w:val="9"/>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5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60" w:type="dxa"/>
            <w:vAlign w:val="bottom"/>
            <w:gridSpan w:val="9"/>
          </w:tcPr>
          <w:p>
            <w:pPr>
              <w:jc w:val="right"/>
              <w:ind w:right="1000"/>
              <w:spacing w:after="0"/>
              <w:rPr>
                <w:sz w:val="20"/>
                <w:szCs w:val="20"/>
                <w:color w:val="auto"/>
              </w:rPr>
            </w:pPr>
            <w:r>
              <w:rPr>
                <w:rFonts w:ascii="Times New Roman" w:cs="Times New Roman" w:eastAsia="Times New Roman" w:hAnsi="Times New Roman"/>
                <w:sz w:val="14"/>
                <w:szCs w:val="14"/>
                <w:b w:val="1"/>
                <w:bCs w:val="1"/>
                <w:color w:val="auto"/>
              </w:rPr>
              <w:t>March 31, 2019</w:t>
            </w: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200" w:type="dxa"/>
            <w:vAlign w:val="bottom"/>
            <w:tcBorders>
              <w:top w:val="single" w:sz="8" w:color="CFF0FC"/>
            </w:tcBorders>
            <w:gridSpan w:val="4"/>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240" w:type="dxa"/>
            <w:vAlign w:val="bottom"/>
            <w:tcBorders>
              <w:top w:val="single" w:sz="8" w:color="CFF0FC"/>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680" w:type="dxa"/>
            <w:vAlign w:val="bottom"/>
            <w:gridSpan w:val="2"/>
          </w:tcPr>
          <w:p>
            <w:pPr>
              <w:jc w:val="right"/>
              <w:ind w:right="288"/>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6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Operating cash flows from finance leases</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80" w:type="dxa"/>
            <w:vAlign w:val="bottom"/>
            <w:shd w:val="clear" w:color="auto" w:fill="CFF0FC"/>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Financing cash flows from finance leases</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3,017</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200" w:type="dxa"/>
            <w:vAlign w:val="bottom"/>
            <w:gridSpan w:val="4"/>
            <w:shd w:val="clear" w:color="auto" w:fill="CFF0FC"/>
          </w:tcPr>
          <w:p>
            <w:pPr>
              <w:spacing w:after="0"/>
              <w:rPr>
                <w:sz w:val="20"/>
                <w:szCs w:val="20"/>
                <w:color w:val="auto"/>
              </w:rPr>
            </w:pPr>
            <w:r>
              <w:rPr>
                <w:rFonts w:ascii="Times New Roman" w:cs="Times New Roman" w:eastAsia="Times New Roman" w:hAnsi="Times New Roman"/>
                <w:sz w:val="18"/>
                <w:szCs w:val="18"/>
                <w:color w:val="auto"/>
              </w:rPr>
              <w:t>Right-of-use assets obtained in exchange for new lease liabilities:</w:t>
            </w:r>
          </w:p>
        </w:tc>
        <w:tc>
          <w:tcPr>
            <w:tcW w:w="2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Finance leases</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49,597</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6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Operating leases</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28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288"/>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730</w:t>
            </w:r>
          </w:p>
        </w:tc>
        <w:tc>
          <w:tcPr>
            <w:tcW w:w="80" w:type="dxa"/>
            <w:vAlign w:val="bottom"/>
            <w:shd w:val="clear" w:color="auto" w:fill="CFF0FC"/>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3520" w:type="dxa"/>
            <w:vAlign w:val="bottom"/>
            <w:gridSpan w:val="3"/>
          </w:tcPr>
          <w:p>
            <w:pPr>
              <w:ind w:left="780"/>
              <w:spacing w:after="0"/>
              <w:rPr>
                <w:sz w:val="20"/>
                <w:szCs w:val="20"/>
                <w:color w:val="auto"/>
              </w:rPr>
            </w:pPr>
            <w:r>
              <w:rPr>
                <w:rFonts w:ascii="Times New Roman" w:cs="Times New Roman" w:eastAsia="Times New Roman" w:hAnsi="Times New Roman"/>
                <w:sz w:val="18"/>
                <w:szCs w:val="18"/>
                <w:color w:val="auto"/>
              </w:rPr>
              <w:t>16</w:t>
            </w: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36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32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17" w:name="page18"/>
    <w:bookmarkEnd w:id="1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Lease term and discount rate were as 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60" w:type="dxa"/>
            <w:vAlign w:val="bottom"/>
            <w:gridSpan w:val="4"/>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3"/>
        </w:trPr>
        <w:tc>
          <w:tcPr>
            <w:tcW w:w="5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56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March 31, 2019</w:t>
            </w: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23"/>
        </w:trPr>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9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Weighted-average remaining lease term (years):</w:t>
            </w:r>
          </w:p>
        </w:tc>
        <w:tc>
          <w:tcPr>
            <w:tcW w:w="22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CFF0FC"/>
            </w:tcBorders>
            <w:shd w:val="clear" w:color="auto" w:fill="CFF0FC"/>
          </w:tcPr>
          <w:p>
            <w:pPr>
              <w:spacing w:after="0"/>
              <w:rPr>
                <w:sz w:val="19"/>
                <w:szCs w:val="19"/>
                <w:color w:val="auto"/>
              </w:rPr>
            </w:pPr>
          </w:p>
        </w:tc>
        <w:tc>
          <w:tcPr>
            <w:tcW w:w="17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138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Finance leases</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9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Operating leases</w:t>
            </w:r>
          </w:p>
        </w:tc>
        <w:tc>
          <w:tcPr>
            <w:tcW w:w="2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7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80" w:type="dxa"/>
            <w:vAlign w:val="bottom"/>
            <w:shd w:val="clear" w:color="auto" w:fill="CFF0FC"/>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9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Finance leases</w:t>
            </w:r>
          </w:p>
        </w:tc>
        <w:tc>
          <w:tcPr>
            <w:tcW w:w="2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7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760" w:type="dxa"/>
            <w:vAlign w:val="bottom"/>
            <w:gridSpan w:val="4"/>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4.43%</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4"/>
        </w:trPr>
        <w:tc>
          <w:tcPr>
            <w:tcW w:w="5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Operating leases</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4.74%</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27"/>
        </w:trPr>
        <w:tc>
          <w:tcPr>
            <w:tcW w:w="6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Maturities of lease liabilities are as follows:</w:t>
            </w: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8"/>
        </w:trPr>
        <w:tc>
          <w:tcPr>
            <w:tcW w:w="6120" w:type="dxa"/>
            <w:vAlign w:val="bottom"/>
            <w:gridSpan w:val="3"/>
          </w:tcPr>
          <w:p>
            <w:pPr>
              <w:ind w:left="580"/>
              <w:spacing w:after="0"/>
              <w:rPr>
                <w:sz w:val="20"/>
                <w:szCs w:val="20"/>
                <w:color w:val="auto"/>
              </w:rPr>
            </w:pPr>
            <w:r>
              <w:rPr>
                <w:rFonts w:ascii="Times New Roman" w:cs="Times New Roman" w:eastAsia="Times New Roman" w:hAnsi="Times New Roman"/>
                <w:sz w:val="14"/>
                <w:szCs w:val="14"/>
                <w:b w:val="1"/>
                <w:bCs w:val="1"/>
                <w:color w:val="auto"/>
              </w:rPr>
              <w:t>Year Ending</w:t>
            </w: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60" w:type="dxa"/>
            <w:vAlign w:val="bottom"/>
            <w:gridSpan w:val="2"/>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Finance Leases</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580" w:type="dxa"/>
            <w:vAlign w:val="bottom"/>
          </w:tcPr>
          <w:p>
            <w:pPr>
              <w:spacing w:after="0"/>
              <w:rPr>
                <w:sz w:val="19"/>
                <w:szCs w:val="19"/>
                <w:color w:val="auto"/>
              </w:rPr>
            </w:pPr>
          </w:p>
        </w:tc>
        <w:tc>
          <w:tcPr>
            <w:tcW w:w="5540" w:type="dxa"/>
            <w:vAlign w:val="bottom"/>
            <w:tcBorders>
              <w:top w:val="single" w:sz="8" w:color="auto"/>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2019 (Remaining nine month period)</w:t>
            </w:r>
          </w:p>
        </w:tc>
        <w:tc>
          <w:tcPr>
            <w:tcW w:w="22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7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10,326</w:t>
            </w:r>
          </w:p>
        </w:tc>
        <w:tc>
          <w:tcPr>
            <w:tcW w:w="1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CFF0FC"/>
            </w:tcBorders>
            <w:gridSpan w:val="2"/>
            <w:shd w:val="clear" w:color="auto" w:fill="CFF0FC"/>
          </w:tcPr>
          <w:p>
            <w:pPr>
              <w:spacing w:after="0"/>
              <w:rPr>
                <w:sz w:val="19"/>
                <w:szCs w:val="19"/>
                <w:color w:val="auto"/>
              </w:rPr>
            </w:pPr>
          </w:p>
        </w:tc>
        <w:tc>
          <w:tcPr>
            <w:tcW w:w="1380" w:type="dxa"/>
            <w:vAlign w:val="bottom"/>
            <w:tcBorders>
              <w:top w:val="single" w:sz="8" w:color="auto"/>
            </w:tcBorders>
            <w:shd w:val="clear" w:color="auto" w:fill="CFF0FC"/>
          </w:tcPr>
          <w:p>
            <w:pPr>
              <w:jc w:val="right"/>
              <w:ind w:right="1257"/>
              <w:spacing w:after="0"/>
              <w:rPr>
                <w:sz w:val="20"/>
                <w:szCs w:val="20"/>
                <w:color w:val="auto"/>
              </w:rPr>
            </w:pPr>
            <w:r>
              <w:rPr>
                <w:rFonts w:ascii="Times New Roman" w:cs="Times New Roman" w:eastAsia="Times New Roman" w:hAnsi="Times New Roman"/>
                <w:sz w:val="11"/>
                <w:szCs w:val="11"/>
                <w:color w:val="auto"/>
                <w:w w:val="71"/>
              </w:rPr>
              <w:t>$</w:t>
            </w:r>
          </w:p>
        </w:tc>
        <w:tc>
          <w:tcPr>
            <w:tcW w:w="180" w:type="dxa"/>
            <w:vAlign w:val="bottom"/>
            <w:tcBorders>
              <w:top w:val="single" w:sz="8" w:color="auto"/>
            </w:tcBorders>
            <w:shd w:val="clear" w:color="auto" w:fill="CFF0FC"/>
          </w:tcPr>
          <w:p>
            <w:pPr>
              <w:spacing w:after="0"/>
              <w:rPr>
                <w:sz w:val="19"/>
                <w:szCs w:val="19"/>
                <w:color w:val="auto"/>
              </w:rPr>
            </w:pPr>
          </w:p>
        </w:tc>
        <w:tc>
          <w:tcPr>
            <w:tcW w:w="4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2020</w:t>
            </w:r>
          </w:p>
        </w:tc>
        <w:tc>
          <w:tcPr>
            <w:tcW w:w="4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14,106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0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2021</w:t>
            </w:r>
          </w:p>
        </w:tc>
        <w:tc>
          <w:tcPr>
            <w:tcW w:w="49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13,679</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FF0FC"/>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2022</w:t>
            </w:r>
          </w:p>
        </w:tc>
        <w:tc>
          <w:tcPr>
            <w:tcW w:w="4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13,879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2023</w:t>
            </w:r>
          </w:p>
        </w:tc>
        <w:tc>
          <w:tcPr>
            <w:tcW w:w="49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12,523</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80" w:type="dxa"/>
            <w:vAlign w:val="bottom"/>
          </w:tcPr>
          <w:p>
            <w:pPr>
              <w:spacing w:after="0"/>
              <w:rPr>
                <w:sz w:val="19"/>
                <w:szCs w:val="19"/>
                <w:color w:val="auto"/>
              </w:rPr>
            </w:pPr>
          </w:p>
        </w:tc>
        <w:tc>
          <w:tcPr>
            <w:tcW w:w="55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Total future lease payments</w:t>
            </w:r>
          </w:p>
        </w:tc>
        <w:tc>
          <w:tcPr>
            <w:tcW w:w="2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64,513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8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584</w:t>
            </w:r>
          </w:p>
        </w:tc>
        <w:tc>
          <w:tcPr>
            <w:tcW w:w="10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55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Interest</w:t>
            </w:r>
          </w:p>
        </w:tc>
        <w:tc>
          <w:tcPr>
            <w:tcW w:w="2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8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(5,929)</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(19)</w:t>
            </w:r>
          </w:p>
        </w:tc>
      </w:tr>
      <w:tr>
        <w:trPr>
          <w:trHeight w:val="223"/>
        </w:trPr>
        <w:tc>
          <w:tcPr>
            <w:tcW w:w="612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220" w:type="dxa"/>
            <w:vAlign w:val="bottom"/>
          </w:tcPr>
          <w:p>
            <w:pPr>
              <w:spacing w:after="0"/>
              <w:rPr>
                <w:sz w:val="19"/>
                <w:szCs w:val="19"/>
                <w:color w:val="auto"/>
              </w:rPr>
            </w:pPr>
          </w:p>
        </w:tc>
        <w:tc>
          <w:tcPr>
            <w:tcW w:w="320" w:type="dxa"/>
            <w:vAlign w:val="bottom"/>
            <w:tcBorders>
              <w:top w:val="single" w:sz="8" w:color="auto"/>
            </w:tcBorders>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58,584</w:t>
            </w:r>
          </w:p>
        </w:tc>
        <w:tc>
          <w:tcPr>
            <w:tcW w:w="120" w:type="dxa"/>
            <w:vAlign w:val="bottom"/>
          </w:tcPr>
          <w:p>
            <w:pPr>
              <w:spacing w:after="0"/>
              <w:rPr>
                <w:sz w:val="19"/>
                <w:szCs w:val="19"/>
                <w:color w:val="auto"/>
              </w:rPr>
            </w:pPr>
          </w:p>
        </w:tc>
        <w:tc>
          <w:tcPr>
            <w:tcW w:w="200" w:type="dxa"/>
            <w:vAlign w:val="bottom"/>
            <w:gridSpan w:val="2"/>
          </w:tcPr>
          <w:p>
            <w:pPr>
              <w:spacing w:after="0"/>
              <w:rPr>
                <w:sz w:val="19"/>
                <w:szCs w:val="19"/>
                <w:color w:val="auto"/>
              </w:rPr>
            </w:pPr>
          </w:p>
        </w:tc>
        <w:tc>
          <w:tcPr>
            <w:tcW w:w="1380" w:type="dxa"/>
            <w:vAlign w:val="bottom"/>
            <w:tcBorders>
              <w:top w:val="single" w:sz="8" w:color="auto"/>
            </w:tcBorders>
          </w:tcPr>
          <w:p>
            <w:pPr>
              <w:jc w:val="right"/>
              <w:ind w:right="1257"/>
              <w:spacing w:after="0"/>
              <w:rPr>
                <w:sz w:val="20"/>
                <w:szCs w:val="20"/>
                <w:color w:val="auto"/>
              </w:rPr>
            </w:pPr>
            <w:r>
              <w:rPr>
                <w:rFonts w:ascii="Times New Roman" w:cs="Times New Roman" w:eastAsia="Times New Roman" w:hAnsi="Times New Roman"/>
                <w:sz w:val="11"/>
                <w:szCs w:val="11"/>
                <w:color w:val="auto"/>
                <w:w w:val="71"/>
              </w:rPr>
              <w:t>$</w:t>
            </w:r>
          </w:p>
        </w:tc>
        <w:tc>
          <w:tcPr>
            <w:tcW w:w="18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100" w:type="dxa"/>
            <w:vAlign w:val="bottom"/>
          </w:tcPr>
          <w:p>
            <w:pPr>
              <w:spacing w:after="0"/>
              <w:rPr>
                <w:sz w:val="19"/>
                <w:szCs w:val="19"/>
                <w:color w:val="auto"/>
              </w:rPr>
            </w:pPr>
          </w:p>
        </w:tc>
      </w:tr>
      <w:tr>
        <w:trPr>
          <w:trHeight w:val="20"/>
        </w:trPr>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information was previously disclosed under ASC 840 as of December 31, 2018:</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Future minimum lease payments under all non-cancelable operating lease obligations as of December 31, 2018 were as follows (in thousands):</w:t>
      </w:r>
    </w:p>
    <w:p>
      <w:pPr>
        <w:spacing w:after="0" w:line="232"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66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Year Ending</w:t>
            </w: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12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Operating Leases</w:t>
            </w:r>
          </w:p>
        </w:tc>
      </w:tr>
      <w:tr>
        <w:trPr>
          <w:trHeight w:val="223"/>
        </w:trPr>
        <w:tc>
          <w:tcPr>
            <w:tcW w:w="20" w:type="dxa"/>
            <w:vAlign w:val="bottom"/>
          </w:tcPr>
          <w:p>
            <w:pPr>
              <w:spacing w:after="0"/>
              <w:rPr>
                <w:sz w:val="19"/>
                <w:szCs w:val="19"/>
                <w:color w:val="auto"/>
              </w:rPr>
            </w:pPr>
          </w:p>
        </w:tc>
        <w:tc>
          <w:tcPr>
            <w:tcW w:w="638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2019</w:t>
            </w:r>
          </w:p>
        </w:tc>
        <w:tc>
          <w:tcPr>
            <w:tcW w:w="2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jc w:val="right"/>
              <w:ind w:right="225"/>
              <w:spacing w:after="0"/>
              <w:rPr>
                <w:sz w:val="20"/>
                <w:szCs w:val="20"/>
                <w:color w:val="auto"/>
              </w:rPr>
            </w:pPr>
            <w:r>
              <w:rPr>
                <w:rFonts w:ascii="Times New Roman" w:cs="Times New Roman" w:eastAsia="Times New Roman" w:hAnsi="Times New Roman"/>
                <w:sz w:val="11"/>
                <w:szCs w:val="11"/>
                <w:color w:val="auto"/>
                <w:w w:val="71"/>
              </w:rPr>
              <w:t>$</w:t>
            </w:r>
          </w:p>
        </w:tc>
        <w:tc>
          <w:tcPr>
            <w:tcW w:w="2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2020</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2021</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2022</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2023</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1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20" w:type="dxa"/>
            <w:vAlign w:val="bottom"/>
          </w:tcPr>
          <w:p>
            <w:pPr>
              <w:spacing w:after="0"/>
              <w:rPr>
                <w:sz w:val="19"/>
                <w:szCs w:val="19"/>
                <w:color w:val="auto"/>
              </w:rPr>
            </w:pPr>
          </w:p>
        </w:tc>
        <w:tc>
          <w:tcPr>
            <w:tcW w:w="66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Total minimum payments</w:t>
            </w:r>
          </w:p>
        </w:tc>
        <w:tc>
          <w:tcPr>
            <w:tcW w:w="20" w:type="dxa"/>
            <w:vAlign w:val="bottom"/>
            <w:tcBorders>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jc w:val="right"/>
              <w:ind w:right="225"/>
              <w:spacing w:after="0"/>
              <w:rPr>
                <w:sz w:val="20"/>
                <w:szCs w:val="20"/>
                <w:color w:val="auto"/>
              </w:rPr>
            </w:pPr>
            <w:r>
              <w:rPr>
                <w:rFonts w:ascii="Times New Roman" w:cs="Times New Roman" w:eastAsia="Times New Roman" w:hAnsi="Times New Roman"/>
                <w:sz w:val="11"/>
                <w:szCs w:val="11"/>
                <w:color w:val="auto"/>
                <w:w w:val="71"/>
              </w:rPr>
              <w:t>$</w:t>
            </w:r>
          </w:p>
        </w:tc>
        <w:tc>
          <w:tcPr>
            <w:tcW w:w="2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717</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Future minimum lease payments, on a consolidated basis, under the Company’s facility lease financing obligations as of December 31, 2018 were as follows (in thousands):</w:t>
      </w:r>
    </w:p>
    <w:tbl>
      <w:tblPr>
        <w:tblLayout w:type="fixed"/>
        <w:tblInd w:w="0" w:type="dxa"/>
        <w:tblCellMar>
          <w:top w:w="0" w:type="dxa"/>
          <w:left w:w="0" w:type="dxa"/>
          <w:bottom w:w="0" w:type="dxa"/>
          <w:right w:w="0" w:type="dxa"/>
        </w:tblCellMar>
      </w:tblPr>
      <w:tr>
        <w:trPr>
          <w:trHeight w:val="138"/>
        </w:trPr>
        <w:tc>
          <w:tcPr>
            <w:tcW w:w="4440" w:type="dxa"/>
            <w:vAlign w:val="bottom"/>
            <w:gridSpan w:val="2"/>
            <w:vMerge w:val="restart"/>
          </w:tcPr>
          <w:p>
            <w:pPr>
              <w:ind w:left="1140"/>
              <w:spacing w:after="0"/>
              <w:rPr>
                <w:sz w:val="20"/>
                <w:szCs w:val="20"/>
                <w:color w:val="auto"/>
              </w:rPr>
            </w:pPr>
            <w:r>
              <w:rPr>
                <w:rFonts w:ascii="Times New Roman" w:cs="Times New Roman" w:eastAsia="Times New Roman" w:hAnsi="Times New Roman"/>
                <w:sz w:val="14"/>
                <w:szCs w:val="14"/>
                <w:b w:val="1"/>
                <w:bCs w:val="1"/>
                <w:color w:val="auto"/>
              </w:rPr>
              <w:t>Year Ending</w:t>
            </w:r>
          </w:p>
        </w:tc>
        <w:tc>
          <w:tcPr>
            <w:tcW w:w="4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40" w:type="dxa"/>
            <w:vAlign w:val="bottom"/>
            <w:gridSpan w:val="2"/>
          </w:tcPr>
          <w:p>
            <w:pPr>
              <w:jc w:val="center"/>
              <w:ind w:right="280"/>
              <w:spacing w:after="0" w:line="138" w:lineRule="exact"/>
              <w:rPr>
                <w:sz w:val="20"/>
                <w:szCs w:val="20"/>
                <w:color w:val="auto"/>
              </w:rPr>
            </w:pPr>
            <w:r>
              <w:rPr>
                <w:rFonts w:ascii="Times New Roman" w:cs="Times New Roman" w:eastAsia="Times New Roman" w:hAnsi="Times New Roman"/>
                <w:sz w:val="14"/>
                <w:szCs w:val="14"/>
                <w:b w:val="1"/>
                <w:bCs w:val="1"/>
                <w:color w:val="auto"/>
              </w:rPr>
              <w:t>Lease financing</w:t>
            </w: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4440" w:type="dxa"/>
            <w:vAlign w:val="bottom"/>
            <w:gridSpan w:val="2"/>
            <w:vMerge w:val="continue"/>
          </w:tcPr>
          <w:p>
            <w:pPr>
              <w:spacing w:after="0"/>
              <w:rPr>
                <w:sz w:val="15"/>
                <w:szCs w:val="15"/>
                <w:color w:val="auto"/>
              </w:rPr>
            </w:pPr>
          </w:p>
        </w:tc>
        <w:tc>
          <w:tcPr>
            <w:tcW w:w="40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obligations</w:t>
            </w: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28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2019</w:t>
            </w:r>
          </w:p>
        </w:tc>
        <w:tc>
          <w:tcPr>
            <w:tcW w:w="406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14,379</w:t>
            </w:r>
          </w:p>
        </w:tc>
        <w:tc>
          <w:tcPr>
            <w:tcW w:w="80" w:type="dxa"/>
            <w:vAlign w:val="bottom"/>
            <w:tcBorders>
              <w:top w:val="single" w:sz="8" w:color="CFF0FC"/>
            </w:tcBorders>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2020</w:t>
            </w:r>
          </w:p>
        </w:tc>
        <w:tc>
          <w:tcPr>
            <w:tcW w:w="4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14,664</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2021</w:t>
            </w:r>
          </w:p>
        </w:tc>
        <w:tc>
          <w:tcPr>
            <w:tcW w:w="40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14,179</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2022</w:t>
            </w:r>
          </w:p>
        </w:tc>
        <w:tc>
          <w:tcPr>
            <w:tcW w:w="4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14,335</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2023</w:t>
            </w:r>
          </w:p>
        </w:tc>
        <w:tc>
          <w:tcPr>
            <w:tcW w:w="40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12,872</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minimum payments</w:t>
            </w:r>
          </w:p>
        </w:tc>
        <w:tc>
          <w:tcPr>
            <w:tcW w:w="4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70,429</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4060" w:type="dxa"/>
            <w:vAlign w:val="bottom"/>
            <w:vMerge w:val="restart"/>
          </w:tcPr>
          <w:p>
            <w:pPr>
              <w:jc w:val="right"/>
              <w:ind w:right="2610"/>
              <w:spacing w:after="0"/>
              <w:rPr>
                <w:sz w:val="20"/>
                <w:szCs w:val="20"/>
                <w:color w:val="auto"/>
              </w:rPr>
            </w:pPr>
            <w:r>
              <w:rPr>
                <w:rFonts w:ascii="Times New Roman" w:cs="Times New Roman" w:eastAsia="Times New Roman" w:hAnsi="Times New Roman"/>
                <w:sz w:val="18"/>
                <w:szCs w:val="18"/>
                <w:color w:val="auto"/>
              </w:rPr>
              <w:t>17</w:t>
            </w: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116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406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60" w:type="dxa"/>
            <w:vAlign w:val="bottom"/>
            <w:tcBorders>
              <w:bottom w:val="single" w:sz="8" w:color="9A9A9A"/>
            </w:tcBorders>
          </w:tcPr>
          <w:p>
            <w:pPr>
              <w:spacing w:after="0"/>
              <w:rPr>
                <w:sz w:val="10"/>
                <w:szCs w:val="10"/>
                <w:color w:val="auto"/>
              </w:rPr>
            </w:pPr>
          </w:p>
        </w:tc>
        <w:tc>
          <w:tcPr>
            <w:tcW w:w="3280" w:type="dxa"/>
            <w:vAlign w:val="bottom"/>
            <w:tcBorders>
              <w:bottom w:val="single" w:sz="8" w:color="9A9A9A"/>
            </w:tcBorders>
          </w:tcPr>
          <w:p>
            <w:pPr>
              <w:spacing w:after="0"/>
              <w:rPr>
                <w:sz w:val="10"/>
                <w:szCs w:val="10"/>
                <w:color w:val="auto"/>
              </w:rPr>
            </w:pPr>
          </w:p>
        </w:tc>
        <w:tc>
          <w:tcPr>
            <w:tcW w:w="40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18" w:name="page19"/>
    <w:bookmarkEnd w:id="1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5.</w:t>
            </w:r>
          </w:p>
        </w:tc>
        <w:tc>
          <w:tcPr>
            <w:tcW w:w="590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Balance Sheet Components</w:t>
            </w:r>
          </w:p>
        </w:tc>
        <w:tc>
          <w:tcPr>
            <w:tcW w:w="2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324"/>
        </w:trPr>
        <w:tc>
          <w:tcPr>
            <w:tcW w:w="62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tc>
        <w:tc>
          <w:tcPr>
            <w:tcW w:w="2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24"/>
        </w:trPr>
        <w:tc>
          <w:tcPr>
            <w:tcW w:w="6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Cash and cash equivalents consisted of the following (in thousands):</w:t>
            </w:r>
          </w:p>
        </w:tc>
        <w:tc>
          <w:tcPr>
            <w:tcW w:w="2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86"/>
        </w:trPr>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6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March 31, 2019</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December 31, 2018</w:t>
            </w:r>
          </w:p>
        </w:tc>
      </w:tr>
      <w:tr>
        <w:trPr>
          <w:trHeight w:val="223"/>
        </w:trPr>
        <w:tc>
          <w:tcPr>
            <w:tcW w:w="3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0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w:t>
            </w: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72,278</w:t>
            </w: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6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38,783</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3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US treasury notes and bills</w:t>
            </w:r>
          </w:p>
        </w:tc>
        <w:tc>
          <w:tcPr>
            <w:tcW w:w="260" w:type="dxa"/>
            <w:vAlign w:val="bottom"/>
          </w:tcPr>
          <w:p>
            <w:pPr>
              <w:spacing w:after="0"/>
              <w:rPr>
                <w:sz w:val="19"/>
                <w:szCs w:val="19"/>
                <w:color w:val="auto"/>
              </w:rPr>
            </w:pPr>
          </w:p>
        </w:tc>
        <w:tc>
          <w:tcPr>
            <w:tcW w:w="18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49,934</w:t>
            </w:r>
          </w:p>
        </w:tc>
        <w:tc>
          <w:tcPr>
            <w:tcW w:w="80" w:type="dxa"/>
            <w:vAlign w:val="bottom"/>
          </w:tcPr>
          <w:p>
            <w:pPr>
              <w:spacing w:after="0"/>
              <w:rPr>
                <w:sz w:val="19"/>
                <w:szCs w:val="19"/>
                <w:color w:val="auto"/>
              </w:rPr>
            </w:pPr>
          </w:p>
        </w:tc>
      </w:tr>
      <w:tr>
        <w:trPr>
          <w:trHeight w:val="230"/>
        </w:trPr>
        <w:tc>
          <w:tcPr>
            <w:tcW w:w="3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260" w:type="dxa"/>
            <w:vAlign w:val="bottom"/>
            <w:tcBorders>
              <w:bottom w:val="single" w:sz="8" w:color="auto"/>
            </w:tcBorders>
            <w:shd w:val="clear" w:color="auto" w:fill="CFF0FC"/>
          </w:tcPr>
          <w:p>
            <w:pPr>
              <w:spacing w:after="0"/>
              <w:rPr>
                <w:sz w:val="19"/>
                <w:szCs w:val="19"/>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9,395</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80" w:type="dxa"/>
            <w:vAlign w:val="bottom"/>
            <w:shd w:val="clear" w:color="auto" w:fill="CFF0FC"/>
          </w:tcPr>
          <w:p>
            <w:pPr>
              <w:spacing w:after="0"/>
              <w:rPr>
                <w:sz w:val="19"/>
                <w:szCs w:val="19"/>
                <w:color w:val="auto"/>
              </w:rPr>
            </w:pPr>
          </w:p>
        </w:tc>
      </w:tr>
      <w:tr>
        <w:trPr>
          <w:trHeight w:val="223"/>
        </w:trPr>
        <w:tc>
          <w:tcPr>
            <w:tcW w:w="3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0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cash and cash equivalents</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81,673</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89,258</w:t>
            </w:r>
          </w:p>
        </w:tc>
        <w:tc>
          <w:tcPr>
            <w:tcW w:w="80" w:type="dxa"/>
            <w:vAlign w:val="bottom"/>
          </w:tcPr>
          <w:p>
            <w:pPr>
              <w:spacing w:after="0"/>
              <w:rPr>
                <w:sz w:val="19"/>
                <w:szCs w:val="19"/>
                <w:color w:val="auto"/>
              </w:rPr>
            </w:pPr>
          </w:p>
        </w:tc>
      </w:tr>
      <w:tr>
        <w:trPr>
          <w:trHeight w:val="20"/>
        </w:trPr>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5"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At March 31, 2019 and December 31, 2018, a total of $31.5 million and $21.9 million, respectively, of the Company’s cash and cash equivalents were held outside of the U.S. in its foreign subsidiaries to be used primarily for its China operations.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Investments</w:t>
      </w:r>
    </w:p>
    <w:p>
      <w:pPr>
        <w:spacing w:after="0" w:line="121"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The Company’s investments consist of available-for-sale debt investments, marketable equity investments, a term deposit and a certificate of deposit. The amortized cost, gross unrealized holding gains or losses, and fair value of the Company’s available-for-sale investments by major investments type are summarized in the tables below (in thousands):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4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3420" w:type="dxa"/>
            <w:vAlign w:val="bottom"/>
            <w:tcBorders>
              <w:bottom w:val="single" w:sz="8" w:color="auto"/>
            </w:tcBorders>
            <w:gridSpan w:val="5"/>
          </w:tcPr>
          <w:p>
            <w:pPr>
              <w:jc w:val="right"/>
              <w:ind w:right="1440"/>
              <w:spacing w:after="0"/>
              <w:rPr>
                <w:sz w:val="20"/>
                <w:szCs w:val="20"/>
                <w:color w:val="auto"/>
              </w:rPr>
            </w:pPr>
            <w:r>
              <w:rPr>
                <w:rFonts w:ascii="Times New Roman" w:cs="Times New Roman" w:eastAsia="Times New Roman" w:hAnsi="Times New Roman"/>
                <w:sz w:val="14"/>
                <w:szCs w:val="14"/>
                <w:b w:val="1"/>
                <w:bCs w:val="1"/>
                <w:color w:val="auto"/>
              </w:rPr>
              <w:t>March 31, 2019</w:t>
            </w:r>
          </w:p>
        </w:tc>
        <w:tc>
          <w:tcPr>
            <w:tcW w:w="2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4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60" w:type="dxa"/>
            <w:vAlign w:val="bottom"/>
          </w:tcPr>
          <w:p>
            <w:pPr>
              <w:spacing w:after="0"/>
              <w:rPr>
                <w:sz w:val="11"/>
                <w:szCs w:val="11"/>
                <w:color w:val="auto"/>
              </w:rPr>
            </w:pPr>
          </w:p>
        </w:tc>
        <w:tc>
          <w:tcPr>
            <w:tcW w:w="1360" w:type="dxa"/>
            <w:vAlign w:val="bottom"/>
          </w:tcPr>
          <w:p>
            <w:pPr>
              <w:jc w:val="center"/>
              <w:ind w:right="96"/>
              <w:spacing w:after="0" w:line="131"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40" w:type="dxa"/>
            <w:vAlign w:val="bottom"/>
            <w:gridSpan w:val="2"/>
          </w:tcPr>
          <w:p>
            <w:pPr>
              <w:jc w:val="center"/>
              <w:ind w:right="440"/>
              <w:spacing w:after="0" w:line="131"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260" w:type="dxa"/>
            <w:vAlign w:val="bottom"/>
          </w:tcPr>
          <w:p>
            <w:pPr>
              <w:spacing w:after="0"/>
              <w:rPr>
                <w:sz w:val="11"/>
                <w:szCs w:val="11"/>
                <w:color w:val="auto"/>
              </w:rPr>
            </w:pPr>
          </w:p>
        </w:tc>
        <w:tc>
          <w:tcPr>
            <w:tcW w:w="13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73"/>
        </w:trPr>
        <w:tc>
          <w:tcPr>
            <w:tcW w:w="4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rPr>
              <w:t>Holding Gains</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4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Holding Losses</w:t>
            </w:r>
          </w:p>
        </w:tc>
        <w:tc>
          <w:tcPr>
            <w:tcW w:w="260" w:type="dxa"/>
            <w:vAlign w:val="bottom"/>
          </w:tcPr>
          <w:p>
            <w:pPr>
              <w:spacing w:after="0"/>
              <w:rPr>
                <w:sz w:val="15"/>
                <w:szCs w:val="15"/>
                <w:color w:val="auto"/>
              </w:rPr>
            </w:pPr>
          </w:p>
        </w:tc>
        <w:tc>
          <w:tcPr>
            <w:tcW w:w="13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4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US treasury notes and bills</w:t>
            </w: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494,580</w:t>
            </w:r>
          </w:p>
        </w:tc>
        <w:tc>
          <w:tcPr>
            <w:tcW w:w="2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516</w:t>
            </w:r>
          </w:p>
        </w:tc>
        <w:tc>
          <w:tcPr>
            <w:tcW w:w="2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495,096</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Term deposit</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80,000</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Certificates of deposit</w:t>
            </w:r>
          </w:p>
        </w:tc>
        <w:tc>
          <w:tcPr>
            <w:tcW w:w="18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(4)</w:t>
            </w:r>
          </w:p>
        </w:tc>
        <w:tc>
          <w:tcPr>
            <w:tcW w:w="26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29,996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Bond and mutual funds</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10,533</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10,591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Equity investments</w:t>
            </w:r>
          </w:p>
        </w:tc>
        <w:tc>
          <w:tcPr>
            <w:tcW w:w="18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2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2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investments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615,238</w:t>
            </w:r>
          </w:p>
        </w:tc>
        <w:tc>
          <w:tcPr>
            <w:tcW w:w="26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w:t>
            </w:r>
          </w:p>
        </w:tc>
        <w:tc>
          <w:tcPr>
            <w:tcW w:w="26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w:t>
            </w:r>
          </w:p>
        </w:tc>
        <w:tc>
          <w:tcPr>
            <w:tcW w:w="26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615,929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20" w:type="dxa"/>
            <w:vAlign w:val="bottom"/>
            <w:tcBorders>
              <w:top w:val="single" w:sz="8" w:color="auto"/>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44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gridSpan w:val="5"/>
          </w:tcPr>
          <w:p>
            <w:pPr>
              <w:jc w:val="right"/>
              <w:ind w:right="1340"/>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2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4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60" w:type="dxa"/>
            <w:vAlign w:val="bottom"/>
          </w:tcPr>
          <w:p>
            <w:pPr>
              <w:spacing w:after="0"/>
              <w:rPr>
                <w:sz w:val="11"/>
                <w:szCs w:val="11"/>
                <w:color w:val="auto"/>
              </w:rPr>
            </w:pPr>
          </w:p>
        </w:tc>
        <w:tc>
          <w:tcPr>
            <w:tcW w:w="1360" w:type="dxa"/>
            <w:vAlign w:val="bottom"/>
          </w:tcPr>
          <w:p>
            <w:pPr>
              <w:jc w:val="center"/>
              <w:ind w:right="96"/>
              <w:spacing w:after="0" w:line="131"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40" w:type="dxa"/>
            <w:vAlign w:val="bottom"/>
            <w:gridSpan w:val="2"/>
          </w:tcPr>
          <w:p>
            <w:pPr>
              <w:jc w:val="center"/>
              <w:ind w:right="440"/>
              <w:spacing w:after="0" w:line="131"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260" w:type="dxa"/>
            <w:vAlign w:val="bottom"/>
          </w:tcPr>
          <w:p>
            <w:pPr>
              <w:spacing w:after="0"/>
              <w:rPr>
                <w:sz w:val="11"/>
                <w:szCs w:val="11"/>
                <w:color w:val="auto"/>
              </w:rPr>
            </w:pPr>
          </w:p>
        </w:tc>
        <w:tc>
          <w:tcPr>
            <w:tcW w:w="13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73"/>
        </w:trPr>
        <w:tc>
          <w:tcPr>
            <w:tcW w:w="4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rPr>
              <w:t>Holding Gains</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4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Holding Losses</w:t>
            </w:r>
          </w:p>
        </w:tc>
        <w:tc>
          <w:tcPr>
            <w:tcW w:w="260" w:type="dxa"/>
            <w:vAlign w:val="bottom"/>
          </w:tcPr>
          <w:p>
            <w:pPr>
              <w:spacing w:after="0"/>
              <w:rPr>
                <w:sz w:val="15"/>
                <w:szCs w:val="15"/>
                <w:color w:val="auto"/>
              </w:rPr>
            </w:pPr>
          </w:p>
        </w:tc>
        <w:tc>
          <w:tcPr>
            <w:tcW w:w="13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4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US treasury notes and bills</w:t>
            </w: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467,296</w:t>
            </w:r>
          </w:p>
        </w:tc>
        <w:tc>
          <w:tcPr>
            <w:tcW w:w="2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2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2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467,336</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Term deposit</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80,000</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Certificates of deposit</w:t>
            </w:r>
          </w:p>
        </w:tc>
        <w:tc>
          <w:tcPr>
            <w:tcW w:w="18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(90)</w:t>
            </w:r>
          </w:p>
        </w:tc>
        <w:tc>
          <w:tcPr>
            <w:tcW w:w="26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29,910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Bond and mutual funds</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10,464</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10,484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Equity investments</w:t>
            </w:r>
          </w:p>
        </w:tc>
        <w:tc>
          <w:tcPr>
            <w:tcW w:w="18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investments</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587,885</w:t>
            </w:r>
          </w:p>
        </w:tc>
        <w:tc>
          <w:tcPr>
            <w:tcW w:w="2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2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28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587,964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At March 31, 2019, all of the available-for-sale investments had contractual maturities within two years. The Company periodically reviews its available-for-sale investments and term deposit for other-than-temporary impairment. The Company considers factors such as the duration, severity and the reason for the decline in value, the potential recovery period and its intent to sell. For debt securities, the Company also considers whether (i) it is more likely than not that the Company will be required to sell the debt securities before recovery of their amortized cost basis, and (ii) the amortized cost basis cannot be recovered as a result of credit losses. During the three months ended March 31, 2019 and 2018, the Company did not recognize any other-than-temporary impairment loss.</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9" w:name="page20"/>
    <w:bookmarkEnd w:id="1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and equipment consisted of the following (in thousands):</w:t>
      </w:r>
    </w:p>
    <w:p>
      <w:pPr>
        <w:spacing w:after="0" w:line="300"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9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31, 2019</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2018</w:t>
            </w:r>
          </w:p>
        </w:tc>
      </w:tr>
      <w:tr>
        <w:trPr>
          <w:trHeight w:val="223"/>
        </w:trPr>
        <w:tc>
          <w:tcPr>
            <w:tcW w:w="20" w:type="dxa"/>
            <w:vAlign w:val="bottom"/>
          </w:tcPr>
          <w:p>
            <w:pPr>
              <w:spacing w:after="0"/>
              <w:rPr>
                <w:sz w:val="19"/>
                <w:szCs w:val="19"/>
                <w:color w:val="auto"/>
              </w:rPr>
            </w:pPr>
          </w:p>
        </w:tc>
        <w:tc>
          <w:tcPr>
            <w:tcW w:w="39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6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101,229</w:t>
            </w:r>
          </w:p>
        </w:tc>
        <w:tc>
          <w:tcPr>
            <w:tcW w:w="2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14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101,200</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Building shell</w:t>
            </w:r>
          </w:p>
        </w:tc>
        <w:tc>
          <w:tcPr>
            <w:tcW w:w="1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53,880</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Laboratory equipment</w:t>
            </w:r>
          </w:p>
        </w:tc>
        <w:tc>
          <w:tcPr>
            <w:tcW w:w="16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16,480</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16,405</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Machinery</w:t>
            </w:r>
          </w:p>
        </w:tc>
        <w:tc>
          <w:tcPr>
            <w:tcW w:w="1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8,396</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8,382</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16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6,650</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6,473</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1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5,643</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5,690</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16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607</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80" w:type="dxa"/>
            <w:vAlign w:val="bottom"/>
            <w:shd w:val="clear" w:color="auto" w:fill="CFF0FC"/>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3940" w:type="dxa"/>
            <w:vAlign w:val="bottom"/>
            <w:tcBorders>
              <w:bottom w:val="single" w:sz="8" w:color="CFF0FC"/>
            </w:tcBorders>
          </w:tcPr>
          <w:p>
            <w:pPr>
              <w:ind w:left="240"/>
              <w:spacing w:after="0"/>
              <w:rPr>
                <w:sz w:val="20"/>
                <w:szCs w:val="20"/>
                <w:color w:val="auto"/>
              </w:rPr>
            </w:pPr>
            <w:r>
              <w:rPr>
                <w:rFonts w:ascii="Times New Roman" w:cs="Times New Roman" w:eastAsia="Times New Roman" w:hAnsi="Times New Roman"/>
                <w:sz w:val="18"/>
                <w:szCs w:val="18"/>
                <w:color w:val="auto"/>
              </w:rPr>
              <w:t>Total property and equipment</w:t>
            </w:r>
          </w:p>
        </w:tc>
        <w:tc>
          <w:tcPr>
            <w:tcW w:w="16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139,005</w:t>
            </w:r>
          </w:p>
        </w:tc>
        <w:tc>
          <w:tcPr>
            <w:tcW w:w="24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192,397</w:t>
            </w:r>
          </w:p>
        </w:tc>
        <w:tc>
          <w:tcPr>
            <w:tcW w:w="80" w:type="dxa"/>
            <w:vAlign w:val="bottom"/>
            <w:tcBorders>
              <w:bottom w:val="single" w:sz="8" w:color="CFF0FC"/>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3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6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(93,177)</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(65,199)</w:t>
            </w:r>
          </w:p>
        </w:tc>
        <w:tc>
          <w:tcPr>
            <w:tcW w:w="80" w:type="dxa"/>
            <w:vAlign w:val="bottom"/>
            <w:shd w:val="clear" w:color="auto" w:fill="CFF0FC"/>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39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600" w:type="dxa"/>
            <w:vAlign w:val="bottom"/>
          </w:tcPr>
          <w:p>
            <w:pPr>
              <w:spacing w:after="0"/>
              <w:rPr>
                <w:sz w:val="19"/>
                <w:szCs w:val="19"/>
                <w:color w:val="auto"/>
              </w:rPr>
            </w:pPr>
          </w:p>
        </w:tc>
        <w:tc>
          <w:tcPr>
            <w:tcW w:w="2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45,828</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127,198</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As of December 31, 2018, the Company had $53.9 million building shell cost and $13.5 million accumulated depreciation related to its building leases under build-to-suit arrangements. Upon the adoption of ASC 842 as of January 1, 2019, using the modified retrospective transition method, the Company derecognized these assets previously recognized under ASC 840 build-to-suit designation. Up to December 31, 2018, the leasehold improvements related to these building leases were depreciated over the life of the building under ASC 840. Upon the adoption of ASC 842, these leasehold improvements should have a useful life based on the lease term. As a result, at the adoption date, the Company recorded a cumulative adjustment of $38.9 million to the accumulated depreciation for these leasehold improvements so that their net balance equals the undepreciated amount had the useful life of the leasehold improvements always been equal to the lease terms. Refer to Note 1 for details.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Accrued Liabilities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liabilities consisted of the following (in thousands):</w:t>
      </w:r>
    </w:p>
    <w:p>
      <w:pPr>
        <w:spacing w:after="0" w:line="300"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March 31, 2019</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 2018</w:t>
            </w:r>
          </w:p>
        </w:tc>
      </w:tr>
      <w:tr>
        <w:trPr>
          <w:trHeight w:val="223"/>
        </w:trPr>
        <w:tc>
          <w:tcPr>
            <w:tcW w:w="20" w:type="dxa"/>
            <w:vAlign w:val="bottom"/>
          </w:tcPr>
          <w:p>
            <w:pPr>
              <w:spacing w:after="0"/>
              <w:rPr>
                <w:sz w:val="19"/>
                <w:szCs w:val="19"/>
                <w:color w:val="auto"/>
              </w:rPr>
            </w:pPr>
          </w:p>
        </w:tc>
        <w:tc>
          <w:tcPr>
            <w:tcW w:w="53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Preclinical and clinical trial accruals</w:t>
            </w:r>
          </w:p>
        </w:tc>
        <w:tc>
          <w:tcPr>
            <w:tcW w:w="240" w:type="dxa"/>
            <w:vAlign w:val="bottom"/>
            <w:tcBorders>
              <w:top w:val="single" w:sz="8" w:color="auto"/>
            </w:tcBorders>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41,964</w:t>
            </w:r>
          </w:p>
        </w:tc>
        <w:tc>
          <w:tcPr>
            <w:tcW w:w="2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15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35,413</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Payroll and related accruals</w:t>
            </w:r>
          </w:p>
        </w:tc>
        <w:tc>
          <w:tcPr>
            <w:tcW w:w="2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12,368</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21,430</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Property taxes and other</w:t>
            </w:r>
          </w:p>
        </w:tc>
        <w:tc>
          <w:tcPr>
            <w:tcW w:w="24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2,969</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1,095</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Professional services</w:t>
            </w:r>
          </w:p>
        </w:tc>
        <w:tc>
          <w:tcPr>
            <w:tcW w:w="2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3,547</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2,648</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auto"/>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5,430</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5,537</w:t>
            </w:r>
          </w:p>
        </w:tc>
        <w:tc>
          <w:tcPr>
            <w:tcW w:w="80" w:type="dxa"/>
            <w:vAlign w:val="bottom"/>
            <w:shd w:val="clear" w:color="auto" w:fill="CFF0FC"/>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53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accrued liabilities</w:t>
            </w:r>
          </w:p>
        </w:tc>
        <w:tc>
          <w:tcPr>
            <w:tcW w:w="24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66,278</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66,123</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42" w:lineRule="exact"/>
        <w:rPr>
          <w:sz w:val="20"/>
          <w:szCs w:val="20"/>
          <w:color w:val="auto"/>
        </w:rPr>
      </w:pPr>
    </w:p>
    <w:p>
      <w:pPr>
        <w:ind w:left="520" w:hanging="512"/>
        <w:spacing w:after="0"/>
        <w:tabs>
          <w:tab w:leader="none" w:pos="52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Stock-Based Compensation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Stock-based compensation expense was allocated to research and development and general and administrative expense as follows (in thousands):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160" w:type="dxa"/>
            <w:vAlign w:val="bottom"/>
          </w:tcPr>
          <w:p>
            <w:pPr>
              <w:spacing w:after="0"/>
              <w:rPr>
                <w:sz w:val="15"/>
                <w:szCs w:val="15"/>
                <w:color w:val="auto"/>
              </w:rPr>
            </w:pPr>
          </w:p>
        </w:tc>
        <w:tc>
          <w:tcPr>
            <w:tcW w:w="38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3300" w:type="dxa"/>
            <w:vAlign w:val="bottom"/>
            <w:tcBorders>
              <w:bottom w:val="single" w:sz="8" w:color="auto"/>
            </w:tcBorders>
            <w:gridSpan w:val="4"/>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38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160" w:type="dxa"/>
            <w:vAlign w:val="bottom"/>
          </w:tcPr>
          <w:p>
            <w:pPr>
              <w:jc w:val="right"/>
              <w:ind w:right="42"/>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660" w:type="dxa"/>
            <w:vAlign w:val="bottom"/>
          </w:tcPr>
          <w:p>
            <w:pPr>
              <w:spacing w:after="0"/>
              <w:rPr>
                <w:sz w:val="13"/>
                <w:szCs w:val="13"/>
                <w:color w:val="auto"/>
              </w:rPr>
            </w:pPr>
          </w:p>
        </w:tc>
        <w:tc>
          <w:tcPr>
            <w:tcW w:w="1480" w:type="dxa"/>
            <w:vAlign w:val="bottom"/>
            <w:gridSpan w:val="2"/>
          </w:tcPr>
          <w:p>
            <w:pPr>
              <w:jc w:val="right"/>
              <w:ind w:right="35"/>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8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280" w:type="dxa"/>
            <w:vAlign w:val="bottom"/>
            <w:tcBorders>
              <w:top w:val="single" w:sz="8" w:color="CFF0FC"/>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jc w:val="right"/>
              <w:ind w:right="1002"/>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9,578</w:t>
            </w:r>
          </w:p>
        </w:tc>
        <w:tc>
          <w:tcPr>
            <w:tcW w:w="320" w:type="dxa"/>
            <w:vAlign w:val="bottom"/>
            <w:tcBorders>
              <w:top w:val="single" w:sz="8" w:color="CFF0FC"/>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jc w:val="right"/>
              <w:ind w:right="995"/>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6,370</w:t>
            </w:r>
          </w:p>
        </w:tc>
        <w:tc>
          <w:tcPr>
            <w:tcW w:w="80" w:type="dxa"/>
            <w:vAlign w:val="bottom"/>
            <w:tcBorders>
              <w:top w:val="single" w:sz="8" w:color="CFF0FC"/>
            </w:tcBorders>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8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280" w:type="dxa"/>
            <w:vAlign w:val="bottom"/>
            <w:tcBorders>
              <w:bottom w:val="single" w:sz="8" w:color="CFF0FC"/>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6,852</w:t>
            </w:r>
          </w:p>
        </w:tc>
        <w:tc>
          <w:tcPr>
            <w:tcW w:w="320" w:type="dxa"/>
            <w:vAlign w:val="bottom"/>
            <w:tcBorders>
              <w:bottom w:val="single" w:sz="8" w:color="CFF0FC"/>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4,508</w:t>
            </w:r>
          </w:p>
        </w:tc>
        <w:tc>
          <w:tcPr>
            <w:tcW w:w="80" w:type="dxa"/>
            <w:vAlign w:val="bottom"/>
            <w:tcBorders>
              <w:bottom w:val="single" w:sz="8" w:color="CFF0FC"/>
            </w:tcBorders>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82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1280" w:type="dxa"/>
            <w:vAlign w:val="bottom"/>
            <w:tcBorders>
              <w:bottom w:val="single" w:sz="8" w:color="CFF0FC"/>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ind w:right="1002"/>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16,430</w:t>
            </w:r>
          </w:p>
        </w:tc>
        <w:tc>
          <w:tcPr>
            <w:tcW w:w="320" w:type="dxa"/>
            <w:vAlign w:val="bottom"/>
            <w:tcBorders>
              <w:bottom w:val="single" w:sz="8" w:color="CFF0FC"/>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ind w:right="995"/>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10,878</w:t>
            </w:r>
          </w:p>
        </w:tc>
        <w:tc>
          <w:tcPr>
            <w:tcW w:w="80" w:type="dxa"/>
            <w:vAlign w:val="bottom"/>
            <w:tcBorders>
              <w:bottom w:val="single" w:sz="8" w:color="CFF0FC"/>
            </w:tcBorders>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280" w:type="dxa"/>
            <w:vAlign w:val="bottom"/>
            <w:vMerge w:val="restart"/>
          </w:tcPr>
          <w:p>
            <w:pPr>
              <w:jc w:val="right"/>
              <w:ind w:right="370"/>
              <w:spacing w:after="0"/>
              <w:rPr>
                <w:sz w:val="20"/>
                <w:szCs w:val="20"/>
                <w:color w:val="auto"/>
              </w:rPr>
            </w:pPr>
            <w:r>
              <w:rPr>
                <w:rFonts w:ascii="Times New Roman" w:cs="Times New Roman" w:eastAsia="Times New Roman" w:hAnsi="Times New Roman"/>
                <w:sz w:val="18"/>
                <w:szCs w:val="18"/>
                <w:color w:val="auto"/>
              </w:rPr>
              <w:t>19</w:t>
            </w:r>
          </w:p>
        </w:tc>
        <w:tc>
          <w:tcPr>
            <w:tcW w:w="1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16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1280" w:type="dxa"/>
            <w:vAlign w:val="bottom"/>
            <w:vMerge w:val="continue"/>
          </w:tcPr>
          <w:p>
            <w:pPr>
              <w:spacing w:after="0"/>
              <w:rPr>
                <w:sz w:val="24"/>
                <w:szCs w:val="24"/>
                <w:color w:val="auto"/>
              </w:rPr>
            </w:pPr>
          </w:p>
        </w:tc>
        <w:tc>
          <w:tcPr>
            <w:tcW w:w="1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60" w:type="dxa"/>
            <w:vAlign w:val="bottom"/>
            <w:tcBorders>
              <w:bottom w:val="single" w:sz="8" w:color="9A9A9A"/>
            </w:tcBorders>
          </w:tcPr>
          <w:p>
            <w:pPr>
              <w:spacing w:after="0"/>
              <w:rPr>
                <w:sz w:val="10"/>
                <w:szCs w:val="10"/>
                <w:color w:val="auto"/>
              </w:rPr>
            </w:pPr>
          </w:p>
        </w:tc>
        <w:tc>
          <w:tcPr>
            <w:tcW w:w="382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20" w:name="page21"/>
    <w:bookmarkEnd w:id="2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assumptions used to estimate the fair value of stock options granted and purchases under the Company’s 2014 Employee Share Purchase Plan (“ESPP”)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using the Black-Scholes option valuation model were as follows:</w:t>
      </w:r>
    </w:p>
    <w:p>
      <w:pPr>
        <w:spacing w:after="0" w:line="282"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9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3300" w:type="dxa"/>
            <w:vAlign w:val="bottom"/>
            <w:tcBorders>
              <w:bottom w:val="single" w:sz="8" w:color="auto"/>
            </w:tcBorders>
            <w:gridSpan w:val="4"/>
          </w:tcPr>
          <w:p>
            <w:pPr>
              <w:jc w:val="right"/>
              <w:ind w:right="772"/>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900" w:type="dxa"/>
            <w:vAlign w:val="bottom"/>
            <w:tcBorders>
              <w:bottom w:val="single" w:sz="8" w:color="CFF0FC"/>
            </w:tcBorders>
          </w:tcPr>
          <w:p>
            <w:pPr>
              <w:spacing w:after="0"/>
              <w:rPr>
                <w:sz w:val="13"/>
                <w:szCs w:val="13"/>
                <w:color w:val="auto"/>
              </w:rPr>
            </w:pPr>
          </w:p>
        </w:tc>
        <w:tc>
          <w:tcPr>
            <w:tcW w:w="1160" w:type="dxa"/>
            <w:vAlign w:val="bottom"/>
            <w:tcBorders>
              <w:bottom w:val="single" w:sz="8" w:color="CFF0FC"/>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ind w:right="633"/>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340" w:type="dxa"/>
            <w:vAlign w:val="bottom"/>
            <w:tcBorders>
              <w:bottom w:val="single" w:sz="8" w:color="CFF0FC"/>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612"/>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3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Stock Options</w:t>
            </w:r>
          </w:p>
        </w:tc>
        <w:tc>
          <w:tcPr>
            <w:tcW w:w="11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1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3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1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67.9</w:t>
            </w:r>
          </w:p>
        </w:tc>
        <w:tc>
          <w:tcPr>
            <w:tcW w:w="3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67.9</w:t>
            </w:r>
          </w:p>
        </w:tc>
        <w:tc>
          <w:tcPr>
            <w:tcW w:w="3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3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11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estimated fair value</w:t>
            </w:r>
          </w:p>
        </w:tc>
        <w:tc>
          <w:tcPr>
            <w:tcW w:w="15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34.14</w:t>
            </w:r>
          </w:p>
        </w:tc>
        <w:tc>
          <w:tcPr>
            <w:tcW w:w="7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32.18</w:t>
            </w: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 w:type="dxa"/>
            <w:vAlign w:val="bottom"/>
            <w:vMerge w:val="restart"/>
          </w:tcPr>
          <w:p>
            <w:pPr>
              <w:spacing w:after="0"/>
              <w:rPr>
                <w:sz w:val="19"/>
                <w:szCs w:val="19"/>
                <w:color w:val="auto"/>
              </w:rPr>
            </w:pPr>
          </w:p>
        </w:tc>
        <w:tc>
          <w:tcPr>
            <w:tcW w:w="39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ESPPs</w:t>
            </w:r>
          </w:p>
        </w:tc>
        <w:tc>
          <w:tcPr>
            <w:tcW w:w="11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1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0.5 - 2.0</w:t>
            </w:r>
          </w:p>
        </w:tc>
        <w:tc>
          <w:tcPr>
            <w:tcW w:w="3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0.5 - 2.0</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1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48.1 - 62.1 %</w:t>
            </w:r>
          </w:p>
        </w:tc>
        <w:tc>
          <w:tcPr>
            <w:tcW w:w="38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54.9 - 75.3 %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1.3 - 2.9 %</w:t>
            </w:r>
          </w:p>
        </w:tc>
        <w:tc>
          <w:tcPr>
            <w:tcW w:w="380" w:type="dxa"/>
            <w:vAlign w:val="bottom"/>
          </w:tcPr>
          <w:p>
            <w:pPr>
              <w:spacing w:after="0"/>
              <w:rPr>
                <w:sz w:val="19"/>
                <w:szCs w:val="19"/>
                <w:color w:val="auto"/>
              </w:rPr>
            </w:pPr>
          </w:p>
        </w:tc>
        <w:tc>
          <w:tcPr>
            <w:tcW w:w="16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0.8 - 1.6 %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11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estimated fair value</w:t>
            </w:r>
          </w:p>
        </w:tc>
        <w:tc>
          <w:tcPr>
            <w:tcW w:w="15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20.57</w:t>
            </w:r>
          </w:p>
        </w:tc>
        <w:tc>
          <w:tcPr>
            <w:tcW w:w="7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10.93</w:t>
            </w: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37" w:lineRule="exact"/>
        <w:rPr>
          <w:sz w:val="20"/>
          <w:szCs w:val="20"/>
          <w:color w:val="auto"/>
        </w:rPr>
      </w:pPr>
    </w:p>
    <w:p>
      <w:pPr>
        <w:ind w:left="520" w:hanging="512"/>
        <w:spacing w:after="0"/>
        <w:tabs>
          <w:tab w:leader="none" w:pos="52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121"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benefit for the three months ended March 31, 2019 was primarily due to the tax effect arising from other comprehensive income related to available-for-sale securities, partially offset by foreign taxes. The provision for income taxes for the three months ended March 31, 2018 was due to foreign taxes.</w:t>
      </w:r>
    </w:p>
    <w:p>
      <w:pPr>
        <w:spacing w:after="0" w:line="16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Based upon the weight of available evidence, which includes its historical operating performance, reported cumulative net losses since inception and expected continuing net loss, the Company has established and continues to maintain a full valuation allowance against its deferred tax assets as it does not currently believe that realization of those assets is more likely than not.</w:t>
      </w:r>
    </w:p>
    <w:p>
      <w:pPr>
        <w:spacing w:after="0" w:line="321" w:lineRule="exact"/>
        <w:rPr>
          <w:sz w:val="20"/>
          <w:szCs w:val="20"/>
          <w:color w:val="auto"/>
        </w:rPr>
      </w:pPr>
    </w:p>
    <w:p>
      <w:pPr>
        <w:ind w:left="520" w:hanging="512"/>
        <w:spacing w:after="0"/>
        <w:tabs>
          <w:tab w:leader="none" w:pos="52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Party Transactions</w:t>
      </w:r>
    </w:p>
    <w:p>
      <w:pPr>
        <w:spacing w:after="0" w:line="121"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Astellas is an equity investor in the Company and considered a related party. The Company recorded revenue related to collaboration agreements with Astellas of $4.9 million and $5.2 million during the three months ended March 31, 2019 and 2018, respectively.</w:t>
      </w:r>
    </w:p>
    <w:p>
      <w:pPr>
        <w:spacing w:after="0" w:line="162"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Company recorded expense related to collaboration agreements with Astellas of $0.5 million and $0.6 million during the three months ended March 31, 2019 and 2018, respectively.</w:t>
      </w:r>
    </w:p>
    <w:p>
      <w:pPr>
        <w:spacing w:after="0" w:line="162"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As of March 31, 2019 and December 31, 2018, accounts receivable from Astellas were $3.9 million and $47.2 million, respectively, and amounts due to Astellas were $0.5 million and $0.4 million, respectively. The accounts receivable from Astellas as of December 31, 2018 included $43.8 million related to the delivery of roxadustat API to Astellas during the fourth quarter of 2018, pursuant to an amendment to the Japan Agreement that will allow Astellas to manufacture roxadustat drug product for commercialization in Japan. This amount was received during the first quarter of 2019.</w:t>
      </w: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21" w:name="page22"/>
    <w:bookmarkEnd w:id="2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ind w:right="320"/>
        <w:spacing w:after="0" w:line="290" w:lineRule="auto"/>
        <w:rPr>
          <w:sz w:val="20"/>
          <w:szCs w:val="20"/>
          <w:color w:val="auto"/>
        </w:rPr>
      </w:pPr>
      <w:r>
        <w:rPr>
          <w:rFonts w:ascii="Times New Roman" w:cs="Times New Roman" w:eastAsia="Times New Roman" w:hAnsi="Times New Roman"/>
          <w:sz w:val="17"/>
          <w:szCs w:val="17"/>
          <w:i w:val="1"/>
          <w:iCs w:val="1"/>
          <w:color w:val="auto"/>
        </w:rPr>
        <w:t>You should read the following discussion and analysis of our financial condition and results of operations in conjunction with the condensed consolidated financial statements and the notes thereto included elsewhere in this Quarterly Report on Form 10-Q, and in our Securities and Exchange Commission (“SEC”) filings, including our Annual Report on Form 10-K for the year ended December 31, 2018 filed with the SEC on February 27, 2019.</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1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i w:val="1"/>
          <w:iCs w:val="1"/>
          <w:color w:val="auto"/>
        </w:rPr>
        <w:t>The following discussion and information contained elsewhere in this Quarterly Report on Form 10-Q contain “forward-looking statements” within the meaning of Section 21E of the Securities Exchange Act of 1934, as amended (“Exchange Act”), Section 27A of the Securities Act of 1933, as amended (“Securities Act”) and within the meaning of the Private Securities Litigation Reform Act of 1995. These statements are often identified by the use of words such as “may,” “will,” “expect,” “believe,” “anticipate,” “intend,” “could,” “should,” “estimate,” or “continue,” and similar expressions or variations. Such forward-looking statements are subject to risks, uncertainties and other factors that could cause actual results and the timing of certain events to differ materially from future results expressed or implied by such forward-looking statements. Factors that could cause or contribute to such differences include, but are not limited to, those discussed in the section titled “Risk Factors,” set forth in Part II, Item 1A of this Quarterly Report on Form 10-Q. The forward-looking statements in this Quarterly Report on Form 10-Q represent our views as of the date of this Quarterly Report on Form 10-Q. We anticipate that subsequent events and developments will cause our views to change. New risks emerge from time to time, and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forward-looking events and circumstances discussed in this Quarterly Report on Form 10-Q may not occur, and actual results could differ materially and adversely from those anticipated or implied in the forward-looking statements. While we may elect to update these forward-looking statements at some point in the future, we have no current intention of doing so except to the extent required by applicable law. You should, therefore, not rely on these forward-looking statements as representing our views as of any date subsequent to the date of this Quarterly Report on Form 10-Q and are cautioned not to place undue reliance on such forward-looking statements.</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121"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We were incorporated in 1993 in Delaware and are a leading biopharmaceutical company discovering and developing a pipeline of first-in-class therapeutics. We have applied our pioneering expertise in hypoxia-inducible factor (“HIF”) and connective tissue growth factor (“CTGF”) biology to develop innovative medicines for the treatment of anemia, fibrotic disease, and cancer. Roxadustat (FG-4592), our most advanced product candidate, is an oral small molecule inhibitor of HIF prolyl hydroxylase (“HIF-PH”) activity. Roxadustat has received approval of its New Drug Application (“NDA”) in anemia associated with chronic kidney disease (“CKD”) in dialysis-dependent patients from the National Medical Products Administration (“NMPA”) of the People’s Republic of China (“China”). In conjunction with our collaboration partners, AstraZeneca AB (“AstraZeneca”) and Astellas Pharma Inc. (“Astellas”), we have completed the Phase 3 trials of roxadustat intended to support our NDA in the United States (“U.S.”) and Marketing Authorization Application (“MAA”) in the European Union (“EU”) for the treatment of anemia in CKD. We and our partners are in the process of preparing an NDA for submission to the U.S. Food and Drug Administration (“FDA”) and an MAA for submission to the European Medicines Agency (“EMA”) this year. Both the U.S. NDA and European MAA for roxadustat are expected to cover anemia associated with dialysis-dependent CKD and non-dialysis-dependent CKD. In Japan, our partner Astellas has filed an NDA for roxadustat for the treatment of anemia in dialysis patients with the Pharmaceuticals and Medical Devices Agency (“PMDA”). We are also in Phase 3 clinical development for the treatment of anemia associated with myelodysplastic syndromes (“MDS”). Pamrevlumab, a human monoclonal antibody that inhibits the activity of CTGF, is advancing towards Phase 3 clinical development for the treatment of idiopathic pulmonary fibrosis (“IPF”) and pancreatic cancer, and is currently in a Phase 2 trial for Duchenne muscular dystrophy (“DMD”).</w:t>
      </w:r>
    </w:p>
    <w:p>
      <w:pPr>
        <w:spacing w:after="0" w:line="1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2" w:name="page23"/>
    <w:bookmarkEnd w:id="2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Highlights</w:t>
      </w:r>
    </w:p>
    <w:p>
      <w:pPr>
        <w:spacing w:after="0" w:line="304"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8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860" w:type="dxa"/>
            <w:vAlign w:val="bottom"/>
            <w:gridSpan w:val="4"/>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56"/>
        </w:trPr>
        <w:tc>
          <w:tcPr>
            <w:tcW w:w="20" w:type="dxa"/>
            <w:vAlign w:val="bottom"/>
          </w:tcPr>
          <w:p>
            <w:pPr>
              <w:spacing w:after="0"/>
              <w:rPr>
                <w:sz w:val="13"/>
                <w:szCs w:val="13"/>
                <w:color w:val="auto"/>
              </w:rPr>
            </w:pPr>
          </w:p>
        </w:tc>
        <w:tc>
          <w:tcPr>
            <w:tcW w:w="38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1780" w:type="dxa"/>
            <w:vAlign w:val="bottom"/>
            <w:tcBorders>
              <w:top w:val="single" w:sz="8" w:color="auto"/>
              <w:bottom w:val="single" w:sz="8" w:color="auto"/>
            </w:tcBorders>
          </w:tcPr>
          <w:p>
            <w:pPr>
              <w:jc w:val="right"/>
              <w:ind w:right="877"/>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420" w:type="dxa"/>
            <w:vAlign w:val="bottom"/>
            <w:tcBorders>
              <w:top w:val="single" w:sz="8" w:color="auto"/>
              <w:bottom w:val="single" w:sz="8" w:color="auto"/>
            </w:tcBorders>
          </w:tcPr>
          <w:p>
            <w:pPr>
              <w:spacing w:after="0"/>
              <w:rPr>
                <w:sz w:val="13"/>
                <w:szCs w:val="13"/>
                <w:color w:val="auto"/>
              </w:rPr>
            </w:pPr>
          </w:p>
        </w:tc>
        <w:tc>
          <w:tcPr>
            <w:tcW w:w="1580" w:type="dxa"/>
            <w:vAlign w:val="bottom"/>
            <w:tcBorders>
              <w:top w:val="single" w:sz="8" w:color="auto"/>
              <w:bottom w:val="single" w:sz="8" w:color="auto"/>
            </w:tcBorders>
          </w:tcPr>
          <w:p>
            <w:pPr>
              <w:jc w:val="right"/>
              <w:ind w:right="754"/>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8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38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780" w:type="dxa"/>
            <w:vAlign w:val="bottom"/>
            <w:gridSpan w:val="3"/>
          </w:tcPr>
          <w:p>
            <w:pPr>
              <w:jc w:val="center"/>
              <w:ind w:right="214"/>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 except for per share data)</w:t>
            </w:r>
          </w:p>
        </w:tc>
        <w:tc>
          <w:tcPr>
            <w:tcW w:w="80" w:type="dxa"/>
            <w:vAlign w:val="bottom"/>
          </w:tcPr>
          <w:p>
            <w:pPr>
              <w:spacing w:after="0"/>
              <w:rPr>
                <w:sz w:val="13"/>
                <w:szCs w:val="13"/>
                <w:color w:val="auto"/>
              </w:rPr>
            </w:pPr>
          </w:p>
        </w:tc>
      </w:tr>
      <w:tr>
        <w:trPr>
          <w:trHeight w:val="230"/>
        </w:trPr>
        <w:tc>
          <w:tcPr>
            <w:tcW w:w="20" w:type="dxa"/>
            <w:vAlign w:val="bottom"/>
          </w:tcPr>
          <w:p>
            <w:pPr>
              <w:spacing w:after="0"/>
              <w:rPr>
                <w:sz w:val="19"/>
                <w:szCs w:val="19"/>
                <w:color w:val="auto"/>
              </w:rPr>
            </w:pPr>
          </w:p>
        </w:tc>
        <w:tc>
          <w:tcPr>
            <w:tcW w:w="3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Result of Operations</w:t>
            </w:r>
          </w:p>
        </w:tc>
        <w:tc>
          <w:tcPr>
            <w:tcW w:w="1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7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5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Revenue</w:t>
            </w: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ind w:right="57"/>
              <w:spacing w:after="0"/>
              <w:rPr>
                <w:sz w:val="20"/>
                <w:szCs w:val="20"/>
                <w:color w:val="auto"/>
              </w:rPr>
            </w:pPr>
            <w:r>
              <w:rPr>
                <w:rFonts w:ascii="Times New Roman" w:cs="Times New Roman" w:eastAsia="Times New Roman" w:hAnsi="Times New Roman"/>
                <w:sz w:val="18"/>
                <w:szCs w:val="18"/>
                <w:color w:val="auto"/>
              </w:rPr>
              <w:t>23,863</w:t>
            </w:r>
          </w:p>
        </w:tc>
        <w:tc>
          <w:tcPr>
            <w:tcW w:w="4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31,925</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4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8"/>
                <w:szCs w:val="18"/>
                <w:color w:val="auto"/>
              </w:rPr>
              <w:t>72,706</w:t>
            </w:r>
          </w:p>
        </w:tc>
        <w:tc>
          <w:tcPr>
            <w:tcW w:w="42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72,524</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(45,411)</w:t>
            </w:r>
          </w:p>
        </w:tc>
        <w:tc>
          <w:tcPr>
            <w:tcW w:w="4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(41,396)</w:t>
            </w:r>
          </w:p>
        </w:tc>
      </w:tr>
      <w:tr>
        <w:trPr>
          <w:trHeight w:val="230"/>
        </w:trPr>
        <w:tc>
          <w:tcPr>
            <w:tcW w:w="20" w:type="dxa"/>
            <w:vAlign w:val="bottom"/>
          </w:tcPr>
          <w:p>
            <w:pPr>
              <w:spacing w:after="0"/>
              <w:rPr>
                <w:sz w:val="19"/>
                <w:szCs w:val="19"/>
                <w:color w:val="auto"/>
              </w:rPr>
            </w:pPr>
          </w:p>
        </w:tc>
        <w:tc>
          <w:tcPr>
            <w:tcW w:w="3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per share - basic and diluted</w:t>
            </w:r>
          </w:p>
        </w:tc>
        <w:tc>
          <w:tcPr>
            <w:tcW w:w="14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(0.53)</w:t>
            </w:r>
          </w:p>
        </w:tc>
        <w:tc>
          <w:tcPr>
            <w:tcW w:w="42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(0.50)</w:t>
            </w:r>
          </w:p>
        </w:tc>
      </w:tr>
      <w:tr>
        <w:trPr>
          <w:trHeight w:val="459"/>
        </w:trPr>
        <w:tc>
          <w:tcPr>
            <w:tcW w:w="2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80" w:type="dxa"/>
            <w:vAlign w:val="bottom"/>
          </w:tcPr>
          <w:p>
            <w:pPr>
              <w:jc w:val="right"/>
              <w:ind w:right="537"/>
              <w:spacing w:after="0"/>
              <w:rPr>
                <w:sz w:val="20"/>
                <w:szCs w:val="20"/>
                <w:color w:val="auto"/>
              </w:rPr>
            </w:pPr>
            <w:r>
              <w:rPr>
                <w:rFonts w:ascii="Times New Roman" w:cs="Times New Roman" w:eastAsia="Times New Roman" w:hAnsi="Times New Roman"/>
                <w:sz w:val="14"/>
                <w:szCs w:val="14"/>
                <w:b w:val="1"/>
                <w:bCs w:val="1"/>
                <w:color w:val="auto"/>
              </w:rPr>
              <w:t>March 31, 2019</w:t>
            </w:r>
          </w:p>
        </w:tc>
        <w:tc>
          <w:tcPr>
            <w:tcW w:w="420" w:type="dxa"/>
            <w:vAlign w:val="bottom"/>
          </w:tcPr>
          <w:p>
            <w:pPr>
              <w:spacing w:after="0"/>
              <w:rPr>
                <w:sz w:val="24"/>
                <w:szCs w:val="24"/>
                <w:color w:val="auto"/>
              </w:rPr>
            </w:pPr>
          </w:p>
        </w:tc>
        <w:tc>
          <w:tcPr>
            <w:tcW w:w="166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December 31, 2018</w:t>
            </w:r>
          </w:p>
        </w:tc>
      </w:tr>
      <w:tr>
        <w:trPr>
          <w:trHeight w:val="156"/>
        </w:trPr>
        <w:tc>
          <w:tcPr>
            <w:tcW w:w="20" w:type="dxa"/>
            <w:vAlign w:val="bottom"/>
          </w:tcPr>
          <w:p>
            <w:pPr>
              <w:spacing w:after="0"/>
              <w:rPr>
                <w:sz w:val="13"/>
                <w:szCs w:val="13"/>
                <w:color w:val="auto"/>
              </w:rPr>
            </w:pPr>
          </w:p>
        </w:tc>
        <w:tc>
          <w:tcPr>
            <w:tcW w:w="38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2200" w:type="dxa"/>
            <w:vAlign w:val="bottom"/>
            <w:tcBorders>
              <w:top w:val="single" w:sz="8" w:color="auto"/>
            </w:tcBorders>
            <w:gridSpan w:val="2"/>
          </w:tcPr>
          <w:p>
            <w:pPr>
              <w:jc w:val="center"/>
              <w:ind w:left="1197"/>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5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r>
      <w:tr>
        <w:trPr>
          <w:trHeight w:val="230"/>
        </w:trPr>
        <w:tc>
          <w:tcPr>
            <w:tcW w:w="20" w:type="dxa"/>
            <w:vAlign w:val="bottom"/>
          </w:tcPr>
          <w:p>
            <w:pPr>
              <w:spacing w:after="0"/>
              <w:rPr>
                <w:sz w:val="19"/>
                <w:szCs w:val="19"/>
                <w:color w:val="auto"/>
              </w:rPr>
            </w:pPr>
          </w:p>
        </w:tc>
        <w:tc>
          <w:tcPr>
            <w:tcW w:w="3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Sheet</w:t>
            </w:r>
          </w:p>
        </w:tc>
        <w:tc>
          <w:tcPr>
            <w:tcW w:w="1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7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5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ind w:right="57"/>
              <w:spacing w:after="0"/>
              <w:rPr>
                <w:sz w:val="20"/>
                <w:szCs w:val="20"/>
                <w:color w:val="auto"/>
              </w:rPr>
            </w:pPr>
            <w:r>
              <w:rPr>
                <w:rFonts w:ascii="Times New Roman" w:cs="Times New Roman" w:eastAsia="Times New Roman" w:hAnsi="Times New Roman"/>
                <w:sz w:val="18"/>
                <w:szCs w:val="18"/>
                <w:color w:val="auto"/>
              </w:rPr>
              <w:t>81,673</w:t>
            </w:r>
          </w:p>
        </w:tc>
        <w:tc>
          <w:tcPr>
            <w:tcW w:w="4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89,258</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Short-term and long-term investments</w:t>
            </w:r>
          </w:p>
        </w:tc>
        <w:tc>
          <w:tcPr>
            <w:tcW w:w="14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8"/>
                <w:szCs w:val="18"/>
                <w:color w:val="auto"/>
              </w:rPr>
              <w:t>615,929</w:t>
            </w:r>
          </w:p>
        </w:tc>
        <w:tc>
          <w:tcPr>
            <w:tcW w:w="42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587,964</w:t>
            </w:r>
          </w:p>
        </w:tc>
        <w:tc>
          <w:tcPr>
            <w:tcW w:w="80" w:type="dxa"/>
            <w:vAlign w:val="bottom"/>
            <w:shd w:val="clear" w:color="auto" w:fill="CFF0FC"/>
          </w:tcPr>
          <w:p>
            <w:pPr>
              <w:spacing w:after="0"/>
              <w:rPr>
                <w:sz w:val="19"/>
                <w:szCs w:val="19"/>
                <w:color w:val="auto"/>
              </w:rPr>
            </w:pPr>
          </w:p>
        </w:tc>
      </w:tr>
      <w:tr>
        <w:trPr>
          <w:trHeight w:val="234"/>
        </w:trPr>
        <w:tc>
          <w:tcPr>
            <w:tcW w:w="20" w:type="dxa"/>
            <w:vAlign w:val="bottom"/>
          </w:tcPr>
          <w:p>
            <w:pPr>
              <w:spacing w:after="0"/>
              <w:rPr>
                <w:sz w:val="20"/>
                <w:szCs w:val="20"/>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ind w:right="57"/>
              <w:spacing w:after="0"/>
              <w:rPr>
                <w:sz w:val="20"/>
                <w:szCs w:val="20"/>
                <w:color w:val="auto"/>
              </w:rPr>
            </w:pPr>
            <w:r>
              <w:rPr>
                <w:rFonts w:ascii="Times New Roman" w:cs="Times New Roman" w:eastAsia="Times New Roman" w:hAnsi="Times New Roman"/>
                <w:sz w:val="18"/>
                <w:szCs w:val="18"/>
                <w:color w:val="auto"/>
              </w:rPr>
              <w:t>6,023</w:t>
            </w:r>
          </w:p>
        </w:tc>
        <w:tc>
          <w:tcPr>
            <w:tcW w:w="4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63,684</w:t>
            </w:r>
          </w:p>
        </w:tc>
        <w:tc>
          <w:tcPr>
            <w:tcW w:w="80" w:type="dxa"/>
            <w:vAlign w:val="bottom"/>
          </w:tcPr>
          <w:p>
            <w:pPr>
              <w:spacing w:after="0"/>
              <w:rPr>
                <w:sz w:val="20"/>
                <w:szCs w:val="20"/>
                <w:color w:val="auto"/>
              </w:rPr>
            </w:pPr>
          </w:p>
        </w:tc>
      </w:tr>
    </w:tbl>
    <w:p>
      <w:pPr>
        <w:spacing w:after="0" w:line="193"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Our revenue for the three months ended March 31, 2019 decreased compared to the same period a year ago primarily due to a decrease in co-development billings related to the development of roxadustat as a result of the substantial completion of Phase 3 trials for roxadustat.</w:t>
      </w:r>
    </w:p>
    <w:p>
      <w:pPr>
        <w:spacing w:after="0" w:line="162"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 xml:space="preserve">Operating expenses for the three months ended March 31, 2019 remained relatively flat compared to the same period a year ago primarily due to $5.6 million higher stock-based compensation related to the cumulative impact of stock option grant activities, $2.6 million amortization of finance lease right-of-use (“ROU”) assets related to the adoption of lease accounting guidance under Accounting Standards Codification (“ASC”) 842 -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(“ASC 842”), $2.1 million higher outside service expenses related to co-promotional activities and scientific contract expenses, and $1.2 million higher depreciation expenses due to the change in estimated useful life for our leasehold improvements as a result of the adoption of ASC 842. The increases were offset by $8.3 million lower clinical trial activities related to roxadustat and $3.6 million lower drug development expenses associated with drug substance manufacturing activities related to pamrevlumab and roxadustat.</w:t>
      </w:r>
    </w:p>
    <w:p>
      <w:pPr>
        <w:spacing w:after="0" w:line="18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2019, we had a net loss of $45.4 million, or net loss per basic and diluted share of $0.53, as compared to a net loss of $41.4 million for the same period a year ago, due to a decrease in revenue.</w:t>
      </w:r>
    </w:p>
    <w:p>
      <w:pPr>
        <w:spacing w:after="0" w:line="162"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Cash and cash equivalents, investments and accounts receivable totaled $703.6 million at March 31, 2019, a decrease of $37.3 million from December 31, 2018, primarily due to the cash used in operations.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Programs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Roxadustat for the Treatment of Anemia in Chronic Kidney Disease</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Roxadustat is our most advanced product candidate, an oral small molecule inhibitor of HIF-PH activity that acts by stimulating the body’s natural pathway of erythropoiesis, or red blood cell production. We received our first NDA approval in China for roxadustat for the treatment of anemia caused by CKD in dialysis patients in December of 2018.</w:t>
      </w:r>
    </w:p>
    <w:p>
      <w:pPr>
        <w:spacing w:after="0" w:line="17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 conjunction with our collaboration partners, AstraZeneca and Astellas, we also reported top line efficacy data from the Phase 3 trials of roxadustat intended to support our NDA in the U.S. and MAA in the EU for the treatment of anemia in CKD.</w:t>
      </w:r>
    </w:p>
    <w:p>
      <w:pPr>
        <w:spacing w:after="0" w:line="162"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We have completed initial analyses of the adjudicated safety data for the pooled dialysis-dependent patient population, the incident dialysis subpopulation (of the overall dialysis population), as well as for the pooled non-dialysis patient population from our, and our partners’, Phase 3 CKD-anemia trials.</w:t>
      </w:r>
    </w:p>
    <w:p>
      <w:pPr>
        <w:spacing w:after="0" w:line="162"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With the understanding that regulatory authorities will need to review the data and conduct their own analyses and evaluation of the overall benefit-risk profile of roxadustat, our NDA submission package to the FDA will be based on the totality of evidence of efficacy and safety. We have had extensive discussions with the FDA on the specific statistical standards for the various analyses and endpoints and we are planning to seek further input from the FDA on the content and format of our planned NDA submission package in an upcoming pre-NDA meeting to facilitate the FDA’s review of the package. One of the key safety endpoints to be evaluated is time to first Major Adverse Cardiac Event (“MACE”), a composite endpoint of all-cause mortality, stroke and myocardial infarction.</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3" w:name="page24"/>
    <w:bookmarkEnd w:id="2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ind w:right="740"/>
        <w:spacing w:after="0" w:line="282" w:lineRule="auto"/>
        <w:rPr>
          <w:sz w:val="20"/>
          <w:szCs w:val="20"/>
          <w:color w:val="auto"/>
        </w:rPr>
      </w:pPr>
      <w:r>
        <w:rPr>
          <w:rFonts w:ascii="Times New Roman" w:cs="Times New Roman" w:eastAsia="Times New Roman" w:hAnsi="Times New Roman"/>
          <w:sz w:val="18"/>
          <w:szCs w:val="18"/>
          <w:color w:val="auto"/>
        </w:rPr>
        <w:t>In Europe, the primary safety endpoint is the time to first MACE+ event (“MACE+”) which, in addition to the components in MACE, also includes hospitalization due to heart failure or unstable angina.</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Pooled MACE/MACE+ in Dialysis</w:t>
      </w:r>
    </w:p>
    <w:p>
      <w:pPr>
        <w:spacing w:after="0" w:line="119"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The pooled dialysis population consists of approximately 4,000 patients. In the MACE+ analyses, the upper bound of the 95% confidence interval of the hazard ratios were below the pre-specified non-inferiority margin for Europe.</w:t>
      </w:r>
    </w:p>
    <w:p>
      <w:pPr>
        <w:spacing w:after="0" w:line="162"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For the U.S., where the focus will be on MACE, based on the collective results of the various MACE analyses, we believe there is no clinically meaningful difference in MACE risks between roxadustat and epoetin alfa.</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Pooled MACE/MACE+ in Incident Dialysis</w:t>
      </w:r>
    </w:p>
    <w:p>
      <w:pPr>
        <w:spacing w:after="0" w:line="11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roxadustat global Phase 3 program enrolled over 1,500 incident dialysis patients, a subgroup of dialysis patients that have newly initiated dialysis. We believe incident dialysis offers a better setting for comparing roxadustat to erythropoiesis stimulating agents (“ESAs”) as the stable dialysis population contains the twin biases of patients who have already survived the incident period, which is associated with increased mortality rates, and patients who have already responded to stable doses of ESA after dose-titration.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MACE+, roxadustat demonstrated superiority to epoetin alfa in this incident dialysis subpopulation.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MACE analysis of this same subgroup, there was a trend toward reduced risk of MACE for patients on roxadustat, compared to epoetin alfa.</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Pooled MACE/MACE+ in Non-Dialysis Population</w:t>
      </w:r>
    </w:p>
    <w:p>
      <w:pPr>
        <w:spacing w:after="0" w:line="119"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The non-dialysis pool consists of approximately 4,300 patients. In the MACE+ analyses, non-inferiority was demonstrated for roxadustat compared to placebo based on the upper bound of the 95% confidence interval being below the pre-specified non-inferiority margin for Europe.</w:t>
      </w:r>
    </w:p>
    <w:p>
      <w:pPr>
        <w:spacing w:after="0" w:line="162"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For the U.S., where the focus will be on MACE, based on the collective results of the various MACE analyses, we believe there is no clinically meaningful difference in MACE safety between roxadustat and placebo in this same non-dialysis population.</w:t>
      </w:r>
    </w:p>
    <w:p>
      <w:pPr>
        <w:spacing w:after="0" w:line="162"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Of note, we have conducted multiple MACE and MACE+ intent-to-treat analyses in non-dialysis patients followed for long-term safety results. These are among several statistical methods we will discuss with the FDA at a pre-NDA meeting to account for the substantially higher drop-out rates in the placebo arm. We had previously discussed, and the FDA acknowledged, the likelihood of this higher placebo patient drop-out rate that we observed in these non-dialysis studies. In these analyses, roxadustat was comparable to placebo, based on a commonly applied non-inferiority margin of 1.3.</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Estimated Glomerular Filtration Rate Attenuation in Non-Dialysis</w:t>
      </w:r>
    </w:p>
    <w:p>
      <w:pPr>
        <w:spacing w:after="0" w:line="11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We believe there could be significant clinical benefit of roxadustat treatment in the non-dialysis CKD patient population if we are able to show attenuation of renal disease progression. The estimated glomerular filtration rate (“eGFR”) is a measure of the filtration function of kidney and renal disease progression. In the preliminary analysis of our pooled Phase 3 non-dialysis studies (ANDES, ALPS, and OLYMPUS) of patients with eGFR 15 or higher (CKD stages 3 and 4), the one-year decline in eGFR in roxadustat treated patients was shown to be significantly less than that in placebo treated patients, with a treatment difference of 1.62 mL/min/1.73m2 at 12 months from the baseline (p&lt;0.0001), or a reduction by 38% in eGFR decline in the roxadustat arm relative to the placebo arm.</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Improvements in Quality of Life Measures in Non-Dialysis</w:t>
      </w:r>
    </w:p>
    <w:p>
      <w:pPr>
        <w:spacing w:after="0" w:line="11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have also observed improvements in quality of life. In the pooled analysis from the three non-dialysis studies, we observed statistically significant improvements from baseline to Week 12 in quality of life endpoints, including SF-36 Vitality subscale (p=0.0002), SF-36 Physical Functioning subscale (p=0.0369), FACT-AN Anemia subscale (p=0.0012), FACT-AN Total score (p=0.0056), and EQ-5D-SL VAS score (p=0.0005) when comparing roxadustat to placebo in CKD patients not on dialysis.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Efficacy Regardless of Inflammation Status</w:t>
      </w:r>
    </w:p>
    <w:p>
      <w:pPr>
        <w:spacing w:after="0" w:line="119"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Roxadustat has shown efficacy regardless of inflammation status as the mean achieved hemoglobin levels and roxadustat dose requirements were not impacted by patients’ baseline CRP levels in multiple Phase 3 studies, including in the U.S. based SIERRAS study, which we believe is reflective of U.S. dialysis practice under current ESA labeling restrictions. In SIERRAS, roxadustat dose requirements remained stable over time for patients with both high and low baseline CRP levels, while epoetin alfa dose requirements for all patients in the comparator arm increased by 57% over 52 weeks.</w:t>
      </w:r>
    </w:p>
    <w:p>
      <w:pPr>
        <w:spacing w:after="0" w:line="18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24" w:name="page25"/>
    <w:bookmarkEnd w:id="2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Encouraged by these results, we and our partners are preparing an NDA for submission to the FDA in September or October of 2019 and an MAA for submission to the EMA thereafter.</w:t>
      </w:r>
    </w:p>
    <w:p>
      <w:pPr>
        <w:spacing w:after="0" w:line="162"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In China, roxadustat received NDA approval in December 2018 from the NMPA for the treatment of anemia caused by CKD in dialysis patients. Clinical site inspections for our Phase 3 non-dialysis study have now been completed by the China Food and Drug Inspection division of the NMPA and we expect the population of non-dialysis CKD patients to be added to the CKD anemia indication in the roxadustat label in mid-2019. The NMPA has recently approved us to manufacture roxadustat from our commercial API manufacturing facility in Cangzhou and we are planning commercial launch of roxadustat in China in the third quarter of 2019.</w:t>
      </w:r>
    </w:p>
    <w:p>
      <w:pPr>
        <w:spacing w:after="0" w:line="184"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In Japan, Astellas submitted an NDA for the treatment of anemia in CKD patients on dialysis in September 2018, which is currently under review by the PMDA. We expect an approval decision on the Japan dialysis NDA in the second half of 2019.</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Roxadustat for the Treatment of Anemia in Myelodysplastic Syndromes</w:t>
      </w:r>
    </w:p>
    <w:p>
      <w:pPr>
        <w:spacing w:after="0" w:line="121"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In addition to anemia in CKD, roxadustat is in Phase 3 clinical development for the treatment of anemia associated with MDS and we plan to initiate a Phase 2 clinical trial of roxadustat in the U.S. in chemotherapy induced anemia in 2019.</w:t>
      </w:r>
    </w:p>
    <w:p>
      <w:pPr>
        <w:spacing w:after="0" w:line="162" w:lineRule="exact"/>
        <w:rPr>
          <w:sz w:val="20"/>
          <w:szCs w:val="20"/>
          <w:color w:val="auto"/>
        </w:rPr>
      </w:pPr>
    </w:p>
    <w:p>
      <w:pPr>
        <w:jc w:val="both"/>
        <w:ind w:right="400"/>
        <w:spacing w:after="0" w:line="261" w:lineRule="auto"/>
        <w:rPr>
          <w:sz w:val="20"/>
          <w:szCs w:val="20"/>
          <w:color w:val="auto"/>
        </w:rPr>
      </w:pPr>
      <w:r>
        <w:rPr>
          <w:rFonts w:ascii="Times New Roman" w:cs="Times New Roman" w:eastAsia="Times New Roman" w:hAnsi="Times New Roman"/>
          <w:sz w:val="18"/>
          <w:szCs w:val="18"/>
          <w:color w:val="auto"/>
        </w:rPr>
        <w:t>We have completed enrollment of the 24-patient open-label, lead-in portion of our multi-center Phase 3 global study in transfusion-dependent, lower risk MDS patients. Encouraged by positive interim results, we have begun enrolling the 160-patient double-blind, placebo-controlled portion of the study, in which subjects will be randomized 3:2 to receive roxadustat or placebo three-times-weekly for 28 weeks, with safety extension to one year. The primary endpoint is the proportion of patients who achieve transfusion independence.</w:t>
      </w:r>
    </w:p>
    <w:p>
      <w:pPr>
        <w:spacing w:after="0" w:line="18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China, we continue to enroll the open-label portion of our Phase 2/3 clinical trial to evaluate the safety and efficacy of roxadustat in non-transfusion dependent, lower risk MDS patients with anemia. After the open-label portion we expect to begin the 135-patient double-blind, placebo-controlled Phase 3 portion of the study, in which subjects will be randomized 2:1 to receive roxadustat or placebo three-times weekly for 26 weeks. The primary endpoint for this study is percentage of patients achieving a hemoglobin response.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Pamrevlumab (FG-3019) – Monoclonal Antibody Against Connective Tissue Growth Factor (CTGF)</w:t>
      </w:r>
    </w:p>
    <w:p>
      <w:pPr>
        <w:spacing w:after="0" w:line="121"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Pamrevlumab is our human monoclonal antibody that inhibits the activity of CTGF, a central mediator and critical common element in the progression of fibrotic and fibro-proliferative diseases. We are advancing pamrevlumab toward Phase 3 clinical development for the treatment of IPF and locally advanced unresectable pancreatic cancer, and recently received 1-year data from our ongoing Phase 2 trial for DMD.</w:t>
      </w:r>
    </w:p>
    <w:p>
      <w:pPr>
        <w:spacing w:after="0" w:line="176"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In the U.S., pamrevlumab has now received orphan drug designation for DMD in addition to IPF and pancreatic cancer, and Fast Track designation for the treatment of both IPF patients and patients with locally advanced unresectable pancreatic cancer from the FDA.</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Locally Advanced Unresectable Pancreatic Cancer</w:t>
      </w:r>
    </w:p>
    <w:p>
      <w:pPr>
        <w:spacing w:after="0" w:line="119" w:lineRule="exact"/>
        <w:rPr>
          <w:sz w:val="20"/>
          <w:szCs w:val="20"/>
          <w:color w:val="auto"/>
        </w:rPr>
      </w:pPr>
    </w:p>
    <w:p>
      <w:pPr>
        <w:ind w:right="580"/>
        <w:spacing w:after="0" w:line="266" w:lineRule="auto"/>
        <w:rPr>
          <w:sz w:val="20"/>
          <w:szCs w:val="20"/>
          <w:color w:val="auto"/>
        </w:rPr>
      </w:pPr>
      <w:r>
        <w:rPr>
          <w:rFonts w:ascii="Times New Roman" w:cs="Times New Roman" w:eastAsia="Times New Roman" w:hAnsi="Times New Roman"/>
          <w:sz w:val="18"/>
          <w:szCs w:val="18"/>
          <w:color w:val="auto"/>
        </w:rPr>
        <w:t>We plan to begin enrolling a double-blind placebo controlled Phase 3 trial of pamrevlumab as a neoadjuvant therapy for locally advanced unresectable pancreatic cancer in the second quarter of 2019. We intend to enroll approximately 260 patients, randomized 1:1 to receive either pamrevlumab, in combination with gemcitabine and nab-paclitaxel, or chemotherapy with placebo.</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Idiopathic Pulmonary Fibrosis</w:t>
      </w:r>
    </w:p>
    <w:p>
      <w:pPr>
        <w:spacing w:after="0" w:line="119"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We also plan to begin enrolling our double-blind, placebo-controlled Phase 3 trial of pamrevlumab in approximately 500 IPF patients in the second quarter of 2019. This study is powered to meet the FDA requirement of a highly statistically-significant result in the primary efficacy endpoint of change from baseline in forced vital capacity (“FVC”).</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5" w:name="page26"/>
    <w:bookmarkEnd w:id="2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Duchenne Muscular Dystrophy</w:t>
      </w:r>
    </w:p>
    <w:p>
      <w:pPr>
        <w:spacing w:after="0" w:line="11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DMD, all 21 non-ambulatory patients from our fully enrolled Phase 2 open-label single-arm trial have completed one year of treatment with pamrevlumab. While it is difficult to make comparisons between our trial and previously published data due to, among other things, differences in subject numbers, baseline characteristics, inclusion/exclusion criteria, treatment protocols, and analysis methods, we performed a one-year administrative analysis comparing our Phase 2 data to recent published natural disease history studies of DMD patients.</w:t>
      </w:r>
    </w:p>
    <w:p>
      <w:pPr>
        <w:spacing w:after="0" w:line="180"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In pulmonary function tests, the results from our study indicate a potential reduction in the rate of decline in FVC percent predicted from baseline for our pamrevlumab-treated patients when compared to historical data of non-treated DMD patients published in 2016 by Meier and in 2019 by Ricotti.</w:t>
      </w:r>
    </w:p>
    <w:p>
      <w:pPr>
        <w:spacing w:after="0" w:line="160" w:lineRule="exact"/>
        <w:rPr>
          <w:sz w:val="20"/>
          <w:szCs w:val="20"/>
          <w:color w:val="auto"/>
        </w:rPr>
      </w:pPr>
    </w:p>
    <w:p>
      <w:pPr>
        <w:ind w:right="100"/>
        <w:spacing w:after="0" w:line="267" w:lineRule="auto"/>
        <w:rPr>
          <w:sz w:val="20"/>
          <w:szCs w:val="20"/>
          <w:color w:val="auto"/>
        </w:rPr>
      </w:pPr>
      <w:r>
        <w:rPr>
          <w:rFonts w:ascii="Times New Roman" w:cs="Times New Roman" w:eastAsia="Times New Roman" w:hAnsi="Times New Roman"/>
          <w:sz w:val="18"/>
          <w:szCs w:val="18"/>
          <w:color w:val="auto"/>
        </w:rPr>
        <w:t xml:space="preserve">In a cardiac function, measured by mean change of left ventricular ejection fraction (“LVEF”), the data showed an </w:t>
      </w:r>
      <w:r>
        <w:rPr>
          <w:rFonts w:ascii="Times New Roman" w:cs="Times New Roman" w:eastAsia="Times New Roman" w:hAnsi="Times New Roman"/>
          <w:sz w:val="18"/>
          <w:szCs w:val="18"/>
          <w:i w:val="1"/>
          <w:iCs w:val="1"/>
          <w:color w:val="auto"/>
        </w:rPr>
        <w:t>increase</w:t>
      </w:r>
      <w:r>
        <w:rPr>
          <w:rFonts w:ascii="Times New Roman" w:cs="Times New Roman" w:eastAsia="Times New Roman" w:hAnsi="Times New Roman"/>
          <w:sz w:val="18"/>
          <w:szCs w:val="18"/>
          <w:color w:val="auto"/>
        </w:rPr>
        <w:t xml:space="preserve"> in cardiac function from baseline for our pamrevlumab-treated patients, while the published data by McDonald in 2018 showed a mean LVEF decline of approximately 1% from baseline in one year.</w:t>
      </w:r>
    </w:p>
    <w:p>
      <w:pPr>
        <w:spacing w:after="0" w:line="176"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In muscle function tests, some of the results of this Phase 2 study showed the mean change from baseline for our pamrevlumab-treated patients was smaller than the published data of non-treated DMD patients from Ricotti in 2019.</w:t>
      </w:r>
    </w:p>
    <w:p>
      <w:pPr>
        <w:spacing w:after="0" w:line="162"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Based on our administrative analysis and advice we received from expert advisors, we are planning to share these results with the FDA to refine our clinical development plan for DMD.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Collaboration Partnerships for Roxadustat</w:t>
      </w:r>
    </w:p>
    <w:p>
      <w:pPr>
        <w:spacing w:after="0" w:line="121"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Our current and future research, development, manufacturing and commercialization efforts with respect to roxadustat and our other product candidates currently in development depend on funds from our collaboration agreements with Astellas and AstraZeneca as described below.</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Astellas</w:t>
      </w:r>
    </w:p>
    <w:p>
      <w:pPr>
        <w:spacing w:after="0" w:line="12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In June 2005, we entered into a collaboration agreement with Astellas for the development and commercialization (but not manufacture) of roxadustat for the treatment of anemia in Japan (“Japan Agreement”). In April 2006, we entered into the Europe Agreement with Astellas for roxadustat for the treatment of anemia in Europe, the Commonwealth of Independent States, the Middle East, and South Africa. Under these agreements, we provide Astellas the right to develop and commercialize roxadustat for anemia indications in these territories.</w:t>
      </w:r>
    </w:p>
    <w:p>
      <w:pPr>
        <w:spacing w:after="0" w:line="180"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share responsibility with Astellas for clinical development activities required for the U.S. and the EU regulatory approval of roxadustat, and share equally those development costs under the agreed development plan for such activities. Astellas will be responsible for clinical development activities and all associated costs required for regulatory approval in all other countries in the Astellas territories. Astellas will own and have responsibility for regulatory filings in its territories. We are responsible, either directly or through our contract manufacturers, for the manufacture and supply of all quantities of roxadustat to be used in development and commercialization under the agreements.</w:t>
      </w:r>
    </w:p>
    <w:p>
      <w:pPr>
        <w:spacing w:after="0" w:line="18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Astellas agreements will continue in effect until terminated. Either party may terminate the agreements for certain material breaches by the other party. In addition, Astellas will have the right to terminate the agreements for certain specified technical product failures, upon generic sales reaching a particular threshold, upon certain regulatory actions, or upon our entering into a settlement admitting the invalidity or unenforceability of our licensed patents. Astellas may also terminate the agreements for convenience upon advance written notice to us. In the event of any termination of the agreements, Astellas will transfer and assign to us the regulatory filings for roxadustat and will assign or license to us the relevant trademarks used with the products in the Astellas territories. Under certain terminations, Astellas is also obligated to pay us a termination fee.</w:t>
      </w:r>
    </w:p>
    <w:p>
      <w:pPr>
        <w:spacing w:after="0" w:line="188" w:lineRule="exact"/>
        <w:rPr>
          <w:sz w:val="20"/>
          <w:szCs w:val="20"/>
          <w:color w:val="auto"/>
        </w:rPr>
      </w:pPr>
    </w:p>
    <w:p>
      <w:pPr>
        <w:ind w:right="320"/>
        <w:spacing w:after="0" w:line="258" w:lineRule="auto"/>
        <w:rPr>
          <w:sz w:val="20"/>
          <w:szCs w:val="20"/>
          <w:color w:val="auto"/>
        </w:rPr>
      </w:pPr>
      <w:r>
        <w:rPr>
          <w:rFonts w:ascii="Times New Roman" w:cs="Times New Roman" w:eastAsia="Times New Roman" w:hAnsi="Times New Roman"/>
          <w:sz w:val="18"/>
          <w:szCs w:val="18"/>
          <w:color w:val="auto"/>
        </w:rPr>
        <w:t>Consideration under these agreements includes a total of $360.1 million in upfront and non-contingent payments, and milestone payments totaling $557.5 million, of which $542.5 million are development and regulatory milestones and $15.0 million are commercial-based milestones. Total consideration, excluding development cost reimbursement and product sales-related payments, could reach $917.6 million. The aggregate amount of such consideration received through March 31, 2019 totals $487.6 million. Additionally, under these agreements, Astellas pays 100% of the commercialization costs in its territories. Astellas will pay us a transfer price, based on net sales, in the low 20% range for our manufacture and delivery of roxadustat.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as of March 31, 2019, Astellas had separate investments of $80.5 million in the equity of FibroGen,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26" w:name="page27"/>
    <w:bookmarkEnd w:id="2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AstraZeneca</w:t>
      </w:r>
    </w:p>
    <w:p>
      <w:pPr>
        <w:spacing w:after="0" w:line="121"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In July 2013, we entered into the U.S./RoW Agreement, a collaboration agreement with AstraZeneca for roxadustat for the treatment of anemia in the U.S. and all territories not previously licensed to Astellas, except China. In July 2013, through our China subsidiary and related affiliates, we entered into the China Agreement, a collaboration agreement with AstraZeneca for roxadustat for the treatment of anemia in China. Under these agreements we provide AstraZeneca the right to develop and commercialize roxadustat for anemia in these territories. We share responsibility with AstraZeneca for clinical development activities required for U.S. regulatory approval of roxadustat.</w:t>
      </w:r>
    </w:p>
    <w:p>
      <w:pPr>
        <w:spacing w:after="0" w:line="184"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In 2015, we reached the $116.5 million cap on our initial funding obligations (during which time we shared 50% of the joint initial development costs), therefore all development and commercialization costs for roxadustat for the treatment of anemia in CKD in the U.S., Europe, Japan and all other markets outside of China have been paid by Astellas and AstraZeneca since reaching the cap.</w:t>
      </w:r>
    </w:p>
    <w:p>
      <w:pPr>
        <w:spacing w:after="0" w:line="17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China, FibroGen (China) Medical Technology Development Co., Ltd. (“FibroGen Beijing”) will conduct the development work for CKD anemia, will hold all of the regulatory licenses issued by China regulatory authorities, and will be primarily responsible for regulatory, clinical and manufacturing. China development costs are shared 50/50. AstraZeneca is also responsible for 100% of development expenses in all other licensed territories outside of China. We are responsible, through our contract manufacturers, for the manufacture and supply of all quantities of roxadustat to be used in development and commercialization under the AstraZeneca agreements.</w:t>
      </w:r>
    </w:p>
    <w:p>
      <w:pPr>
        <w:spacing w:after="0" w:line="184"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Under the AstraZeneca agreements, we will receive upfront and subsequent non-contingent payments totaling $402.2 million. Potential milestone payments under the agreements total $1.2 billion, of which $571.0 million are development and regulatory milestones and $652.5 million are commercial-based milestones. Total consideration under the agreements, excluding development cost reimbursement, transfer price payments, royalties and profit share, could reach $1.6 billion. The aggregate amount of such consideration received through March 31, 2019 totals $444.2 million.</w:t>
      </w:r>
    </w:p>
    <w:p>
      <w:pPr>
        <w:spacing w:after="0" w:line="18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Under the U.S./RoW Agreement, AstraZeneca will pay for all commercialization costs in the U.S. and RoW and AstraZeneca will be responsible for the U.S. commercialization of roxadustat, with FibroGen undertaking specified promotional activities in the end-stage renal disease segment in the U.S. In addition, we will receive a transfer price for delivery of commercial product based on a percentage of net sales in the low- to mid-single digit range and AstraZeneca will pay us a tiered royalty on net sales of roxadustat in the low 20% range.</w:t>
      </w:r>
    </w:p>
    <w:p>
      <w:pPr>
        <w:spacing w:after="0" w:line="18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Under the China Agreement, which is conducted through FibroGen China Anemia Holdings, Ltd. (“FibroGen China”), the commercial collaboration is structured as a 50/50 profit share. AstraZeneca will conduct commercialization activities in China as well as serve as the master distributor for roxadustat and fund roxadustat launch costs in China until FibroGen Beijing has achieved profitability. At that time, AstraZeneca will recoup 50% of their historical launch costs out of initial roxadustat profits in China.</w:t>
      </w:r>
    </w:p>
    <w:p>
      <w:pPr>
        <w:spacing w:after="0" w:line="180"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Payments under these agreements include over $500.0 million in upfront, non-contingent and other payments received or expected to be received prior to the first U.S. approval, excluding development expense reimbursement.</w:t>
      </w:r>
    </w:p>
    <w:p>
      <w:pPr>
        <w:spacing w:after="0" w:line="162"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AstraZeneca may terminate the U.S./RoW Agreement upon specified events, including our bankruptcy or insolvency, our uncured material breach, technical product failure, or upon 180 days prior written notice at will. If AstraZeneca terminates the U.S./RoW Agreement at will, in addition to any unpaid non-contingent payments, it will be responsible for paying for a substantial portion of the post-termination development costs under the agreed development plan until regulatory approval.</w:t>
      </w:r>
    </w:p>
    <w:p>
      <w:pPr>
        <w:spacing w:after="0" w:line="180" w:lineRule="exact"/>
        <w:rPr>
          <w:sz w:val="20"/>
          <w:szCs w:val="20"/>
          <w:color w:val="auto"/>
        </w:rPr>
      </w:pPr>
    </w:p>
    <w:p>
      <w:pPr>
        <w:jc w:val="both"/>
        <w:ind w:right="420"/>
        <w:spacing w:after="0" w:line="266" w:lineRule="auto"/>
        <w:rPr>
          <w:sz w:val="20"/>
          <w:szCs w:val="20"/>
          <w:color w:val="auto"/>
        </w:rPr>
      </w:pPr>
      <w:r>
        <w:rPr>
          <w:rFonts w:ascii="Times New Roman" w:cs="Times New Roman" w:eastAsia="Times New Roman" w:hAnsi="Times New Roman"/>
          <w:sz w:val="18"/>
          <w:szCs w:val="18"/>
          <w:color w:val="auto"/>
        </w:rPr>
        <w:t>AstraZeneca may terminate the China Agreement upon specified events, including our bankruptcy or insolvency, our uncured material breach, technical product failure, or upon advance prior written notice at will. If AstraZeneca terminates our China Agreement at will, it will be responsible for paying for transition costs as well as make a specified payment to FibroGen China.</w:t>
      </w:r>
    </w:p>
    <w:p>
      <w:pPr>
        <w:spacing w:after="0" w:line="176"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In the event of any termination of the agreements, but subject to modification upon termination for technical product failure, AstraZeneca will transfer and assign to us any regulatory filings and approvals for roxadustat in the affected territories that they may hold under our agreements, grant us licenses and conduct certain transition activities.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27" w:name="page28"/>
    <w:bookmarkEnd w:id="2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Additional Information Related to Collaboration Agreements</w:t>
      </w:r>
    </w:p>
    <w:p>
      <w:pPr>
        <w:spacing w:after="0" w:line="121"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Total cash consideration received through March 31, 2019 and potential cash consideration, other than development cost reimbursement, transfer price payments, royalties and profit share, pursuant to our existing collaboration agreements are as follows:</w:t>
      </w:r>
    </w:p>
    <w:p>
      <w:pPr>
        <w:spacing w:after="0" w:line="157"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8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00" w:type="dxa"/>
            <w:vAlign w:val="bottom"/>
          </w:tcPr>
          <w:p>
            <w:pPr>
              <w:jc w:val="center"/>
              <w:ind w:right="175"/>
              <w:spacing w:after="0"/>
              <w:rPr>
                <w:sz w:val="20"/>
                <w:szCs w:val="20"/>
                <w:color w:val="auto"/>
              </w:rPr>
            </w:pPr>
            <w:r>
              <w:rPr>
                <w:rFonts w:ascii="Times New Roman" w:cs="Times New Roman" w:eastAsia="Times New Roman" w:hAnsi="Times New Roman"/>
                <w:sz w:val="14"/>
                <w:szCs w:val="14"/>
                <w:b w:val="1"/>
                <w:bCs w:val="1"/>
                <w:color w:val="auto"/>
              </w:rPr>
              <w:t>Cash</w:t>
            </w: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40" w:type="dxa"/>
            <w:vAlign w:val="bottom"/>
          </w:tcPr>
          <w:p>
            <w:pPr>
              <w:jc w:val="center"/>
              <w:ind w:right="217"/>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78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49"/>
        </w:trPr>
        <w:tc>
          <w:tcPr>
            <w:tcW w:w="28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00" w:type="dxa"/>
            <w:vAlign w:val="bottom"/>
          </w:tcPr>
          <w:p>
            <w:pPr>
              <w:jc w:val="center"/>
              <w:ind w:right="175"/>
              <w:spacing w:after="0" w:line="149" w:lineRule="exact"/>
              <w:rPr>
                <w:sz w:val="20"/>
                <w:szCs w:val="20"/>
                <w:color w:val="auto"/>
              </w:rPr>
            </w:pPr>
            <w:r>
              <w:rPr>
                <w:rFonts w:ascii="Times New Roman" w:cs="Times New Roman" w:eastAsia="Times New Roman" w:hAnsi="Times New Roman"/>
                <w:sz w:val="14"/>
                <w:szCs w:val="14"/>
                <w:b w:val="1"/>
                <w:bCs w:val="1"/>
                <w:color w:val="auto"/>
              </w:rPr>
              <w:t>Received Through</w:t>
            </w: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40" w:type="dxa"/>
            <w:vAlign w:val="bottom"/>
          </w:tcPr>
          <w:p>
            <w:pPr>
              <w:jc w:val="center"/>
              <w:ind w:right="237"/>
              <w:spacing w:after="0" w:line="149" w:lineRule="exact"/>
              <w:rPr>
                <w:sz w:val="20"/>
                <w:szCs w:val="20"/>
                <w:color w:val="auto"/>
              </w:rPr>
            </w:pPr>
            <w:r>
              <w:rPr>
                <w:rFonts w:ascii="Times New Roman" w:cs="Times New Roman" w:eastAsia="Times New Roman" w:hAnsi="Times New Roman"/>
                <w:sz w:val="14"/>
                <w:szCs w:val="14"/>
                <w:b w:val="1"/>
                <w:bCs w:val="1"/>
                <w:color w:val="auto"/>
              </w:rPr>
              <w:t>Potential</w:t>
            </w: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78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Potential</w:t>
            </w:r>
          </w:p>
        </w:tc>
      </w:tr>
      <w:tr>
        <w:trPr>
          <w:trHeight w:val="173"/>
        </w:trPr>
        <w:tc>
          <w:tcPr>
            <w:tcW w:w="28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00" w:type="dxa"/>
            <w:vAlign w:val="bottom"/>
          </w:tcPr>
          <w:p>
            <w:pPr>
              <w:jc w:val="center"/>
              <w:ind w:right="175"/>
              <w:spacing w:after="0"/>
              <w:rPr>
                <w:sz w:val="20"/>
                <w:szCs w:val="20"/>
                <w:color w:val="auto"/>
              </w:rPr>
            </w:pPr>
            <w:r>
              <w:rPr>
                <w:rFonts w:ascii="Times New Roman" w:cs="Times New Roman" w:eastAsia="Times New Roman" w:hAnsi="Times New Roman"/>
                <w:sz w:val="14"/>
                <w:szCs w:val="14"/>
                <w:b w:val="1"/>
                <w:bCs w:val="1"/>
                <w:color w:val="auto"/>
              </w:rPr>
              <w:t>March 31, 2019</w:t>
            </w: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40" w:type="dxa"/>
            <w:vAlign w:val="bottom"/>
          </w:tcPr>
          <w:p>
            <w:pPr>
              <w:jc w:val="center"/>
              <w:ind w:right="217"/>
              <w:spacing w:after="0"/>
              <w:rPr>
                <w:sz w:val="20"/>
                <w:szCs w:val="20"/>
                <w:color w:val="auto"/>
              </w:rPr>
            </w:pPr>
            <w:r>
              <w:rPr>
                <w:rFonts w:ascii="Times New Roman" w:cs="Times New Roman" w:eastAsia="Times New Roman" w:hAnsi="Times New Roman"/>
                <w:sz w:val="14"/>
                <w:szCs w:val="14"/>
                <w:b w:val="1"/>
                <w:bCs w:val="1"/>
                <w:color w:val="auto"/>
              </w:rPr>
              <w:t>Cash Payments</w:t>
            </w: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8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Cash Payments</w:t>
            </w:r>
          </w:p>
        </w:tc>
      </w:tr>
      <w:tr>
        <w:trPr>
          <w:trHeight w:val="156"/>
        </w:trPr>
        <w:tc>
          <w:tcPr>
            <w:tcW w:w="28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70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640" w:type="dxa"/>
            <w:vAlign w:val="bottom"/>
            <w:tcBorders>
              <w:top w:val="single" w:sz="8" w:color="auto"/>
            </w:tcBorders>
          </w:tcPr>
          <w:p>
            <w:pPr>
              <w:jc w:val="center"/>
              <w:ind w:right="217"/>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30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6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230"/>
        </w:trPr>
        <w:tc>
          <w:tcPr>
            <w:tcW w:w="2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Astellas--related-party:</w:t>
            </w: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7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28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Japan Agreement</w:t>
            </w:r>
          </w:p>
        </w:tc>
        <w:tc>
          <w:tcPr>
            <w:tcW w:w="1160" w:type="dxa"/>
            <w:vAlign w:val="bottom"/>
            <w:gridSpan w:val="2"/>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77,593</w:t>
            </w:r>
          </w:p>
        </w:tc>
        <w:tc>
          <w:tcPr>
            <w:tcW w:w="580" w:type="dxa"/>
            <w:vAlign w:val="bottom"/>
            <w:gridSpan w:val="2"/>
          </w:tcPr>
          <w:p>
            <w:pPr>
              <w:jc w:val="right"/>
              <w:ind w:right="115"/>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95,000</w:t>
            </w:r>
          </w:p>
        </w:tc>
        <w:tc>
          <w:tcPr>
            <w:tcW w:w="580" w:type="dxa"/>
            <w:vAlign w:val="bottom"/>
            <w:gridSpan w:val="2"/>
          </w:tcPr>
          <w:p>
            <w:pPr>
              <w:jc w:val="right"/>
              <w:ind w:right="115"/>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172,593</w:t>
            </w:r>
          </w:p>
        </w:tc>
        <w:tc>
          <w:tcPr>
            <w:tcW w:w="120" w:type="dxa"/>
            <w:vAlign w:val="bottom"/>
          </w:tcPr>
          <w:p>
            <w:pPr>
              <w:spacing w:after="0"/>
              <w:rPr>
                <w:sz w:val="19"/>
                <w:szCs w:val="19"/>
                <w:color w:val="auto"/>
              </w:rPr>
            </w:pPr>
          </w:p>
        </w:tc>
      </w:tr>
      <w:tr>
        <w:trPr>
          <w:trHeight w:val="230"/>
        </w:trPr>
        <w:tc>
          <w:tcPr>
            <w:tcW w:w="28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Europe Agreement</w:t>
            </w:r>
          </w:p>
        </w:tc>
        <w:tc>
          <w:tcPr>
            <w:tcW w:w="9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410,000</w:t>
            </w:r>
          </w:p>
        </w:tc>
        <w:tc>
          <w:tcPr>
            <w:tcW w:w="3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335,000</w:t>
            </w:r>
          </w:p>
        </w:tc>
        <w:tc>
          <w:tcPr>
            <w:tcW w:w="3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745,000</w:t>
            </w:r>
          </w:p>
        </w:tc>
        <w:tc>
          <w:tcPr>
            <w:tcW w:w="120" w:type="dxa"/>
            <w:vAlign w:val="bottom"/>
            <w:shd w:val="clear" w:color="auto" w:fill="CFF0FC"/>
          </w:tcPr>
          <w:p>
            <w:pPr>
              <w:spacing w:after="0"/>
              <w:rPr>
                <w:sz w:val="19"/>
                <w:szCs w:val="19"/>
                <w:color w:val="auto"/>
              </w:rPr>
            </w:pPr>
          </w:p>
        </w:tc>
      </w:tr>
      <w:tr>
        <w:trPr>
          <w:trHeight w:val="223"/>
        </w:trPr>
        <w:tc>
          <w:tcPr>
            <w:tcW w:w="28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Astellas</w:t>
            </w: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487,593</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430,000</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917,593</w:t>
            </w:r>
          </w:p>
        </w:tc>
        <w:tc>
          <w:tcPr>
            <w:tcW w:w="120" w:type="dxa"/>
            <w:vAlign w:val="bottom"/>
          </w:tcPr>
          <w:p>
            <w:pPr>
              <w:spacing w:after="0"/>
              <w:rPr>
                <w:sz w:val="19"/>
                <w:szCs w:val="19"/>
                <w:color w:val="auto"/>
              </w:rPr>
            </w:pPr>
          </w:p>
        </w:tc>
      </w:tr>
      <w:tr>
        <w:trPr>
          <w:trHeight w:val="230"/>
        </w:trPr>
        <w:tc>
          <w:tcPr>
            <w:tcW w:w="2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AstraZeneca:</w:t>
            </w: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7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28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U.S. / RoW Agreement</w:t>
            </w: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389,000</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860,000</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1,249,000</w:t>
            </w:r>
          </w:p>
        </w:tc>
        <w:tc>
          <w:tcPr>
            <w:tcW w:w="120" w:type="dxa"/>
            <w:vAlign w:val="bottom"/>
          </w:tcPr>
          <w:p>
            <w:pPr>
              <w:spacing w:after="0"/>
              <w:rPr>
                <w:sz w:val="19"/>
                <w:szCs w:val="19"/>
                <w:color w:val="auto"/>
              </w:rPr>
            </w:pPr>
          </w:p>
        </w:tc>
      </w:tr>
      <w:tr>
        <w:trPr>
          <w:trHeight w:val="230"/>
        </w:trPr>
        <w:tc>
          <w:tcPr>
            <w:tcW w:w="28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China Agreement</w:t>
            </w:r>
          </w:p>
        </w:tc>
        <w:tc>
          <w:tcPr>
            <w:tcW w:w="9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55,200</w:t>
            </w:r>
          </w:p>
        </w:tc>
        <w:tc>
          <w:tcPr>
            <w:tcW w:w="3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321,500</w:t>
            </w:r>
          </w:p>
        </w:tc>
        <w:tc>
          <w:tcPr>
            <w:tcW w:w="3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376,700</w:t>
            </w:r>
          </w:p>
        </w:tc>
        <w:tc>
          <w:tcPr>
            <w:tcW w:w="120" w:type="dxa"/>
            <w:vAlign w:val="bottom"/>
            <w:shd w:val="clear" w:color="auto" w:fill="CFF0FC"/>
          </w:tcPr>
          <w:p>
            <w:pPr>
              <w:spacing w:after="0"/>
              <w:rPr>
                <w:sz w:val="19"/>
                <w:szCs w:val="19"/>
                <w:color w:val="auto"/>
              </w:rPr>
            </w:pPr>
          </w:p>
        </w:tc>
      </w:tr>
      <w:tr>
        <w:trPr>
          <w:trHeight w:val="223"/>
        </w:trPr>
        <w:tc>
          <w:tcPr>
            <w:tcW w:w="284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8"/>
                <w:szCs w:val="18"/>
                <w:color w:val="auto"/>
              </w:rPr>
              <w:t>Total AstraZeneca</w:t>
            </w:r>
          </w:p>
        </w:tc>
        <w:tc>
          <w:tcPr>
            <w:tcW w:w="9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444,200</w:t>
            </w:r>
          </w:p>
        </w:tc>
        <w:tc>
          <w:tcPr>
            <w:tcW w:w="30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1,181,500</w:t>
            </w:r>
          </w:p>
        </w:tc>
        <w:tc>
          <w:tcPr>
            <w:tcW w:w="30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1,625,700</w:t>
            </w:r>
          </w:p>
        </w:tc>
        <w:tc>
          <w:tcPr>
            <w:tcW w:w="120" w:type="dxa"/>
            <w:vAlign w:val="bottom"/>
            <w:tcBorders>
              <w:bottom w:val="single" w:sz="8" w:color="CFF0FC"/>
            </w:tcBorders>
          </w:tcPr>
          <w:p>
            <w:pPr>
              <w:spacing w:after="0"/>
              <w:rPr>
                <w:sz w:val="19"/>
                <w:szCs w:val="19"/>
                <w:color w:val="auto"/>
              </w:rPr>
            </w:pPr>
          </w:p>
        </w:tc>
      </w:tr>
      <w:tr>
        <w:trPr>
          <w:trHeight w:val="223"/>
        </w:trPr>
        <w:tc>
          <w:tcPr>
            <w:tcW w:w="284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Total revenue</w:t>
            </w:r>
          </w:p>
        </w:tc>
        <w:tc>
          <w:tcPr>
            <w:tcW w:w="9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931,793</w:t>
            </w:r>
          </w:p>
        </w:tc>
        <w:tc>
          <w:tcPr>
            <w:tcW w:w="30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1,611,500</w:t>
            </w:r>
          </w:p>
        </w:tc>
        <w:tc>
          <w:tcPr>
            <w:tcW w:w="30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2,543,293</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28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8"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These collaboration agreements also provide for reimbursement of certain fully burdened research and development costs as well as direct out of pocket expenses.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w:t>
      </w:r>
    </w:p>
    <w:p>
      <w:pPr>
        <w:spacing w:after="0" w:line="304"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36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40" w:type="dxa"/>
            <w:vAlign w:val="bottom"/>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r>
      <w:tr>
        <w:trPr>
          <w:trHeight w:val="156"/>
        </w:trPr>
        <w:tc>
          <w:tcPr>
            <w:tcW w:w="36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337"/>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300" w:type="dxa"/>
            <w:vAlign w:val="bottom"/>
            <w:tcBorders>
              <w:top w:val="single" w:sz="8" w:color="auto"/>
              <w:bottom w:val="single" w:sz="8" w:color="auto"/>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337"/>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3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tcBorders>
              <w:top w:val="single" w:sz="8" w:color="auto"/>
              <w:bottom w:val="single" w:sz="8" w:color="auto"/>
            </w:tcBorders>
          </w:tcPr>
          <w:p>
            <w:pPr>
              <w:spacing w:after="0"/>
              <w:rPr>
                <w:sz w:val="13"/>
                <w:szCs w:val="13"/>
                <w:color w:val="auto"/>
              </w:rPr>
            </w:pPr>
          </w:p>
        </w:tc>
        <w:tc>
          <w:tcPr>
            <w:tcW w:w="40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jc w:val="right"/>
              <w:ind w:right="254"/>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460" w:type="dxa"/>
            <w:vAlign w:val="bottom"/>
            <w:tcBorders>
              <w:bottom w:val="single" w:sz="8" w:color="auto"/>
            </w:tcBorders>
          </w:tcPr>
          <w:p>
            <w:pPr>
              <w:spacing w:after="0"/>
              <w:rPr>
                <w:sz w:val="13"/>
                <w:szCs w:val="13"/>
                <w:color w:val="auto"/>
              </w:rPr>
            </w:pPr>
          </w:p>
        </w:tc>
      </w:tr>
      <w:tr>
        <w:trPr>
          <w:trHeight w:val="156"/>
        </w:trPr>
        <w:tc>
          <w:tcPr>
            <w:tcW w:w="36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40" w:type="dxa"/>
            <w:vAlign w:val="bottom"/>
            <w:gridSpan w:val="4"/>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r>
      <w:tr>
        <w:trPr>
          <w:trHeight w:val="230"/>
        </w:trPr>
        <w:tc>
          <w:tcPr>
            <w:tcW w:w="3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10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r>
      <w:tr>
        <w:trPr>
          <w:trHeight w:val="230"/>
        </w:trPr>
        <w:tc>
          <w:tcPr>
            <w:tcW w:w="3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License revenue</w:t>
            </w:r>
          </w:p>
        </w:tc>
        <w:tc>
          <w:tcPr>
            <w:tcW w:w="1260" w:type="dxa"/>
            <w:vAlign w:val="bottom"/>
            <w:gridSpan w:val="2"/>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517"/>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 %</w:t>
            </w:r>
          </w:p>
        </w:tc>
      </w:tr>
      <w:tr>
        <w:trPr>
          <w:trHeight w:val="230"/>
        </w:trPr>
        <w:tc>
          <w:tcPr>
            <w:tcW w:w="36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Development and other revenue</w:t>
            </w:r>
          </w:p>
        </w:tc>
        <w:tc>
          <w:tcPr>
            <w:tcW w:w="10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23,863</w:t>
            </w: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31,925</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(8,062)</w:t>
            </w:r>
          </w:p>
        </w:tc>
        <w:tc>
          <w:tcPr>
            <w:tcW w:w="11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(25) %</w:t>
            </w:r>
          </w:p>
        </w:tc>
      </w:tr>
      <w:tr>
        <w:trPr>
          <w:trHeight w:val="223"/>
        </w:trPr>
        <w:tc>
          <w:tcPr>
            <w:tcW w:w="36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revenue</w:t>
            </w:r>
          </w:p>
        </w:tc>
        <w:tc>
          <w:tcPr>
            <w:tcW w:w="10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23,863</w:t>
            </w:r>
          </w:p>
        </w:tc>
        <w:tc>
          <w:tcPr>
            <w:tcW w:w="3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31,925</w:t>
            </w:r>
          </w:p>
        </w:tc>
        <w:tc>
          <w:tcPr>
            <w:tcW w:w="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ind w:right="517"/>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(8,062)</w:t>
            </w:r>
          </w:p>
        </w:tc>
        <w:tc>
          <w:tcPr>
            <w:tcW w:w="40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 %</w:t>
            </w:r>
          </w:p>
        </w:tc>
      </w:tr>
      <w:tr>
        <w:trPr>
          <w:trHeight w:val="20"/>
        </w:trPr>
        <w:tc>
          <w:tcPr>
            <w:tcW w:w="36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revenue to date has been generated substantially from our collaboration agreements with Astellas and AstraZeneca.</w:t>
      </w:r>
    </w:p>
    <w:p>
      <w:pPr>
        <w:spacing w:after="0" w:line="22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Under our revenue recognition policy, license revenue includes amounts from upfront, non-refundable license payments and amounts allocated pursuant to the standalone selling price method from other consideration received during the periods. This revenue is generally recognized as deliverables are met and services are performed. We did not have any license revenue for the three months ended March 31, 2019 and 2018.</w:t>
      </w:r>
    </w:p>
    <w:p>
      <w:pPr>
        <w:spacing w:after="0" w:line="176"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Development revenue include co-development and other development related services. Co-development services are recognized as revenue in the period in which they are billed to our partners, excluding China. For China co-development services, revenue is deferred until the end of the development period once all performance obligations have been satisfied. Other development related services are recognized as revenue over the non-contingent development period, ranging from 36 to 89 months, based on a proportional performance method. Other revenues consist of sales of research and development material and have been included with Development and other revenue in the condensed consolidated statements of operations, as they have not been material for any of the years presented.</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8" w:name="page29"/>
    <w:bookmarkEnd w:id="2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We have not generated any revenues based on the sale of FDA or NMPA approved products. In the future, we may generate revenue from product sales and from collaboration agreements in the form of license fees, milestone payments, reimbursements for collaboration services and royalties on product sales. We expect that any revenues we generate will fluctuate from quarter to quarter due to the uncertain timing and amount of such payments and sales.</w:t>
      </w:r>
    </w:p>
    <w:p>
      <w:pPr>
        <w:spacing w:after="0" w:line="17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Total revenue decreased $8.1 million, or 25% for the three months ended March 31, 2019 compared to the same period a year ago for the reasons discussed in the sections below.</w:t>
      </w:r>
    </w:p>
    <w:tbl>
      <w:tblPr>
        <w:tblLayout w:type="fixed"/>
        <w:tblInd w:w="580" w:type="dxa"/>
        <w:tblCellMar>
          <w:top w:w="0" w:type="dxa"/>
          <w:left w:w="0" w:type="dxa"/>
          <w:bottom w:w="0" w:type="dxa"/>
          <w:right w:w="0" w:type="dxa"/>
        </w:tblCellMar>
      </w:tblPr>
      <w:tr>
        <w:trPr>
          <w:trHeight w:val="162"/>
        </w:trPr>
        <w:tc>
          <w:tcPr>
            <w:tcW w:w="39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6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56"/>
        </w:trPr>
        <w:tc>
          <w:tcPr>
            <w:tcW w:w="39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355"/>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300" w:type="dxa"/>
            <w:vAlign w:val="bottom"/>
            <w:tcBorders>
              <w:top w:val="single" w:sz="8" w:color="auto"/>
              <w:bottom w:val="single" w:sz="8" w:color="auto"/>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335"/>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3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tcBorders>
              <w:top w:val="single" w:sz="8" w:color="auto"/>
              <w:bottom w:val="single" w:sz="8" w:color="auto"/>
            </w:tcBorders>
          </w:tcPr>
          <w:p>
            <w:pPr>
              <w:spacing w:after="0"/>
              <w:rPr>
                <w:sz w:val="13"/>
                <w:szCs w:val="13"/>
                <w:color w:val="auto"/>
              </w:rPr>
            </w:pPr>
          </w:p>
        </w:tc>
        <w:tc>
          <w:tcPr>
            <w:tcW w:w="42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jc w:val="right"/>
              <w:ind w:right="273"/>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440" w:type="dxa"/>
            <w:vAlign w:val="bottom"/>
            <w:tcBorders>
              <w:bottom w:val="single" w:sz="8" w:color="auto"/>
            </w:tcBorders>
          </w:tcPr>
          <w:p>
            <w:pPr>
              <w:spacing w:after="0"/>
              <w:rPr>
                <w:sz w:val="13"/>
                <w:szCs w:val="13"/>
                <w:color w:val="auto"/>
              </w:rPr>
            </w:pPr>
          </w:p>
        </w:tc>
      </w:tr>
      <w:tr>
        <w:trPr>
          <w:trHeight w:val="156"/>
        </w:trPr>
        <w:tc>
          <w:tcPr>
            <w:tcW w:w="39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0" w:type="dxa"/>
            <w:vAlign w:val="bottom"/>
            <w:gridSpan w:val="4"/>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5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40" w:type="dxa"/>
            <w:vAlign w:val="bottom"/>
          </w:tcPr>
          <w:p>
            <w:pPr>
              <w:spacing w:after="0"/>
              <w:rPr>
                <w:sz w:val="13"/>
                <w:szCs w:val="13"/>
                <w:color w:val="auto"/>
              </w:rPr>
            </w:pPr>
          </w:p>
        </w:tc>
      </w:tr>
      <w:tr>
        <w:trPr>
          <w:trHeight w:val="230"/>
        </w:trPr>
        <w:tc>
          <w:tcPr>
            <w:tcW w:w="3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Development revenue:</w:t>
            </w:r>
          </w:p>
        </w:tc>
        <w:tc>
          <w:tcPr>
            <w:tcW w:w="8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r>
      <w:tr>
        <w:trPr>
          <w:trHeight w:val="230"/>
        </w:trPr>
        <w:tc>
          <w:tcPr>
            <w:tcW w:w="39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Astellas</w:t>
            </w:r>
          </w:p>
        </w:tc>
        <w:tc>
          <w:tcPr>
            <w:tcW w:w="980" w:type="dxa"/>
            <w:vAlign w:val="bottom"/>
            <w:gridSpan w:val="2"/>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4,859</w:t>
            </w:r>
          </w:p>
        </w:tc>
        <w:tc>
          <w:tcPr>
            <w:tcW w:w="540" w:type="dxa"/>
            <w:vAlign w:val="bottom"/>
            <w:gridSpan w:val="2"/>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5,172</w:t>
            </w:r>
          </w:p>
        </w:tc>
        <w:tc>
          <w:tcPr>
            <w:tcW w:w="300" w:type="dxa"/>
            <w:vAlign w:val="bottom"/>
          </w:tcPr>
          <w:p>
            <w:pPr>
              <w:spacing w:after="0"/>
              <w:rPr>
                <w:sz w:val="19"/>
                <w:szCs w:val="19"/>
                <w:color w:val="auto"/>
              </w:rPr>
            </w:pPr>
          </w:p>
        </w:tc>
        <w:tc>
          <w:tcPr>
            <w:tcW w:w="620" w:type="dxa"/>
            <w:vAlign w:val="bottom"/>
            <w:gridSpan w:val="2"/>
          </w:tcPr>
          <w:p>
            <w:pPr>
              <w:jc w:val="right"/>
              <w:ind w:right="477"/>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(313)</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 %</w:t>
            </w:r>
          </w:p>
        </w:tc>
      </w:tr>
      <w:tr>
        <w:trPr>
          <w:trHeight w:val="230"/>
        </w:trPr>
        <w:tc>
          <w:tcPr>
            <w:tcW w:w="39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AstraZeneca</w:t>
            </w:r>
          </w:p>
        </w:tc>
        <w:tc>
          <w:tcPr>
            <w:tcW w:w="8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19,004</w:t>
            </w: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26,723</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(7,719)</w:t>
            </w:r>
          </w:p>
        </w:tc>
        <w:tc>
          <w:tcPr>
            <w:tcW w:w="11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(29) %</w:t>
            </w:r>
          </w:p>
        </w:tc>
      </w:tr>
      <w:tr>
        <w:trPr>
          <w:trHeight w:val="223"/>
        </w:trPr>
        <w:tc>
          <w:tcPr>
            <w:tcW w:w="39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development revenue</w:t>
            </w:r>
          </w:p>
        </w:tc>
        <w:tc>
          <w:tcPr>
            <w:tcW w:w="8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23,863</w:t>
            </w:r>
          </w:p>
        </w:tc>
        <w:tc>
          <w:tcPr>
            <w:tcW w:w="3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31,895</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(8,032)</w:t>
            </w:r>
          </w:p>
        </w:tc>
        <w:tc>
          <w:tcPr>
            <w:tcW w:w="42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(25) %</w:t>
            </w:r>
          </w:p>
        </w:tc>
      </w:tr>
      <w:tr>
        <w:trPr>
          <w:trHeight w:val="230"/>
        </w:trPr>
        <w:tc>
          <w:tcPr>
            <w:tcW w:w="3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revenue</w:t>
            </w:r>
          </w:p>
        </w:tc>
        <w:tc>
          <w:tcPr>
            <w:tcW w:w="8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(30)</w:t>
            </w:r>
          </w:p>
        </w:tc>
        <w:tc>
          <w:tcPr>
            <w:tcW w:w="11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(100) %</w:t>
            </w:r>
          </w:p>
        </w:tc>
      </w:tr>
      <w:tr>
        <w:trPr>
          <w:trHeight w:val="223"/>
        </w:trPr>
        <w:tc>
          <w:tcPr>
            <w:tcW w:w="39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development and other revenue</w:t>
            </w:r>
          </w:p>
        </w:tc>
        <w:tc>
          <w:tcPr>
            <w:tcW w:w="8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23,863</w:t>
            </w:r>
          </w:p>
        </w:tc>
        <w:tc>
          <w:tcPr>
            <w:tcW w:w="3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31,925</w:t>
            </w:r>
          </w:p>
        </w:tc>
        <w:tc>
          <w:tcPr>
            <w:tcW w:w="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ind w:right="477"/>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(8,062)</w:t>
            </w:r>
          </w:p>
        </w:tc>
        <w:tc>
          <w:tcPr>
            <w:tcW w:w="42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(25) %</w:t>
            </w:r>
          </w:p>
        </w:tc>
      </w:tr>
      <w:tr>
        <w:trPr>
          <w:trHeight w:val="20"/>
        </w:trPr>
        <w:tc>
          <w:tcPr>
            <w:tcW w:w="39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bl>
    <w:p>
      <w:pPr>
        <w:spacing w:after="0" w:line="198"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Development revenue recognized under our collaboration agreements with AstraZeneca and Astellas decreased $7.7 million, or 29%, and $0.3 million, or 6%, respectively primarily due to decreases in co-development billings related to the development of roxadustat as a result of the substantial completion of Phase 3 trials for roxadustat.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p>
      <w:pPr>
        <w:spacing w:after="0" w:line="304"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37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8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80" w:type="dxa"/>
            <w:vAlign w:val="bottom"/>
          </w:tcPr>
          <w:p>
            <w:pPr>
              <w:spacing w:after="0"/>
              <w:rPr>
                <w:sz w:val="15"/>
                <w:szCs w:val="15"/>
                <w:color w:val="auto"/>
              </w:rPr>
            </w:pPr>
          </w:p>
        </w:tc>
        <w:tc>
          <w:tcPr>
            <w:tcW w:w="460" w:type="dxa"/>
            <w:vAlign w:val="bottom"/>
          </w:tcPr>
          <w:p>
            <w:pPr>
              <w:spacing w:after="0"/>
              <w:rPr>
                <w:sz w:val="15"/>
                <w:szCs w:val="15"/>
                <w:color w:val="auto"/>
              </w:rPr>
            </w:pPr>
          </w:p>
        </w:tc>
      </w:tr>
      <w:tr>
        <w:trPr>
          <w:trHeight w:val="156"/>
        </w:trPr>
        <w:tc>
          <w:tcPr>
            <w:tcW w:w="37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357"/>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280" w:type="dxa"/>
            <w:vAlign w:val="bottom"/>
            <w:tcBorders>
              <w:top w:val="single" w:sz="8" w:color="auto"/>
              <w:bottom w:val="single" w:sz="8" w:color="auto"/>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357"/>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2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tcBorders>
              <w:top w:val="single" w:sz="8" w:color="auto"/>
              <w:bottom w:val="single" w:sz="8" w:color="auto"/>
            </w:tcBorders>
          </w:tcPr>
          <w:p>
            <w:pPr>
              <w:spacing w:after="0"/>
              <w:rPr>
                <w:sz w:val="13"/>
                <w:szCs w:val="13"/>
                <w:color w:val="auto"/>
              </w:rPr>
            </w:pPr>
          </w:p>
        </w:tc>
        <w:tc>
          <w:tcPr>
            <w:tcW w:w="38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ind w:right="234"/>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460" w:type="dxa"/>
            <w:vAlign w:val="bottom"/>
            <w:tcBorders>
              <w:bottom w:val="single" w:sz="8" w:color="auto"/>
            </w:tcBorders>
          </w:tcPr>
          <w:p>
            <w:pPr>
              <w:spacing w:after="0"/>
              <w:rPr>
                <w:sz w:val="13"/>
                <w:szCs w:val="13"/>
                <w:color w:val="auto"/>
              </w:rPr>
            </w:pPr>
          </w:p>
        </w:tc>
      </w:tr>
      <w:tr>
        <w:trPr>
          <w:trHeight w:val="156"/>
        </w:trPr>
        <w:tc>
          <w:tcPr>
            <w:tcW w:w="37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20" w:type="dxa"/>
            <w:vAlign w:val="bottom"/>
            <w:gridSpan w:val="4"/>
          </w:tcPr>
          <w:p>
            <w:pPr>
              <w:jc w:val="right"/>
              <w:ind w:right="2"/>
              <w:spacing w:after="0" w:line="155"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5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60" w:type="dxa"/>
            <w:vAlign w:val="bottom"/>
          </w:tcPr>
          <w:p>
            <w:pPr>
              <w:spacing w:after="0"/>
              <w:rPr>
                <w:sz w:val="13"/>
                <w:szCs w:val="13"/>
                <w:color w:val="auto"/>
              </w:rPr>
            </w:pPr>
          </w:p>
        </w:tc>
      </w:tr>
      <w:tr>
        <w:trPr>
          <w:trHeight w:val="230"/>
        </w:trPr>
        <w:tc>
          <w:tcPr>
            <w:tcW w:w="3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0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r>
      <w:tr>
        <w:trPr>
          <w:trHeight w:val="230"/>
        </w:trPr>
        <w:tc>
          <w:tcPr>
            <w:tcW w:w="37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180" w:type="dxa"/>
            <w:vAlign w:val="bottom"/>
            <w:gridSpan w:val="2"/>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50,496</w:t>
            </w:r>
          </w:p>
        </w:tc>
        <w:tc>
          <w:tcPr>
            <w:tcW w:w="5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56,974</w:t>
            </w:r>
          </w:p>
        </w:tc>
        <w:tc>
          <w:tcPr>
            <w:tcW w:w="280" w:type="dxa"/>
            <w:vAlign w:val="bottom"/>
          </w:tcPr>
          <w:p>
            <w:pPr>
              <w:spacing w:after="0"/>
              <w:rPr>
                <w:sz w:val="19"/>
                <w:szCs w:val="19"/>
                <w:color w:val="auto"/>
              </w:rPr>
            </w:pPr>
          </w:p>
        </w:tc>
        <w:tc>
          <w:tcPr>
            <w:tcW w:w="640" w:type="dxa"/>
            <w:vAlign w:val="bottom"/>
            <w:gridSpan w:val="2"/>
          </w:tcPr>
          <w:p>
            <w:pPr>
              <w:jc w:val="right"/>
              <w:ind w:right="46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(6,478)</w:t>
            </w:r>
          </w:p>
        </w:tc>
        <w:tc>
          <w:tcPr>
            <w:tcW w:w="11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(11) %</w:t>
            </w:r>
          </w:p>
        </w:tc>
      </w:tr>
      <w:tr>
        <w:trPr>
          <w:trHeight w:val="230"/>
        </w:trPr>
        <w:tc>
          <w:tcPr>
            <w:tcW w:w="37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0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22,210</w:t>
            </w:r>
          </w:p>
        </w:tc>
        <w:tc>
          <w:tcPr>
            <w:tcW w:w="2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15,550</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6,660</w:t>
            </w:r>
          </w:p>
        </w:tc>
        <w:tc>
          <w:tcPr>
            <w:tcW w:w="3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46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37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00" w:type="dxa"/>
            <w:vAlign w:val="bottom"/>
          </w:tcPr>
          <w:p>
            <w:pPr>
              <w:spacing w:after="0"/>
              <w:rPr>
                <w:sz w:val="19"/>
                <w:szCs w:val="19"/>
                <w:color w:val="auto"/>
              </w:rPr>
            </w:pPr>
          </w:p>
        </w:tc>
        <w:tc>
          <w:tcPr>
            <w:tcW w:w="1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72,706</w:t>
            </w:r>
          </w:p>
        </w:tc>
        <w:tc>
          <w:tcPr>
            <w:tcW w:w="28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72,524</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462"/>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3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37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bl>
    <w:p>
      <w:pPr>
        <w:spacing w:after="0" w:line="198"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Total operating expenses remained relatively flat for the three months ended March 31, 2019 compared to the same period a year ago, for the reasons discussed in the sections below.</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Research and Development Expenses</w:t>
      </w:r>
    </w:p>
    <w:p>
      <w:pPr>
        <w:spacing w:after="0" w:line="121"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Research and development expenses consist of third party research and development costs and the fully-burdened amount of costs associated with work performed under collaboration agreements. Research and development costs include employee-related expenses for research and development functions, expenses incurred under agreements with clinical research organizations, other clinical and preclinical costs and allocated direct and indirect overhead costs, such as facilities costs, information technology costs and other overhead. Research and development costs are expensed as incurred. Costs for certain development activities are recognized based on an evaluation of the progress to completion of specific tasks using information and data provided to us by our vendors and our clinical sites.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research and development expenses incurred during the three months ended March 31, 2019 and 2018:</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520" w:type="dxa"/>
            <w:vAlign w:val="bottom"/>
            <w:tcBorders>
              <w:bottom w:val="single" w:sz="8" w:color="auto"/>
            </w:tcBorders>
            <w:gridSpan w:val="4"/>
          </w:tcPr>
          <w:p>
            <w:pPr>
              <w:jc w:val="right"/>
              <w:ind w:right="35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4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tcBorders>
              <w:bottom w:val="single" w:sz="8" w:color="auto"/>
            </w:tcBorders>
          </w:tcPr>
          <w:p>
            <w:pPr>
              <w:jc w:val="right"/>
              <w:ind w:right="82"/>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68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gridSpan w:val="2"/>
          </w:tcPr>
          <w:p>
            <w:pPr>
              <w:jc w:val="right"/>
              <w:ind w:right="70"/>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6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0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Product Candidate</w:t>
            </w:r>
          </w:p>
        </w:tc>
        <w:tc>
          <w:tcPr>
            <w:tcW w:w="18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Phase of Development</w:t>
            </w: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260" w:type="dxa"/>
            <w:vAlign w:val="bottom"/>
            <w:gridSpan w:val="3"/>
          </w:tcPr>
          <w:p>
            <w:pPr>
              <w:jc w:val="right"/>
              <w:ind w:right="830"/>
              <w:spacing w:after="0"/>
              <w:rPr>
                <w:sz w:val="20"/>
                <w:szCs w:val="20"/>
                <w:color w:val="auto"/>
              </w:rPr>
            </w:pPr>
            <w:r>
              <w:rPr>
                <w:rFonts w:ascii="Times New Roman" w:cs="Times New Roman" w:eastAsia="Times New Roman" w:hAnsi="Times New Roman"/>
                <w:sz w:val="18"/>
                <w:szCs w:val="18"/>
                <w:color w:val="auto"/>
              </w:rPr>
              <w:t>(in thousands)</w:t>
            </w: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2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Roxadustat</w:t>
            </w:r>
          </w:p>
        </w:tc>
        <w:tc>
          <w:tcPr>
            <w:tcW w:w="220" w:type="dxa"/>
            <w:vAlign w:val="bottom"/>
            <w:tcBorders>
              <w:top w:val="single" w:sz="8" w:color="CFF0FC"/>
            </w:tcBorders>
            <w:shd w:val="clear" w:color="auto" w:fill="CFF0FC"/>
          </w:tcPr>
          <w:p>
            <w:pPr>
              <w:spacing w:after="0"/>
              <w:rPr>
                <w:sz w:val="19"/>
                <w:szCs w:val="19"/>
                <w:color w:val="auto"/>
              </w:rPr>
            </w:pPr>
          </w:p>
        </w:tc>
        <w:tc>
          <w:tcPr>
            <w:tcW w:w="186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Phase 3</w:t>
            </w:r>
          </w:p>
        </w:tc>
        <w:tc>
          <w:tcPr>
            <w:tcW w:w="1480" w:type="dxa"/>
            <w:vAlign w:val="bottom"/>
            <w:tcBorders>
              <w:top w:val="single" w:sz="8" w:color="CFF0FC"/>
            </w:tcBorders>
            <w:gridSpan w:val="2"/>
            <w:shd w:val="clear" w:color="auto" w:fill="CFF0FC"/>
          </w:tcPr>
          <w:p>
            <w:pPr>
              <w:jc w:val="right"/>
              <w:ind w:right="1082"/>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33,143</w:t>
            </w:r>
          </w:p>
        </w:tc>
        <w:tc>
          <w:tcPr>
            <w:tcW w:w="1580" w:type="dxa"/>
            <w:vAlign w:val="bottom"/>
            <w:tcBorders>
              <w:top w:val="single" w:sz="8" w:color="CFF0FC"/>
            </w:tcBorders>
            <w:gridSpan w:val="2"/>
            <w:shd w:val="clear" w:color="auto" w:fill="CFF0FC"/>
          </w:tcPr>
          <w:p>
            <w:pPr>
              <w:jc w:val="right"/>
              <w:ind w:right="107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37,424</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Pamrevlumab</w:t>
            </w:r>
          </w:p>
        </w:tc>
        <w:tc>
          <w:tcPr>
            <w:tcW w:w="1860" w:type="dxa"/>
            <w:vAlign w:val="bottom"/>
          </w:tcPr>
          <w:p>
            <w:pPr>
              <w:spacing w:after="0"/>
              <w:rPr>
                <w:sz w:val="20"/>
                <w:szCs w:val="20"/>
                <w:color w:val="auto"/>
              </w:rPr>
            </w:pPr>
            <w:r>
              <w:rPr>
                <w:rFonts w:ascii="Times New Roman" w:cs="Times New Roman" w:eastAsia="Times New Roman" w:hAnsi="Times New Roman"/>
                <w:sz w:val="18"/>
                <w:szCs w:val="18"/>
                <w:color w:val="auto"/>
              </w:rPr>
              <w:t>Phase 2</w:t>
            </w: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12,426</w:t>
            </w: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12,848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FG-5200</w:t>
            </w:r>
          </w:p>
        </w:tc>
        <w:tc>
          <w:tcPr>
            <w:tcW w:w="1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Preclinical</w:t>
            </w:r>
          </w:p>
        </w:tc>
        <w:tc>
          <w:tcPr>
            <w:tcW w:w="22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1,336</w:t>
            </w: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1,489</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40" w:type="dxa"/>
            <w:vAlign w:val="bottom"/>
            <w:tcBorders>
              <w:bottom w:val="single" w:sz="8" w:color="CFF0FC"/>
            </w:tcBorders>
            <w:gridSpan w:val="2"/>
          </w:tcPr>
          <w:p>
            <w:pPr>
              <w:spacing w:after="0"/>
              <w:rPr>
                <w:sz w:val="20"/>
                <w:szCs w:val="20"/>
                <w:color w:val="auto"/>
              </w:rPr>
            </w:pPr>
            <w:r>
              <w:rPr>
                <w:rFonts w:ascii="Times New Roman" w:cs="Times New Roman" w:eastAsia="Times New Roman" w:hAnsi="Times New Roman"/>
                <w:sz w:val="18"/>
                <w:szCs w:val="18"/>
                <w:color w:val="auto"/>
              </w:rPr>
              <w:t>Other research and development expenses</w:t>
            </w:r>
          </w:p>
        </w:tc>
        <w:tc>
          <w:tcPr>
            <w:tcW w:w="186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3,591</w:t>
            </w:r>
          </w:p>
        </w:tc>
        <w:tc>
          <w:tcPr>
            <w:tcW w:w="320" w:type="dxa"/>
            <w:vAlign w:val="bottom"/>
            <w:tcBorders>
              <w:bottom w:val="single" w:sz="8" w:color="CFF0FC"/>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5,213</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40" w:type="dxa"/>
            <w:vAlign w:val="bottom"/>
            <w:tcBorders>
              <w:bottom w:val="single" w:sz="8" w:color="CFF0FC"/>
            </w:tcBorders>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186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ind w:right="1082"/>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50,496</w:t>
            </w:r>
          </w:p>
        </w:tc>
        <w:tc>
          <w:tcPr>
            <w:tcW w:w="320" w:type="dxa"/>
            <w:vAlign w:val="bottom"/>
            <w:tcBorders>
              <w:bottom w:val="single" w:sz="8" w:color="CFF0FC"/>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ind w:right="107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56,974</w:t>
            </w:r>
          </w:p>
        </w:tc>
        <w:tc>
          <w:tcPr>
            <w:tcW w:w="100" w:type="dxa"/>
            <w:vAlign w:val="bottom"/>
            <w:tcBorders>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60" w:type="dxa"/>
            <w:vAlign w:val="bottom"/>
            <w:vMerge w:val="restart"/>
          </w:tcPr>
          <w:p>
            <w:pPr>
              <w:ind w:left="580"/>
              <w:spacing w:after="0"/>
              <w:rPr>
                <w:sz w:val="20"/>
                <w:szCs w:val="20"/>
                <w:color w:val="auto"/>
              </w:rPr>
            </w:pPr>
            <w:r>
              <w:rPr>
                <w:rFonts w:ascii="Times New Roman" w:cs="Times New Roman" w:eastAsia="Times New Roman" w:hAnsi="Times New Roman"/>
                <w:sz w:val="18"/>
                <w:szCs w:val="18"/>
                <w:color w:val="auto"/>
              </w:rPr>
              <w:t>28</w:t>
            </w:r>
          </w:p>
        </w:tc>
        <w:tc>
          <w:tcPr>
            <w:tcW w:w="2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6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8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8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29" w:name="page30"/>
    <w:bookmarkEnd w:id="2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program-specific expenses summarized in the table above include costs we directly attribute to our product candidates. We allocate research and development salaries, benefits, stock-based compensation and other indirect costs to our product candidates on a program-specific basis, and we include these costs in the program-specific expenses. We expect our research and development expenses to increase in the future as we advance our product candidates through clinical trials and expand our product candidate portfolio.</w:t>
      </w:r>
    </w:p>
    <w:p>
      <w:pPr>
        <w:spacing w:after="0" w:line="180"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Research and development expenses decreased $6.5 million, or 11%, for the three months ended March 31, 2019, compared to the same period a year ago. The decrease was primarily due to decreases in clinical trials costs of $8.3 million, and drug development expenses of $3.6 million, partially offset by increases in stock-based compensation expense of $3.2 million, and allocated facility related expense of $2.5 million. Clinical trial costs decreased as a result of the substantial completion of Phase 3 trials for roxadustat and the Phase 2 trials for pamrevlumab. Drug development expenses decreased primarily due to lower drug substance manufacturing activities related to pamrevlumab and roxadustat. Stock-based compensation expense increased due to the cumulative impact of stock option grant activities. Facility related expenses, as part of the allocated overhead costs, was higher due to $2.6 million amortization of finance lease ROU assets related to the adoption of ASC 842, and $1.2 million higher depreciation expenses related to the change estimated useful life for our leasehold improvements, from the building life to the shorter of the building life and remaining lease term, as a result of the adoption of ASC 842. We expect development expenses to increase as we begin Phase 3 trials for pamrevlumab.</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Selling, General and Administrative Expenses</w:t>
      </w:r>
    </w:p>
    <w:p>
      <w:pPr>
        <w:spacing w:after="0" w:line="12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We started to incur sales and marketing expenses in the first quarter of 2019 in China to prepare for commercial operations. Selling, general and administrative (“SG&amp;A”) expenses consist primarily of employee-related expenses for executive, operational, finance, legal, compliance, and human resource functions SG&amp;A expenses also include facility-related costs, professional fees, accounting and legal services, other outside services including co-promotional expenses, recruiting fees and expenses associated with obtaining and maintaining patents.</w:t>
      </w:r>
    </w:p>
    <w:p>
      <w:pPr>
        <w:spacing w:after="0" w:line="180"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We anticipate that our SG&amp;A expenses will increase in the future as we increase our headcount to support our continued research and development and potential commercialization of our product candidates. We also anticipate increased expenses, including exchange listing and SEC requirements, director and officer insurance premiums, legal, audit and tax fees, regulatory compliance programs, and investor relations costs associated with being a public company and ceasing to be an emerging growth company. Additionally, we anticipate an increase in payroll and related expenses as a result of our preparation for commercial operations, especially as it relates to the sales and marketing of our product candidates.</w:t>
      </w:r>
    </w:p>
    <w:p>
      <w:pPr>
        <w:spacing w:after="0" w:line="184"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SG&amp;A expenses increased $6.7 million, or 43%, for the three months ended March 31, 2019, compared to the same period a year ago, primarily due to increases in stock-based compensation expense of $2.3 million, employee-related costs of $1.2 million, outside service expenses of $1.3 million, and facility related expenses of $1.1 million. Stock-based compensation expense increased due to cumulative impact of stock option grant activities. Employee-related costs increased due to higher headcount primarily in the sales and marketing functions in China. Outside service expenses increased due to the co-promotional expenses incurred of our preparation for commercial operations. Facility related expenses, as part of the allocated overhead costs, was higher due to $2.6 million amortization of finance lease ROU assets related to the adoption of ASC 842, and $1.2 million higher depreciation expenses related to the change estimated useful life for our leasehold improvements, from the building life to the shorter of the building life and remaining lease term, as a result of the adoption of ASC 842.</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and Other Income (Expense), Net</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80" w:type="dxa"/>
            <w:vAlign w:val="bottom"/>
            <w:gridSpan w:val="6"/>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5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376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297"/>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16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297"/>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1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460" w:type="dxa"/>
            <w:vAlign w:val="bottom"/>
            <w:tcBorders>
              <w:top w:val="single" w:sz="8" w:color="auto"/>
              <w:bottom w:val="single" w:sz="8" w:color="auto"/>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560" w:type="dxa"/>
            <w:vAlign w:val="bottom"/>
            <w:tcBorders>
              <w:top w:val="single" w:sz="8" w:color="auto"/>
              <w:bottom w:val="single" w:sz="8" w:color="auto"/>
            </w:tcBorders>
          </w:tcPr>
          <w:p>
            <w:pPr>
              <w:jc w:val="right"/>
              <w:ind w:right="154"/>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420" w:type="dxa"/>
            <w:vAlign w:val="bottom"/>
            <w:tcBorders>
              <w:bottom w:val="single" w:sz="8" w:color="auto"/>
            </w:tcBorders>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376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700" w:type="dxa"/>
            <w:vAlign w:val="bottom"/>
            <w:gridSpan w:val="4"/>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4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and other, net:</w:t>
            </w:r>
          </w:p>
        </w:tc>
        <w:tc>
          <w:tcPr>
            <w:tcW w:w="15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Interest expense</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(770)</w:t>
            </w:r>
          </w:p>
        </w:tc>
        <w:tc>
          <w:tcPr>
            <w:tcW w:w="340" w:type="dxa"/>
            <w:vAlign w:val="bottom"/>
            <w:gridSpan w:val="2"/>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(2,769)</w:t>
            </w:r>
          </w:p>
        </w:tc>
        <w:tc>
          <w:tcPr>
            <w:tcW w:w="720" w:type="dxa"/>
            <w:vAlign w:val="bottom"/>
            <w:gridSpan w:val="2"/>
          </w:tcPr>
          <w:p>
            <w:pPr>
              <w:jc w:val="right"/>
              <w:ind w:right="439"/>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1,999</w:t>
            </w:r>
          </w:p>
        </w:tc>
        <w:tc>
          <w:tcPr>
            <w:tcW w:w="32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(72) %</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7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Interest income and other, net</w:t>
            </w:r>
          </w:p>
        </w:tc>
        <w:tc>
          <w:tcPr>
            <w:tcW w:w="15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4,177</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2,071</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2,106</w:t>
            </w:r>
          </w:p>
        </w:tc>
        <w:tc>
          <w:tcPr>
            <w:tcW w:w="32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102 %</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7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interest and other, net</w:t>
            </w:r>
          </w:p>
        </w:tc>
        <w:tc>
          <w:tcPr>
            <w:tcW w:w="154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3,407</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(698)</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4,105</w:t>
            </w:r>
          </w:p>
        </w:tc>
        <w:tc>
          <w:tcPr>
            <w:tcW w:w="32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(588) %</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5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8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15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3760" w:type="dxa"/>
            <w:vAlign w:val="bottom"/>
            <w:tcBorders>
              <w:bottom w:val="single" w:sz="8" w:color="9A9A9A"/>
            </w:tcBorders>
          </w:tcPr>
          <w:p>
            <w:pPr>
              <w:spacing w:after="0"/>
              <w:rPr>
                <w:sz w:val="10"/>
                <w:szCs w:val="10"/>
                <w:color w:val="auto"/>
              </w:rPr>
            </w:pPr>
          </w:p>
        </w:tc>
        <w:tc>
          <w:tcPr>
            <w:tcW w:w="15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30" w:name="page31"/>
    <w:bookmarkEnd w:id="3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Interest Expense</w:t>
      </w:r>
    </w:p>
    <w:p>
      <w:pPr>
        <w:spacing w:after="0" w:line="121"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Before December 31, 2018, interest expense included payments made for imputed interest related to the facility lease financing obligations for our leased facilities in San Francisco and China. After adoption of ASC 842 as of January 1, 2019, the interest expense relates to our finance lease liabilities accretion for our leased facilities in San Francisco and China. Interest expense decreased $2.0 million, or 72%, for the three months ended March 31, 2019, compared to the same period a year ago, primarily due to the different method of interest computation of interest expense under the old and new lease accounting rules. Interest expense includes interest related to the Technology Development Center of the Republic of Finland product development obligations.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Interest Income and Other, Net</w:t>
      </w:r>
    </w:p>
    <w:p>
      <w:pPr>
        <w:spacing w:after="0" w:line="12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Interest income and other, net primarily include interest income earned on our cash, cash equivalents and investments, foreign currency transaction gains (losses), remeasurement of certain monetary assets and liabilities in non-functional currency of our subsidiaries into the functional currency, realized gains (losses) on sales of investments. Interest income and other, net increased $2.1 million, or 102%, for the three months ended March 31, 2019, compared to the same period a year ago, primarily due to higher interest earned on our cash, cash equivalents and investments associated with the higher average balances.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Provision for (Benefit from) Income Taxes</w:t>
      </w:r>
    </w:p>
    <w:p>
      <w:pPr>
        <w:spacing w:after="0" w:line="304"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45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3220" w:type="dxa"/>
            <w:vAlign w:val="bottom"/>
            <w:tcBorders>
              <w:bottom w:val="single" w:sz="8" w:color="auto"/>
            </w:tcBorders>
            <w:gridSpan w:val="3"/>
          </w:tcPr>
          <w:p>
            <w:pPr>
              <w:jc w:val="center"/>
              <w:ind w:left="568"/>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6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r>
      <w:tr>
        <w:trPr>
          <w:trHeight w:val="156"/>
        </w:trPr>
        <w:tc>
          <w:tcPr>
            <w:tcW w:w="458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08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92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19"/>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66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r>
      <w:tr>
        <w:trPr>
          <w:trHeight w:val="223"/>
        </w:trPr>
        <w:tc>
          <w:tcPr>
            <w:tcW w:w="45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140" w:type="dxa"/>
            <w:vAlign w:val="bottom"/>
            <w:gridSpan w:val="2"/>
          </w:tcPr>
          <w:p>
            <w:pPr>
              <w:jc w:val="center"/>
              <w:ind w:right="339"/>
              <w:spacing w:after="0"/>
              <w:rPr>
                <w:sz w:val="20"/>
                <w:szCs w:val="20"/>
                <w:color w:val="auto"/>
              </w:rPr>
            </w:pPr>
            <w:r>
              <w:rPr>
                <w:rFonts w:ascii="Times New Roman" w:cs="Times New Roman" w:eastAsia="Times New Roman" w:hAnsi="Times New Roman"/>
                <w:sz w:val="18"/>
                <w:szCs w:val="18"/>
                <w:color w:val="auto"/>
                <w:w w:val="99"/>
              </w:rPr>
              <w:t>(dollars in thousands)</w:t>
            </w:r>
          </w:p>
        </w:tc>
        <w:tc>
          <w:tcPr>
            <w:tcW w:w="66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230"/>
        </w:trPr>
        <w:tc>
          <w:tcPr>
            <w:tcW w:w="4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2660" w:type="dxa"/>
            <w:vAlign w:val="bottom"/>
            <w:gridSpan w:val="2"/>
            <w:shd w:val="clear" w:color="auto" w:fill="CFF0FC"/>
          </w:tcPr>
          <w:p>
            <w:pPr>
              <w:jc w:val="right"/>
              <w:ind w:right="908"/>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(45,436)</w:t>
            </w:r>
          </w:p>
        </w:tc>
        <w:tc>
          <w:tcPr>
            <w:tcW w:w="1220" w:type="dxa"/>
            <w:vAlign w:val="bottom"/>
            <w:shd w:val="clear" w:color="auto" w:fill="CFF0FC"/>
          </w:tcPr>
          <w:p>
            <w:pPr>
              <w:jc w:val="right"/>
              <w:ind w:right="959"/>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(41,297)</w:t>
            </w:r>
          </w:p>
        </w:tc>
      </w:tr>
      <w:tr>
        <w:trPr>
          <w:trHeight w:val="230"/>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15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9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(25)</w:t>
            </w:r>
          </w:p>
        </w:tc>
        <w:tc>
          <w:tcPr>
            <w:tcW w:w="1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240" w:type="dxa"/>
            <w:vAlign w:val="bottom"/>
          </w:tcPr>
          <w:p>
            <w:pPr>
              <w:spacing w:after="0"/>
              <w:rPr>
                <w:sz w:val="19"/>
                <w:szCs w:val="19"/>
                <w:color w:val="auto"/>
              </w:rPr>
            </w:pPr>
          </w:p>
        </w:tc>
      </w:tr>
      <w:tr>
        <w:trPr>
          <w:trHeight w:val="230"/>
        </w:trPr>
        <w:tc>
          <w:tcPr>
            <w:tcW w:w="45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Effective tax rate</w:t>
            </w:r>
          </w:p>
        </w:tc>
        <w:tc>
          <w:tcPr>
            <w:tcW w:w="158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(0.2)%</w:t>
            </w:r>
          </w:p>
        </w:tc>
      </w:tr>
    </w:tbl>
    <w:p>
      <w:pPr>
        <w:spacing w:after="0" w:line="198"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benefit for the three months ended March 31, 2019 was primarily due to the tax effect arising from other comprehensive income related to available-for-sale securities, partially offset by foreign taxes. The provision for income taxes for the three months ended March 31, 2018 was due to foreign taxes.</w:t>
      </w:r>
    </w:p>
    <w:p>
      <w:pPr>
        <w:spacing w:after="0" w:line="162"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Based upon the weight of available evidence, which includes our historical operating performance, reported cumulative net losses since inception and expected continuing net loss, we have established and continue to maintain a full valuation allowance against our deferred tax assets as we do not currently believe that realization of those assets is more likely than not.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Conditions</w:t>
      </w:r>
    </w:p>
    <w:p>
      <w:pPr>
        <w:spacing w:after="0" w:line="121"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We have historically funded our operations principally from the sale of common stock (including our public offering proceeds) and from the execution of certain collaboration agreements involving license payments, milestones and reimbursement for development services.</w:t>
      </w:r>
    </w:p>
    <w:p>
      <w:pPr>
        <w:spacing w:after="0" w:line="16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As of March 31, 2019, we had cash and cash equivalents of $81.7 million. Cash is invested in accordance with our investment policy, primarily with a view to liquidity and capital preservation. Investments, consisting of available-for-sale debt investments, marketable equity investments, term deposit and certificate of deposit, and stated at fair value, are also available as a source of liquidity. As of March 31, 2019, we had short-term and long-term investments of $483.7 million and $132.2 million, respectively. As of March 31, 2019, a total of $31.5 million of our cash and cash equivalents was held outside of the U.S. in our foreign subsidiaries to be used primarily for our China operations.</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31" w:name="page32"/>
    <w:bookmarkEnd w:id="3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Capital Requirements</w:t>
      </w:r>
    </w:p>
    <w:p>
      <w:pPr>
        <w:spacing w:after="0" w:line="12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To date, we have not generated any revenue from product sales. We do not know when, or if, we will generate any revenue from product sales. We do not expect to generate significant revenue from product sales unless and until we obtain regulatory approval of and commercialize one or more of our current or future product candidates. We anticipate that we will continue to generate losses for the foreseeable future, and we expect the losses to increase as we continue the development of, and seek regulatory approvals for, our product candidates, and begin to commercialize any approved products. To date, we have funded certain portions of our research and development and manufacturing efforts in China and Europe through outside parties. There is no guarantee that sufficient funds will be available to continue to fund these development efforts through commercialization or otherwise. Although our share of expenses for roxadustat will decrease as a result of AstraZeneca funding all non-China collaboration expenses not reimbursed by Astellas, we expect our research and development expenses to continue to increase as we invest in our other programs. We are subject to all the risks related to the development and commercialization of novel therapeutics, and we may encounter unforeseen expenses, difficulties, complications, delays and other unknown factors that may adversely affect our business. We anticipate that we will need substantial additional funding in connection with our continuing operations.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that our existing cash and cash equivalents, short-term and long-term investments and accounts receivable will be sufficient to meet our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anticipated cash requirements for at least the next 12 months from the date of this Quarterly Report on Form 10-Q. However, our liquidity assumptions may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 over time, and we could utilize our available financial resources sooner than we currently expect. In addition, we may elect to raise additional funds 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time through equity, equity-linked or debt financing arrangements. Our forecast of the period of time through which our financial resources will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adequate to support our operations is a forward-looking statement and involves risks and uncertainties, and actual results could vary as a result of a number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factors. We have based this estimate on assumptions that may prove to be wrong, and we could utilize our available capital resources sooner than we currently</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expect. Our future capital requirements and the adequacy of available funds will depend on many factors, including those set forth under Part II, Item 1A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in this Quarterly Report on Form 10-Q. We may not be able to secure additional financing to meet our operating requirements on acceptable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terms, or at all. If we raise additional funds by issuing equity or equity-linked securities, the ownership of our existing stockholders will be diluted. If we raise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 financing by the incurrence of indebtedness, we will be subject to increased fixed payment obligations and could also be subject to restrictive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covenants, such as limitations on our ability to incur additional debt, and other operating restrictions that could adversely impact our ability to conduct our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If we are unable to obtain needed additional funds, we will have to reduce our operating expenses, which would impair our growth prospects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could otherwise negatively impact our business.</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Sources and Uses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primary sources and uses of cash and cash equivalents for each of the periods set forth below:</w:t>
      </w:r>
    </w:p>
    <w:p>
      <w:pPr>
        <w:spacing w:after="0" w:line="84"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3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760" w:type="dxa"/>
            <w:vAlign w:val="bottom"/>
            <w:gridSpan w:val="6"/>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56"/>
        </w:trPr>
        <w:tc>
          <w:tcPr>
            <w:tcW w:w="20" w:type="dxa"/>
            <w:vAlign w:val="bottom"/>
          </w:tcPr>
          <w:p>
            <w:pPr>
              <w:spacing w:after="0"/>
              <w:rPr>
                <w:sz w:val="13"/>
                <w:szCs w:val="13"/>
                <w:color w:val="auto"/>
              </w:rPr>
            </w:pPr>
          </w:p>
        </w:tc>
        <w:tc>
          <w:tcPr>
            <w:tcW w:w="53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1100" w:type="dxa"/>
            <w:vAlign w:val="bottom"/>
            <w:tcBorders>
              <w:top w:val="single" w:sz="8" w:color="auto"/>
              <w:bottom w:val="single" w:sz="8" w:color="auto"/>
            </w:tcBorders>
          </w:tcPr>
          <w:p>
            <w:pPr>
              <w:jc w:val="right"/>
              <w:ind w:right="477"/>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42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453"/>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8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53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740" w:type="dxa"/>
            <w:vAlign w:val="bottom"/>
            <w:gridSpan w:val="4"/>
          </w:tcPr>
          <w:p>
            <w:pPr>
              <w:jc w:val="right"/>
              <w:ind w:right="15"/>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30"/>
        </w:trPr>
        <w:tc>
          <w:tcPr>
            <w:tcW w:w="20" w:type="dxa"/>
            <w:vAlign w:val="bottom"/>
          </w:tcPr>
          <w:p>
            <w:pPr>
              <w:spacing w:after="0"/>
              <w:rPr>
                <w:sz w:val="19"/>
                <w:szCs w:val="19"/>
                <w:color w:val="auto"/>
              </w:rPr>
            </w:pPr>
          </w:p>
        </w:tc>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(used in):</w:t>
            </w:r>
          </w:p>
        </w:tc>
        <w:tc>
          <w:tcPr>
            <w:tcW w:w="7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Operating activities</w:t>
            </w:r>
          </w:p>
        </w:tc>
        <w:tc>
          <w:tcPr>
            <w:tcW w:w="10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22,480</w:t>
            </w:r>
          </w:p>
        </w:tc>
        <w:tc>
          <w:tcPr>
            <w:tcW w:w="120" w:type="dxa"/>
            <w:vAlign w:val="bottom"/>
          </w:tcPr>
          <w:p>
            <w:pPr>
              <w:spacing w:after="0"/>
              <w:rPr>
                <w:sz w:val="19"/>
                <w:szCs w:val="19"/>
                <w:color w:val="auto"/>
              </w:rPr>
            </w:pPr>
          </w:p>
        </w:tc>
        <w:tc>
          <w:tcPr>
            <w:tcW w:w="520" w:type="dxa"/>
            <w:vAlign w:val="bottom"/>
            <w:gridSpan w:val="2"/>
          </w:tcPr>
          <w:p>
            <w:pPr>
              <w:jc w:val="right"/>
              <w:ind w:right="255"/>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(31,963)</w:t>
            </w:r>
          </w:p>
        </w:tc>
      </w:tr>
      <w:tr>
        <w:trPr>
          <w:trHeight w:val="230"/>
        </w:trPr>
        <w:tc>
          <w:tcPr>
            <w:tcW w:w="20" w:type="dxa"/>
            <w:vAlign w:val="bottom"/>
          </w:tcPr>
          <w:p>
            <w:pPr>
              <w:spacing w:after="0"/>
              <w:rPr>
                <w:sz w:val="19"/>
                <w:szCs w:val="19"/>
                <w:color w:val="auto"/>
              </w:rPr>
            </w:pPr>
          </w:p>
        </w:tc>
        <w:tc>
          <w:tcPr>
            <w:tcW w:w="53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Investing activities</w:t>
            </w:r>
          </w:p>
        </w:tc>
        <w:tc>
          <w:tcPr>
            <w:tcW w:w="7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(26,487)</w:t>
            </w:r>
          </w:p>
        </w:tc>
        <w:tc>
          <w:tcPr>
            <w:tcW w:w="1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15,299</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Financing activities</w:t>
            </w:r>
          </w:p>
        </w:tc>
        <w:tc>
          <w:tcPr>
            <w:tcW w:w="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(3,534)</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2,045</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3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7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(32)</w:t>
            </w:r>
          </w:p>
        </w:tc>
      </w:tr>
      <w:tr>
        <w:trPr>
          <w:trHeight w:val="228"/>
        </w:trPr>
        <w:tc>
          <w:tcPr>
            <w:tcW w:w="20" w:type="dxa"/>
            <w:vAlign w:val="bottom"/>
          </w:tcPr>
          <w:p>
            <w:pPr>
              <w:spacing w:after="0"/>
              <w:rPr>
                <w:sz w:val="19"/>
                <w:szCs w:val="19"/>
                <w:color w:val="auto"/>
              </w:rPr>
            </w:pPr>
          </w:p>
        </w:tc>
        <w:tc>
          <w:tcPr>
            <w:tcW w:w="53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720" w:type="dxa"/>
            <w:vAlign w:val="bottom"/>
          </w:tcPr>
          <w:p>
            <w:pPr>
              <w:spacing w:after="0"/>
              <w:rPr>
                <w:sz w:val="19"/>
                <w:szCs w:val="19"/>
                <w:color w:val="auto"/>
              </w:rPr>
            </w:pPr>
          </w:p>
        </w:tc>
        <w:tc>
          <w:tcPr>
            <w:tcW w:w="28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(7,585)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Borders>
              <w:top w:val="single" w:sz="8" w:color="auto"/>
            </w:tcBorders>
          </w:tcPr>
          <w:p>
            <w:pPr>
              <w:jc w:val="right"/>
              <w:ind w:right="25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(14,651)</w:t>
            </w:r>
          </w:p>
        </w:tc>
        <w:tc>
          <w:tcPr>
            <w:tcW w:w="8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4601845</wp:posOffset>
            </wp:positionH>
            <wp:positionV relativeFrom="paragraph">
              <wp:posOffset>-2540</wp:posOffset>
            </wp:positionV>
            <wp:extent cx="187833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4601845</wp:posOffset>
            </wp:positionH>
            <wp:positionV relativeFrom="paragraph">
              <wp:posOffset>-125095</wp:posOffset>
            </wp:positionV>
            <wp:extent cx="187833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10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Net cash provided by operating activities was $22.5 million for the three months ended March 31, 2019 and consisted primarily of net loss of $45.4 million adjusted for non-cash items of $20.2 million and a net increase in operating assets and liabilities of $47.7 million. The significant non-cash items included stock-based compensation expense of $16.4 million, depreciation expense of $2.7 million, amortization of finance lease ROU of $2.6 million, and net amortization of premium and discount on investments of $1.4 million. The significant items in the changes in operating assets and liabilities included an increase resulting from accounts receivable of $57.7 million, partially offset decreases resulting from accounts payable of $5.4 million, prepaid expenses and other current assets of $2.8 million and deferred revenue of $2.6 million. The change in accounts receivable was primarily related to the collection of $43.9 million from Astellas for the roxadustat API delivery in December 2018 under the Japan Amendment, as well as the timing of the receipt of upfront payments and recognition of revenues under our collaboration agreements with Astellas and AstraZeneca. The changes in accounts payable and prepaid expenses and other current assets were primarily driven by the timing of invoicing and payments. The change in deferred revenue was related to the recognition of revenues under our collaboration agreements with Astellas and AstraZeneca.</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32" w:name="page33"/>
    <w:bookmarkEnd w:id="3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Net cash used in operating activities was $32.0 million for the three months ended March 31, 2018 and consisted primarily of net loss of $41.4 million adjusted for non-cash items of $12.5 million and a net decrease in operating assets and liabilities of $3.1 million. The significant non-cash items included stock-based compensation expense of $10.9 million and depreciation expense of $1.5 million. The significant items in the changes in operating assets and liabilities included decreases resulted from accounts payable of $2.0 million, accrued liabilities of $1.1 million and accounts receivable of $1.5 million, partially offset by an increase resulted from prepaid expenses and other current assets of $1.4 million. The changes in accounts payable and accrued liabilities were primarily driven by clinical trial activities and the timing of payments. The change in accounts receivable was related to the timing of the receipt of upfront payments and recognition of revenues under our collaboration agreements with Astellas and AstraZeneca. The change in prepaid expenses and other current assets was primarily driven by the timing of invoicing and payments.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21" w:lineRule="exact"/>
        <w:rPr>
          <w:sz w:val="20"/>
          <w:szCs w:val="20"/>
          <w:color w:val="auto"/>
        </w:rPr>
      </w:pPr>
    </w:p>
    <w:p>
      <w:pPr>
        <w:ind w:right="800"/>
        <w:spacing w:after="0" w:line="282" w:lineRule="auto"/>
        <w:rPr>
          <w:sz w:val="20"/>
          <w:szCs w:val="20"/>
          <w:color w:val="auto"/>
        </w:rPr>
      </w:pPr>
      <w:r>
        <w:rPr>
          <w:rFonts w:ascii="Times New Roman" w:cs="Times New Roman" w:eastAsia="Times New Roman" w:hAnsi="Times New Roman"/>
          <w:sz w:val="18"/>
          <w:szCs w:val="18"/>
          <w:color w:val="auto"/>
        </w:rPr>
        <w:t>Investing activities primarily consist of purchases of property and equipment, purchases of investments, and proceeds from the maturity and sale of investments.</w:t>
      </w:r>
    </w:p>
    <w:p>
      <w:pPr>
        <w:spacing w:after="0" w:line="162"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was $26.5 million for the three months ended March 31, 2019 and consisted of cash used in purchases of available-for-sale securities and term deposit of $76.0 million, partially offset by proceeds from maturities of investments of $50.0 million.</w:t>
      </w:r>
    </w:p>
    <w:p>
      <w:pPr>
        <w:spacing w:after="0" w:line="162"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Net cash provided by investing activities was $15.3 million for the three months ended March 31, 2018 and consisted of proceeds from maturities of available-for-sale securities of $17.2 million, partially offset by cash used in purchases of property and equipment of $1.8 million.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21"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Financing activities primarily reflect proceeds from the issuance of our common stock, cash paid for payroll taxes on restricted stock unit releases, and repayments of our lease liability.</w:t>
      </w:r>
    </w:p>
    <w:p>
      <w:pPr>
        <w:spacing w:after="0" w:line="162"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Net cash used in financing activities was $3.5 million for the three months ended March 31, 2019 and consisted primarily of $6.0 million of cash paid for payroll taxes on restricted stock unit releases and $3.0 million of repayments of finance lease liabilities partially offset by $5.6 million of proceeds from the issuance of common stock upon exercise of stock options.</w:t>
      </w:r>
    </w:p>
    <w:p>
      <w:pPr>
        <w:spacing w:after="0" w:line="17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was $2.0 million for the three months ended March 31, 2018 and consisted primarily of $9.0 million of proceeds from the issuance of common stock upon exercise of stock options and purchases under ESPP, partially offset by $6.8 million of cash paid for payroll taxes on restricted stock unit releases.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1"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2019, we did not have any relationships with unconsolidated organizations or financial partnerships, such as structured finance or special purpose entities that would have been established for the purpose of facilitating off-balance sheet arrangements.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121"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in our contractual obligations compared to those disclosed in our Annual Report on Form 10-K for the year ended December 31, 2018.</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Our management’s discussion and analysis of our financial condition and results of operations are based on our financial statements, which have been prepared in accordance with accounting principles generally accepted in the U.S. The preparation of these financial statements requires us to make estimates and judgments that affect the reported amounts of assets, liabilities, and expenses and the disclosure of contingent assets and liabilities in our financial statements. We evaluate our estimates and judgments on an ongoing basis. We base our estimates on historical experience, known trends and events, and various other factors that we believe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3" w:name="page34"/>
    <w:bookmarkEnd w:id="3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in our critical accounting policies, estimates and judgments during the three months ended March 31, 2019 compared with the disclosures in Part II, Item 7 of our Annual Report on Form 10-K for the year ended December 31, 2018, except for the following: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121"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We determine if an arrangement is a lease at inception date when it is given control of the underlying assets. We elected the practical expedient not to apply the lease recognition and measurement requirements to short-term leases, which is any lease with a term of 12 months or less as of the commencement date that does not include an option to purchase the underlying asset that the lessee is reasonably certain to exercise.</w:t>
      </w:r>
    </w:p>
    <w:p>
      <w:pPr>
        <w:spacing w:after="0" w:line="176"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Our building leases previously accounted for as build-to-suit arrangements prior to the adoption of Accounting Standards Codification (“ASC”) 842 - Leases (“ASC 842”) are accounted for as finance leases under the requirements of ASC 842.</w:t>
      </w:r>
    </w:p>
    <w:p>
      <w:pPr>
        <w:spacing w:after="0" w:line="16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Lease right-of-use (“ROU”) assets and lease liabilities are recognized based on the present value of the future minimum lease payments over the lease term at commencement date. As our leases do not typically provide an implicit rate, we use incremental borrowing rate based on the information available at commencement date in determining the present value of future payments. We will reassess the incremental borrowing rate periodically for application to any new leases or lease modifications or if any company-specific or general business conditions warrant.</w:t>
      </w:r>
    </w:p>
    <w:p>
      <w:pPr>
        <w:spacing w:after="0" w:line="180"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Lease ROU assets include any lease payments made and initial direct costs incurred. We have lease agreements with lease and non-lease components. We generally account for each lease component separately from the non-lease components, and excludes all non-lease components from the calculation of minimum lease payments in measuring the ROU asset and lease liability.</w:t>
      </w:r>
    </w:p>
    <w:p>
      <w:pPr>
        <w:spacing w:after="0" w:line="176"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Our lease terms may include options to extend or terminate the lease when it is reasonably certain that we will exercise that option. Lease expense for minimum lease payments is recognized on a straight-line basis over the lease terms.</w:t>
      </w:r>
    </w:p>
    <w:p>
      <w:pPr>
        <w:spacing w:after="0" w:line="162" w:lineRule="exact"/>
        <w:rPr>
          <w:sz w:val="20"/>
          <w:szCs w:val="20"/>
          <w:color w:val="auto"/>
        </w:rPr>
      </w:pPr>
    </w:p>
    <w:p>
      <w:pPr>
        <w:ind w:right="20"/>
        <w:spacing w:after="0" w:line="289" w:lineRule="auto"/>
        <w:rPr>
          <w:sz w:val="20"/>
          <w:szCs w:val="20"/>
          <w:color w:val="auto"/>
        </w:rPr>
      </w:pPr>
      <w:r>
        <w:rPr>
          <w:rFonts w:ascii="Times New Roman" w:cs="Times New Roman" w:eastAsia="Times New Roman" w:hAnsi="Times New Roman"/>
          <w:sz w:val="17"/>
          <w:szCs w:val="17"/>
          <w:color w:val="auto"/>
        </w:rPr>
        <w:t>Regarding leases denominated in a foreign currency, the related ROU assets and the corresponding ROU asset amortization costs are remeasured using the exchange rate in effect at the date of initial recognition; the related lease liabilities are remeasured using the exchange rate in effect at the end of the reporting period; the lease costs and interest expenses related to lease liability accretion are remeasured using average exchange rates for the reporting period.</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and Adopted Accounting Guidance</w:t>
      </w:r>
    </w:p>
    <w:p>
      <w:pPr>
        <w:spacing w:after="0" w:line="22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121" w:right="299" w:bottom="1440" w:gutter="0" w:footer="0" w:header="0"/>
        </w:sectPr>
      </w:pPr>
    </w:p>
    <w:bookmarkStart w:id="34" w:name="page35"/>
    <w:bookmarkEnd w:id="3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45"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 xml:space="preserve">In February 2016, the Financial Accounting Standards Board (“FASB”) issued Accounting Standards Update (“ASU”) 2016-02, </w:t>
      </w:r>
      <w:r>
        <w:rPr>
          <w:rFonts w:ascii="Times New Roman" w:cs="Times New Roman" w:eastAsia="Times New Roman" w:hAnsi="Times New Roman"/>
          <w:sz w:val="18"/>
          <w:szCs w:val="18"/>
          <w:i w:val="1"/>
          <w:iCs w:val="1"/>
          <w:color w:val="auto"/>
        </w:rPr>
        <w:t>Leases (Topic 842)</w:t>
      </w:r>
      <w:r>
        <w:rPr>
          <w:rFonts w:ascii="Times New Roman" w:cs="Times New Roman" w:eastAsia="Times New Roman" w:hAnsi="Times New Roman"/>
          <w:sz w:val="18"/>
          <w:szCs w:val="18"/>
          <w:color w:val="auto"/>
        </w:rPr>
        <w:t xml:space="preserve"> (“ASU 2016-02”). Under this guidance, an entity is required to recognize ROU assets and lease liabilities on its balance sheet and disclose key information about leasing arrangements. This guidance offers specific accounting guidance for a lessee, a lessor and sale and leaseback transactions. Lessees and lessors are required to disclose qualitative and quantitative information about leasing arrangements to enable a user of the financial statements to assess the amount, timing and uncertainty of cash flows arising from leases. In July 2018, the FASB issued ASU 2018-11, </w:t>
      </w:r>
      <w:r>
        <w:rPr>
          <w:rFonts w:ascii="Times New Roman" w:cs="Times New Roman" w:eastAsia="Times New Roman" w:hAnsi="Times New Roman"/>
          <w:sz w:val="18"/>
          <w:szCs w:val="18"/>
          <w:i w:val="1"/>
          <w:iCs w:val="1"/>
          <w:color w:val="auto"/>
        </w:rPr>
        <w:t>Leases (Topic 842): Targeted Improvements</w:t>
      </w:r>
      <w:r>
        <w:rPr>
          <w:rFonts w:ascii="Times New Roman" w:cs="Times New Roman" w:eastAsia="Times New Roman" w:hAnsi="Times New Roman"/>
          <w:sz w:val="18"/>
          <w:szCs w:val="18"/>
          <w:color w:val="auto"/>
        </w:rPr>
        <w:t xml:space="preserve"> (“ASU 2018-11”), which provides entities the option to initially apply ASU 2016-02 at the adoption date and recognize a cumulative-effect adjustment to the opening balance of retained earnings in the period of adoption. We adopted the above guidance under ASC 842 as of January 1, 2019, using the modified retrospective transition method, through a cumulative-effect adjustment at the beginning of the first quarter of 2019. We elected the optional transition method under the guidance, which allowed it to continue applying previous lease guidance (ASC 840) for the comparative prior year periods presentation in the year of adoption. Accordingly, we recognized a cumulative-effect adjustment to the opening balance of retained earnings in the period of adoption. In addition, we elected the package of transitional practical expedients permitted under the transition guidance under ASC 842, which among other things allows us to carry forward its historical lease classification, and not to reassess initial direct costs for any existing leases. Meanwhile, we did not elect the hindsight practical expedient because it has limited number of leases, lease terms are straightforward, and most of its lease renewals are undefined until negotiated. In addition, we have elected the short term accounting policy practical expedient and does not apply the balance sheet recognition requirements for short-term leases (excluding expenses relating to leases with a lease term of one month or less), by class of underlying asset to which the right of use relates. We have not elected the non-lease components practical expedient, and therefore accounts for each lease component separately from the non-lease components. Upon adoption of ASC 842, we classified our existing building leases that were previously accounted for as build-to-suit arrangements as finance leases, and applied the transition guidance. Accordingly, we derecognized the assets and liabilities previously recognized under ASC 840 build-to-suit guidance. In addition, as a result of applying the transition guidance, we also recorded an adjustment to the accumulated depreciation of related leasehold improvements to reflect a change in estimated useful life from the building life to the shorter of the building life and remaining lease term. Differences between the assets and liabilities derecognized were recorded to the opening balance of retained earnings. The adoption of ASC 842 resulted in a recognition of approximately $50.3 million in right-of-use assets and approximately $62.0 million in lease liabilities, respectively, upon adoption of this guidance, for our operating leases and finance leases. The adoption of ASC 842 had no impact to our condensed statement of operations or condensed consolidated statement of cash flows for the three months ended March 31, 2019. Refer to Note 1 to the condensed consolidated financial statements for details.</w:t>
      </w:r>
    </w:p>
    <w:p>
      <w:pPr>
        <w:spacing w:after="0" w:line="186"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 xml:space="preserve">In February 2018, the FASB issued ASU 2018-02, </w:t>
      </w:r>
      <w:r>
        <w:rPr>
          <w:rFonts w:ascii="Times New Roman" w:cs="Times New Roman" w:eastAsia="Times New Roman" w:hAnsi="Times New Roman"/>
          <w:sz w:val="18"/>
          <w:szCs w:val="18"/>
          <w:i w:val="1"/>
          <w:iCs w:val="1"/>
          <w:color w:val="auto"/>
        </w:rPr>
        <w:t>Income Statement - Reporting Comprehensive Income: Reclassification of Certain Tax Effects from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Accumulated Other Comprehensive Income</w:t>
      </w:r>
      <w:r>
        <w:rPr>
          <w:rFonts w:ascii="Times New Roman" w:cs="Times New Roman" w:eastAsia="Times New Roman" w:hAnsi="Times New Roman"/>
          <w:sz w:val="18"/>
          <w:szCs w:val="18"/>
          <w:color w:val="auto"/>
        </w:rPr>
        <w:t>. This guidance allows for the reclassification from accumulated other comprehensive income to retained earnings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the stranded tax effects arising from the reduction of the U.S. federal statutory income tax rate from 35% to 21%. This guidance was effective for annual reporting periods beginning after December 15, 2018, including interim periods. We adopted this guidance on January 1, 2019 using the modified retrospective approach, which resulted in a reclassification of $0.6 million, based on the aggregate portfolio approach, from accumulated other comprehensive loss to opening accumulated deficit. The adoption of this guidance had no impact to our condensed consolidated statement of operations or condensed consolidated statement of cash flows for the three months ended March 31, 2019. Refer to Note 1 to the condensed consolidated financial statements for details.</w:t>
      </w:r>
    </w:p>
    <w:p>
      <w:pPr>
        <w:spacing w:after="0" w:line="185"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8"/>
          <w:szCs w:val="18"/>
          <w:color w:val="auto"/>
        </w:rPr>
        <w:t xml:space="preserve">In June 2018, the FASB issued ASU 2018-07, </w:t>
      </w:r>
      <w:r>
        <w:rPr>
          <w:rFonts w:ascii="Times New Roman" w:cs="Times New Roman" w:eastAsia="Times New Roman" w:hAnsi="Times New Roman"/>
          <w:sz w:val="18"/>
          <w:szCs w:val="18"/>
          <w:i w:val="1"/>
          <w:iCs w:val="1"/>
          <w:color w:val="auto"/>
        </w:rPr>
        <w:t>Compensation - Stock Compensation (Topic 718): Improvements to Nonemployee Share-Based Payment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Accounting. </w:t>
      </w:r>
      <w:r>
        <w:rPr>
          <w:rFonts w:ascii="Times New Roman" w:cs="Times New Roman" w:eastAsia="Times New Roman" w:hAnsi="Times New Roman"/>
          <w:sz w:val="18"/>
          <w:szCs w:val="18"/>
          <w:color w:val="auto"/>
        </w:rPr>
        <w:t>This guidance expands the scope of Topic 718 to include share-based payment transactions for acquiring goods and services from nonemployees.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guidance also specifies that Topic 718 applies to all share-based payment transactions in which a grantor acquires goods or services to be used or consumed in a grantor’s own operations by issuing share-based payment awards. This guidance is effective for annual reporting period beginning after December 15, 2018, including interim periods. We adopted this guidance on January 1, 2019 and the adoption of this guidance had no impact to our consolidated financial statements.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Guidance Not Yet Adopted</w:t>
      </w:r>
    </w:p>
    <w:p>
      <w:pPr>
        <w:spacing w:after="0" w:line="119"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18"/>
          <w:szCs w:val="18"/>
          <w:color w:val="auto"/>
        </w:rPr>
        <w:t xml:space="preserve">In August 2018, the FASB issued ASU 2018-15, </w:t>
      </w:r>
      <w:r>
        <w:rPr>
          <w:rFonts w:ascii="Times New Roman" w:cs="Times New Roman" w:eastAsia="Times New Roman" w:hAnsi="Times New Roman"/>
          <w:sz w:val="18"/>
          <w:szCs w:val="18"/>
          <w:i w:val="1"/>
          <w:iCs w:val="1"/>
          <w:color w:val="auto"/>
        </w:rPr>
        <w:t>Intangibles—Goodwill and Other—Internal-Use Software (Subtopic 350-40): Customer’s Accounting for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Implementation Costs Incurred in a Cloud Computing Arrangement That Is a Service Contract. </w:t>
      </w:r>
      <w:r>
        <w:rPr>
          <w:rFonts w:ascii="Times New Roman" w:cs="Times New Roman" w:eastAsia="Times New Roman" w:hAnsi="Times New Roman"/>
          <w:sz w:val="18"/>
          <w:szCs w:val="18"/>
          <w:color w:val="auto"/>
        </w:rPr>
        <w:t>This guidance requires capitalizing implementation costs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incurred to develop or obtain internal-use software (and hosting arrangements that include an internal-use software license). This guidance should be applied either retrospectively or prospectively, and is effective for annual reporting period beginning after December 15, 2019 including interim periods, with early adoption permitted. We are currently evaluating the impact on its consolidated financial statements upon adoption of this guidance.</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5" w:name="page36"/>
    <w:bookmarkEnd w:id="3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 xml:space="preserve">In August 2018, the FASB issued ASU 2018-13, </w:t>
      </w:r>
      <w:r>
        <w:rPr>
          <w:rFonts w:ascii="Times New Roman" w:cs="Times New Roman" w:eastAsia="Times New Roman" w:hAnsi="Times New Roman"/>
          <w:sz w:val="18"/>
          <w:szCs w:val="18"/>
          <w:i w:val="1"/>
          <w:iCs w:val="1"/>
          <w:color w:val="auto"/>
        </w:rPr>
        <w:t>Fair Value Measurement (Topic 820): Disclosure Framework—Changes to the Disclosure Requirements for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Fair Value Measurement. </w:t>
      </w:r>
      <w:r>
        <w:rPr>
          <w:rFonts w:ascii="Times New Roman" w:cs="Times New Roman" w:eastAsia="Times New Roman" w:hAnsi="Times New Roman"/>
          <w:sz w:val="18"/>
          <w:szCs w:val="18"/>
          <w:color w:val="auto"/>
        </w:rPr>
        <w:t>This guidance amends existing fair value measurement disclosure requirements by adding, changing, or removing certain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disclosures. This guidance is effective for annual reporting period beginning after December 15, 2019 including interim periods, with early adoption permitted. The amendments on changes in unrealized gains and losses, the range and weighted average of significant unobservable inputs used to develop Level 3 fair value measurements, and the narrative description of measurement uncertainty should be applied prospectively for only the most recent interim or annual period presented in the initial fiscal year of adoption. All other amendments should be applied retrospectively to all periods presented upon their effective date. We do not anticipate a material impact to its consolidated financial statements upon adoption of this guidance.</w:t>
      </w:r>
    </w:p>
    <w:p>
      <w:pPr>
        <w:spacing w:after="0" w:line="183"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8"/>
          <w:szCs w:val="18"/>
          <w:color w:val="auto"/>
        </w:rPr>
        <w:t xml:space="preserve">In June 2016, the FASB issued ASU 2016-13, </w:t>
      </w:r>
      <w:r>
        <w:rPr>
          <w:rFonts w:ascii="Times New Roman" w:cs="Times New Roman" w:eastAsia="Times New Roman" w:hAnsi="Times New Roman"/>
          <w:sz w:val="18"/>
          <w:szCs w:val="18"/>
          <w:i w:val="1"/>
          <w:iCs w:val="1"/>
          <w:color w:val="auto"/>
        </w:rPr>
        <w:t>Financial Instruments – Credit Losses (Topic 326): Measurement of Credit Losses on Financial Instruments</w:t>
      </w:r>
      <w:r>
        <w:rPr>
          <w:rFonts w:ascii="Times New Roman" w:cs="Times New Roman" w:eastAsia="Times New Roman" w:hAnsi="Times New Roman"/>
          <w:sz w:val="18"/>
          <w:szCs w:val="18"/>
          <w:color w:val="auto"/>
        </w:rPr>
        <w:t>. This guidance requires that financial assets measured at amortized cost be presented at the net amount expected to be collected. The measurement of expected credit losses is based on historical experience, current conditions, and reasonable and supportable forecasts that affect the collectability. This guidance is effective for the annual reporting period beginning after December 15, 2019, including interim periods within that reporting period. We are currently evaluating the impact on our consolidated financial statements upon adoption of this guidance.</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ind w:right="900"/>
        <w:spacing w:after="0" w:line="282" w:lineRule="auto"/>
        <w:rPr>
          <w:sz w:val="20"/>
          <w:szCs w:val="20"/>
          <w:color w:val="auto"/>
        </w:rPr>
      </w:pPr>
      <w:r>
        <w:rPr>
          <w:rFonts w:ascii="Times New Roman" w:cs="Times New Roman" w:eastAsia="Times New Roman" w:hAnsi="Times New Roman"/>
          <w:sz w:val="18"/>
          <w:szCs w:val="18"/>
          <w:color w:val="auto"/>
        </w:rPr>
        <w:t>We believe there has been no material change in our exposure to market risks as disclosed in our Annual Report on Form 10-K for the year ended December 31, 2018.</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our Chief Financial Officer, has evaluated the effectiveness of our disclosure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controls and procedures as of the end of the period covered by this Quarterly Report on Form 10-Q. Disclosure controls and procedures (as defined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Rules 13a-15(e) and 15d-15(e) under the Exchange Act) are designed to provide reasonable assurance that information required to be disclosed by a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reports that it files or submits under the Exchange Act is recorded, processed, summarized and reported, within the time periods specified in the SEC’s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rules and forms and that such information is accumulated and communicated to the company’s management, including its Chief Executive Officer and Chief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Officer, as appropriate to allow timely decisions regarding required disclosure.</w:t>
      </w:r>
    </w:p>
    <w:p>
      <w:pPr>
        <w:spacing w:after="0" w:line="207"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Based on management’s evaluation, our principal executive officer and principal financial officer have concluded that our disclosure controls and procedures were effective as of March 31, 2019 at the reasonable assurance level.</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that occurred during the three months ended March 31, 2019 that have materially affected, or are reasonably likely to materially affect, our internal control over financial reporting.</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on the Effectiveness of Controls</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designing and evaluating the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its judgment in evaluating the benefits of possible controls and procedures relative to their costs. Because of the inherent limitations in a cost-effective control system, misstatements due to error or fraud may occur and not be detected.</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36" w:name="page37"/>
    <w:bookmarkEnd w:id="3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not currently a party to any material legal proceedings.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1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i w:val="1"/>
          <w:iCs w:val="1"/>
          <w:color w:val="auto"/>
        </w:rPr>
        <w:t>Investing in our common stock involves a high degree of risk. You should carefully consider the risks described below in addition to the other information included or incorporated by reference in this Quarterly Report on Form 10-Q, including our condensed consolidated financial statements and the related notes and “Management’s Discussion and Analysis of Financial Condition and Results of Operations,” before deciding whether to invest in our common stock. The occurrence of any of the events or developments described below could harm our business, financial condition, results of operations and growth prospects. In such an event, the market price of our common stock could decline, and you may lose all or part of your investment. Although we have discussed all known material risks, the risks described below are not the only ones that we may face. Additional risks and uncertainties not presently known to us or that we currently deem immaterial may also impair our business operations.</w:t>
      </w:r>
    </w:p>
    <w:p>
      <w:pPr>
        <w:spacing w:after="0" w:line="183" w:lineRule="exact"/>
        <w:rPr>
          <w:sz w:val="20"/>
          <w:szCs w:val="20"/>
          <w:color w:val="auto"/>
        </w:rPr>
      </w:pPr>
    </w:p>
    <w:p>
      <w:pPr>
        <w:ind w:right="640"/>
        <w:spacing w:after="0" w:line="284" w:lineRule="auto"/>
        <w:rPr>
          <w:sz w:val="20"/>
          <w:szCs w:val="20"/>
          <w:color w:val="auto"/>
        </w:rPr>
      </w:pPr>
      <w:r>
        <w:rPr>
          <w:rFonts w:ascii="Times New Roman" w:cs="Times New Roman" w:eastAsia="Times New Roman" w:hAnsi="Times New Roman"/>
          <w:sz w:val="18"/>
          <w:szCs w:val="18"/>
          <w:color w:val="auto"/>
        </w:rPr>
        <w:t xml:space="preserve">We have marked with an asterisk (*) those risks described below that reflect substantive changes from the risks described under Part I, Item 1A </w:t>
      </w:r>
      <w:r>
        <w:rPr>
          <w:rFonts w:ascii="Times New Roman" w:cs="Times New Roman" w:eastAsia="Times New Roman" w:hAnsi="Times New Roman"/>
          <w:sz w:val="18"/>
          <w:szCs w:val="18"/>
          <w:i w:val="1"/>
          <w:iCs w:val="1"/>
          <w:color w:val="auto"/>
        </w:rPr>
        <w:t>“Risk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Factors” </w:t>
      </w:r>
      <w:r>
        <w:rPr>
          <w:rFonts w:ascii="Times New Roman" w:cs="Times New Roman" w:eastAsia="Times New Roman" w:hAnsi="Times New Roman"/>
          <w:sz w:val="18"/>
          <w:szCs w:val="18"/>
          <w:color w:val="auto"/>
        </w:rPr>
        <w:t>included in our Annual Report on Form 10-K for the year ended December 31, 2018.</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Condition and History of Operating Losses</w:t>
      </w:r>
    </w:p>
    <w:p>
      <w:pPr>
        <w:spacing w:after="0" w:line="117"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incurred significant losses since our inception and anticipate that we will continue to incur losses for the foreseeable future and may never achieve or sustain profitability. We may require additional financings in order to fund our operations.*</w:t>
      </w:r>
    </w:p>
    <w:p>
      <w:pPr>
        <w:spacing w:after="0" w:line="5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We are a clinical-stage biopharmaceutical company with two lead product candidates in clinical development, roxadustat in anemia in chronic kidney disease (“CKD”) and myelodysplastic syndromes (“MDS”), and pamrevlumab (FG-3019) in idiopathic pulmonary fibrosis (“IPF”), pancreatic cancer and Duchenne muscular dystrophy (“DMD”). Pharmaceutical product development is a highly risky undertaking. To date, we have focused our efforts and most of our resources on hypoxia-inducible factor (“HIF”) and fibrosis biology research, as well as developing our lead product candidates. We are not profitable and, other than in 2006 and 2007 due to income received from our Astellas Pharma Inc. (“Astellas”) collaboration, have incurred losses each year since our inception. We have not generated any revenue based on commercial drug product sales to date. We continue to incur significant research and development and other expenses related to our ongoing operations. Our net loss for the year ended December 31, 2018 was approximately $86.4 million, and our net loss for the years ended December 31, 2017, and 2016, recast from amounts previously reported due to the adoption of the new revenue standards, were approximately $120.9 million and $58.1 million, respectively. As of March 31, 2019, we had an accumulated deficit of $753.2 million. As of March 31, 2019, we had capital resources consisting of cash, cash equivalents and short-term investments of $565.4 million plus $132.2 million of long-term investments classified as available for sale securities. Despite contractual development and cost coverage commitments from our collaboration partners, AstraZeneca AB (“AstraZeneca”) and Astellas, and the potential to receive milestone and other payments from these partners, and despite our expectation to launch commercialization efforts in China for roxadustat for the treatment of anemia caused by CKD in dialysis patients, we anticipate we will continue to incur losses for the foreseeable future, and we anticipate these losses will increase as we continue our development of and seek regulatory approval for our product candidates and in our commercialization efforts. If we do not successfully develop and obtain regulatory approval for our existing or any future product candidates and effectively manufacture, market and sell any product candidates that are approved, we may never generate product sales, and even if we do generate product sales, we may never achieve or sustain profitability on a quarterly or annual basis. Our prior losses, combined with expected future losses, have had and will continue to have an adverse effect on our stockholders’ equity and working capital. Our failure to become and remain profitable would depress the market price of our common stock and could impair our ability to raise capital, expand our business, diversify our product offerings or continue our operations.</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7" w:name="page38"/>
    <w:bookmarkEnd w:id="3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We believe that we will continue to expend substantial resources for the foreseeable future as we continue late-stage clinical development of roxadustat, grow our operations in the People’s Republic of China (“China”), expand our clinical development efforts on pamrevlumab, seek regulatory approval, prepare for the commercialization of our product candidates, and pursue additional indications. These expenditures will include costs associated with research and development, conducting preclinical trials and clinical trials, obtaining regulatory approvals in various jurisdictions, and manufacturing and supplying products and product candidates for ourselves and our partners. In particular, in our planned Phase 3 clinical trial program for roxadustat, which we believe will be the largest Phase 3 program ever conducted for an anemia product candidate, we are expecting to enroll more than 8,000 patients for our U.S. and European programs alone. We are conducting this Phase 3 program in conjunction with Astellas and AstraZeneca, and we are substantially dependent on Astellas and AstraZeneca for the funding of this large program. The outcome of any clinical trial and/or regulatory approval process is highly uncertain and we are unable to fully estimate the actual costs necessary to successfully complete the development and regulatory approval process for our compounds in development and any future product candidates. We believe that the net proceeds from our 2017 public offerings, our existing cash and cash equivalents, short-term and long-term investments and accounts receivable, and expected third party collaboration revenues will allow us to fund our operating plans through at least the next 12 months. Our operating plans or third party collaborations may change as a result of many factors, which are discussed in more detail below, and other factors that may not currently be known to us, and we therefore may need to seek additional funds sooner than planned, through offerings of public or private securities, debt financings or other sources, such as royalty monetization or other structured financings. Such financings may result in dilution to stockholders, imposition of debt covenants and repayment obligations, or other restrictions that may adversely affect our business. We may also seek additional capital due to favorable market conditions or strategic considerations even if we currently believe that we have sufficient funds for our current or future operating plans.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future funding requirements will depend on many factors, including, but not limited to:</w:t>
      </w:r>
    </w:p>
    <w:p>
      <w:pPr>
        <w:spacing w:after="0" w:line="117" w:lineRule="exact"/>
        <w:rPr>
          <w:sz w:val="20"/>
          <w:szCs w:val="20"/>
          <w:color w:val="auto"/>
        </w:rPr>
      </w:pPr>
    </w:p>
    <w:p>
      <w:pPr>
        <w:ind w:left="1040" w:hanging="519"/>
        <w:spacing w:after="0"/>
        <w:tabs>
          <w:tab w:leader="none" w:pos="10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of progress in the development of our product candidates;</w:t>
      </w:r>
    </w:p>
    <w:p>
      <w:pPr>
        <w:spacing w:after="0" w:line="117" w:lineRule="exact"/>
        <w:rPr>
          <w:rFonts w:ascii="Times New Roman" w:cs="Times New Roman" w:eastAsia="Times New Roman" w:hAnsi="Times New Roman"/>
          <w:sz w:val="18"/>
          <w:szCs w:val="18"/>
          <w:color w:val="auto"/>
        </w:rPr>
      </w:pPr>
    </w:p>
    <w:p>
      <w:pPr>
        <w:ind w:left="1040" w:right="60" w:hanging="519"/>
        <w:spacing w:after="0" w:line="282" w:lineRule="auto"/>
        <w:tabs>
          <w:tab w:leader="none" w:pos="10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development efforts for our product candidates, such as pamrevlumab, that are not subject to reimbursement from our collaboration partners;</w:t>
      </w:r>
    </w:p>
    <w:p>
      <w:pPr>
        <w:spacing w:after="0" w:line="53" w:lineRule="exact"/>
        <w:rPr>
          <w:rFonts w:ascii="Times New Roman" w:cs="Times New Roman" w:eastAsia="Times New Roman" w:hAnsi="Times New Roman"/>
          <w:sz w:val="18"/>
          <w:szCs w:val="18"/>
          <w:color w:val="auto"/>
        </w:rPr>
      </w:pPr>
    </w:p>
    <w:p>
      <w:pPr>
        <w:ind w:left="1040" w:hanging="519"/>
        <w:spacing w:after="0" w:line="282" w:lineRule="auto"/>
        <w:tabs>
          <w:tab w:leader="none" w:pos="10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necessary to obtain regulatory approvals, if any, for our product candidates in the United States (“U.S.”), China and other jurisdictions, and the costs of post-marketing studies that could be required by regulatory authorities in jurisdictions where approval is obtained;</w:t>
      </w:r>
    </w:p>
    <w:p>
      <w:pPr>
        <w:spacing w:after="0" w:line="53"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continuation of our existing collaborations and entry into new collaborations;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 and unreimbursed costs necessary to commercialize products in territories in which our product candidates are approved for sale;</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revenues from any future sales of our products as well as revenue earned from profit share, royalties and milestones;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reimbursement or third party payor pricing available to our products;</w:t>
      </w:r>
    </w:p>
    <w:p>
      <w:pPr>
        <w:spacing w:after="0" w:line="117" w:lineRule="exact"/>
        <w:rPr>
          <w:rFonts w:ascii="Times New Roman" w:cs="Times New Roman" w:eastAsia="Times New Roman" w:hAnsi="Times New Roman"/>
          <w:sz w:val="18"/>
          <w:szCs w:val="18"/>
          <w:color w:val="auto"/>
        </w:rPr>
      </w:pPr>
    </w:p>
    <w:p>
      <w:pPr>
        <w:ind w:left="1040" w:right="520" w:hanging="519"/>
        <w:spacing w:after="0" w:line="282" w:lineRule="auto"/>
        <w:tabs>
          <w:tab w:leader="none" w:pos="10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establishing and maintaining manufacturing operations and obtaining third party commercial supplies of our products, if any, manufactured in accordance with regulatory requirements;</w:t>
      </w:r>
    </w:p>
    <w:p>
      <w:pPr>
        <w:spacing w:after="0" w:line="53"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we incur in maintaining domestic and foreign operations, including operations in China;</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compliance costs;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our commercialization efforts for roxadustat for the treatment of anemia caused by CKD in dialysis patients in China; and</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we incur in the filing, prosecution, maintenance and defense of our extensive patent portfolio and other intellectual property rights.</w:t>
      </w:r>
    </w:p>
    <w:p>
      <w:pPr>
        <w:spacing w:after="0" w:line="225"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Additional funds may not be available when we require them, or on terms that are acceptable to us. If adequate funds are not available to us on a timely basis, we may be required to delay, limit, reduce or terminate our research and development efforts or other operations or activities that may be necessary to commercialize our product candidates.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8" w:name="page39"/>
    <w:bookmarkEnd w:id="3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All of our recent revenue has been earned from collaboration partners for our product candidates under development.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Substantially all of our revenues recognized in recent years have been from our collaboration partners.</w:t>
      </w:r>
    </w:p>
    <w:p>
      <w:pPr>
        <w:spacing w:after="0" w:line="225"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We will require substantial additional capital to achieve our development and commercialization goals, which for our lead product candidate, roxadustat, is currently contemplated to be provided under our existing third party collaborations with Astellas and AstraZeneca.</w:t>
      </w:r>
    </w:p>
    <w:p>
      <w:pPr>
        <w:spacing w:after="0" w:line="162"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If either or both of these collaborations were to be terminated, we could require significant additional capital in order to proceed with development and commercialization of our product candidates, including with respect to our expected commercialization for roxadustat for the treatment of anemia caused by CKD in dialysis patients in China, or we may require additional partnering in order to help fund such development and commercialization. If adequate funds or partners are not available to us on a timely basis or on favorable terms, we may be required to delay, limit, reduce or terminate our research and development efforts or other operations.</w:t>
      </w:r>
    </w:p>
    <w:p>
      <w:pPr>
        <w:spacing w:after="0" w:line="288"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continue to progress our development efforts and achieve milestones under our collaboration agreements, our revenues may decrease and our activities may fail to lead to commercial products.</w:t>
      </w:r>
    </w:p>
    <w:p>
      <w:pPr>
        <w:spacing w:after="0" w:line="5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Substantially all of our revenues to date have been, and a significant portion of our future revenues are expected to be, derived from our existing collaboration agreements. Revenues from research and development collaborations depend upon continuation of the collaborations, reimbursement of development costs, the achievement of milestones and royalties and profits from our product sales, if any, derived from future products developed from our research. If we are unable to successfully advance the development of our product candidates or achieve milestones, revenues under our collaboration agreements will be substantially less than expected.</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Development and Commercialization of Our Product Candidates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substantially dependent on the success of our lead product candidate, roxadustat, and our second compound in development, pamrevlumab.*</w:t>
      </w:r>
    </w:p>
    <w:p>
      <w:pPr>
        <w:spacing w:after="0" w:line="121"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To date, we have invested a substantial portion of our efforts and financial resources in the research and development of roxadustat and pamrevlumab. While we have received approval of our New Drug Application (“NDA”) for roxadustat in China for CKD anemia in dialysis patients, we will need to make substantial additional investments in both the development and commercialization of roxadustat worldwide and in various indications. Our near-term prospects, including maintaining our existing collaborations with Astellas and AstraZeneca, will depend heavily on successful development and commercialization of roxadustat, including obtaining regulatory approvals for the commercialization of roxadustat for anemia associated with CKD in the U.S., Europe, and Japan.</w:t>
      </w:r>
    </w:p>
    <w:p>
      <w:pPr>
        <w:spacing w:after="0" w:line="18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other lead product candidate, pamrevlumab, is currently in clinical development for IPF, pancreatic cancer and DMD. Pamrevlumab requires substantial further development and investment. We do not have a collaboration partner for support of this compound, and, while we have promising open-label safety data and potential signals of efficacy, we would need to complete larger and more extensive controlled clinical trials to validate the results to date in order to continue further development of this product candidate. In addition, although there are many potentially promising indications beyond IPF, pancreatic cancer and DMD, we are still exploring indications for which further development of, and investment for, pamrevlumab may be appropriate. Accordingly, the costs and time to complete development and related risks are currently unknown. Moreover, pamrevlumab is a monoclonal antibody, which may require experience and expertise that we may not currently possess as well as financial resources that are potentially greater than those required for our small molecule lead compound, roxadustat.</w:t>
      </w:r>
    </w:p>
    <w:p>
      <w:pPr>
        <w:spacing w:after="0" w:line="289"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clinical and commercial success of roxadustat and pamrevlumab will depend on a number of factors, many of which are beyond our control, and we may be unable to complete the development or commercialization of roxadustat or pamrevlumab.*</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clinical and commercial success of roxadustat and pamrevlumab will depend on a number of factors, including the following:</w:t>
      </w:r>
    </w:p>
    <w:p>
      <w:pPr>
        <w:spacing w:after="0" w:line="117" w:lineRule="exact"/>
        <w:rPr>
          <w:sz w:val="20"/>
          <w:szCs w:val="20"/>
          <w:color w:val="auto"/>
        </w:rPr>
      </w:pPr>
    </w:p>
    <w:p>
      <w:pPr>
        <w:ind w:left="1040" w:right="240" w:hanging="519"/>
        <w:spacing w:after="0" w:line="266" w:lineRule="auto"/>
        <w:tabs>
          <w:tab w:leader="none" w:pos="10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timely completion of data analyses from our Phase 3 clinical trials for roxadustat, which will depend substantially upon requirements for such trials imposed by the U.S. Food and Drug Administration (“FDA”) and other regulatory agencies and bodies and the continued commitment and coordinated and timely performance by our third party collaboration partners, AstraZeneca and Astellas;</w:t>
      </w:r>
    </w:p>
    <w:p>
      <w:pPr>
        <w:spacing w:after="0" w:line="68"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timely initiation and completion of our clinical trials for pamrevlumab, including in IPF, pancreatic cancer and DMD;</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demonstrate the safety and efficacy of our product candidates to the satisfaction of the relevant regulatory authorities;</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39" w:name="page40"/>
    <w:bookmarkEnd w:id="3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47" w:lineRule="exact"/>
        <w:rPr>
          <w:sz w:val="20"/>
          <w:szCs w:val="20"/>
          <w:color w:val="auto"/>
        </w:rPr>
      </w:pPr>
    </w:p>
    <w:p>
      <w:pPr>
        <w:ind w:left="1040" w:hanging="519"/>
        <w:spacing w:after="0" w:line="282" w:lineRule="auto"/>
        <w:tabs>
          <w:tab w:leader="none" w:pos="10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ultimate approval criteria (including non-inferiority margins and statistical analyses methods), indications, patient populations, and ultimate benefit-risk analysis used by regulatory authorities in their approval processes;</w:t>
      </w:r>
    </w:p>
    <w:p>
      <w:pPr>
        <w:spacing w:after="0" w:line="53" w:lineRule="exact"/>
        <w:rPr>
          <w:rFonts w:ascii="Times New Roman" w:cs="Times New Roman" w:eastAsia="Times New Roman" w:hAnsi="Times New Roman"/>
          <w:sz w:val="18"/>
          <w:szCs w:val="18"/>
          <w:color w:val="auto"/>
        </w:rPr>
      </w:pPr>
    </w:p>
    <w:p>
      <w:pPr>
        <w:ind w:left="1040" w:right="500" w:hanging="519"/>
        <w:spacing w:after="0" w:line="282" w:lineRule="auto"/>
        <w:tabs>
          <w:tab w:leader="none" w:pos="10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we are required by the FDA or other regulatory authorities to conduct additional clinical trials, and the scope and nature of such clinical trials, prior to approval to market our products;</w:t>
      </w:r>
    </w:p>
    <w:p>
      <w:pPr>
        <w:spacing w:after="0" w:line="53" w:lineRule="exact"/>
        <w:rPr>
          <w:rFonts w:ascii="Times New Roman" w:cs="Times New Roman" w:eastAsia="Times New Roman" w:hAnsi="Times New Roman"/>
          <w:sz w:val="18"/>
          <w:szCs w:val="18"/>
          <w:color w:val="auto"/>
        </w:rPr>
      </w:pPr>
    </w:p>
    <w:p>
      <w:pPr>
        <w:ind w:left="1040" w:right="320" w:hanging="519"/>
        <w:spacing w:after="0" w:line="282" w:lineRule="auto"/>
        <w:tabs>
          <w:tab w:leader="none" w:pos="10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timely receipt of necessary marketing approvals from the FDA and foreign regulatory authorities, including pricing and reimbursement determinations;</w:t>
      </w:r>
    </w:p>
    <w:p>
      <w:pPr>
        <w:spacing w:after="0" w:line="53" w:lineRule="exact"/>
        <w:rPr>
          <w:rFonts w:ascii="Times New Roman" w:cs="Times New Roman" w:eastAsia="Times New Roman" w:hAnsi="Times New Roman"/>
          <w:sz w:val="18"/>
          <w:szCs w:val="18"/>
          <w:color w:val="auto"/>
        </w:rPr>
      </w:pPr>
    </w:p>
    <w:p>
      <w:pPr>
        <w:ind w:left="1040" w:right="640" w:hanging="519"/>
        <w:spacing w:after="0" w:line="282" w:lineRule="auto"/>
        <w:tabs>
          <w:tab w:leader="none" w:pos="10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successfully commercialize our product candidates, if approved, for marketing and sale by the FDA or foreign regulatory authorities, whether alone or in collaboration with others;</w:t>
      </w:r>
    </w:p>
    <w:p>
      <w:pPr>
        <w:spacing w:after="0" w:line="53" w:lineRule="exact"/>
        <w:rPr>
          <w:rFonts w:ascii="Times New Roman" w:cs="Times New Roman" w:eastAsia="Times New Roman" w:hAnsi="Times New Roman"/>
          <w:sz w:val="18"/>
          <w:szCs w:val="18"/>
          <w:color w:val="auto"/>
        </w:rPr>
      </w:pPr>
    </w:p>
    <w:p>
      <w:pPr>
        <w:ind w:left="1040" w:right="120" w:hanging="519"/>
        <w:spacing w:after="0" w:line="313" w:lineRule="auto"/>
        <w:tabs>
          <w:tab w:leader="none" w:pos="104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and the ability of our third party manufacturing partners to manufacture quantities of our product candidates at quality levels necessary to meet regulatory requirements and at a scale sufficient to meet anticipated demand at a cost that allows us to achieve profitability;</w:t>
      </w:r>
    </w:p>
    <w:p>
      <w:pPr>
        <w:spacing w:after="0" w:line="30" w:lineRule="exact"/>
        <w:rPr>
          <w:rFonts w:ascii="Times New Roman" w:cs="Times New Roman" w:eastAsia="Times New Roman" w:hAnsi="Times New Roman"/>
          <w:sz w:val="17"/>
          <w:szCs w:val="17"/>
          <w:color w:val="auto"/>
        </w:rPr>
      </w:pPr>
    </w:p>
    <w:p>
      <w:pPr>
        <w:ind w:left="1040" w:right="560" w:hanging="519"/>
        <w:spacing w:after="0" w:line="282" w:lineRule="auto"/>
        <w:tabs>
          <w:tab w:leader="none" w:pos="10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in educating health care providers and patients about the benefits, risks, administration and use of our product candidates, if approved;</w:t>
      </w:r>
    </w:p>
    <w:p>
      <w:pPr>
        <w:spacing w:after="0" w:line="53"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of our product candidates, if approved, as safe and effective by patients and the healthcare community;</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efforts to enter into relationships with large dialysis organizations involving the administration of roxadustat to dialysis patients;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achievement and maintenance of compliance with all regulatory requirements applicable to our product candidates;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maintenance of an acceptable safety profile of our products following any approval;</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perceived advantages, relative cost, relative safety, and relative efficacy of alternative and competitive treatments;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sustain an adequate level of pricing or reimbursement for our products by third party payors;</w:t>
      </w:r>
    </w:p>
    <w:p>
      <w:pPr>
        <w:spacing w:after="0" w:line="117" w:lineRule="exact"/>
        <w:rPr>
          <w:rFonts w:ascii="Times New Roman" w:cs="Times New Roman" w:eastAsia="Times New Roman" w:hAnsi="Times New Roman"/>
          <w:sz w:val="18"/>
          <w:szCs w:val="18"/>
          <w:color w:val="auto"/>
        </w:rPr>
      </w:pPr>
    </w:p>
    <w:p>
      <w:pPr>
        <w:ind w:left="1040" w:right="100" w:hanging="519"/>
        <w:spacing w:after="0" w:line="282" w:lineRule="auto"/>
        <w:tabs>
          <w:tab w:leader="none" w:pos="10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enforce successfully our intellectual property rights for our product candidates and against the products of potential competitors; and</w:t>
      </w:r>
    </w:p>
    <w:p>
      <w:pPr>
        <w:spacing w:after="0" w:line="53"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avoid or succeed in third party patent interference or patent infringement claims.</w:t>
      </w:r>
    </w:p>
    <w:p>
      <w:pPr>
        <w:spacing w:after="0" w:line="225" w:lineRule="exact"/>
        <w:rPr>
          <w:sz w:val="20"/>
          <w:szCs w:val="20"/>
          <w:color w:val="auto"/>
        </w:rPr>
      </w:pPr>
    </w:p>
    <w:p>
      <w:pPr>
        <w:jc w:val="both"/>
        <w:ind w:right="380"/>
        <w:spacing w:after="0" w:line="266" w:lineRule="auto"/>
        <w:rPr>
          <w:sz w:val="20"/>
          <w:szCs w:val="20"/>
          <w:color w:val="auto"/>
        </w:rPr>
      </w:pPr>
      <w:r>
        <w:rPr>
          <w:rFonts w:ascii="Times New Roman" w:cs="Times New Roman" w:eastAsia="Times New Roman" w:hAnsi="Times New Roman"/>
          <w:sz w:val="18"/>
          <w:szCs w:val="18"/>
          <w:color w:val="auto"/>
        </w:rPr>
        <w:t>Many of these factors are beyond our control. Accordingly, we cannot assure you that we will ever be able to achieve profitability through the sale of, or royalties from, our product candidates. If we or our collaboration partners are not successful in obtaining approval for and commercializing our product candidates, or are delayed in completing those efforts, our business and operations would be adversely affected.</w:t>
      </w:r>
    </w:p>
    <w:p>
      <w:pPr>
        <w:spacing w:after="0" w:line="280"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commercialization efforts for roxadustat in China are unsuccessful, our business, financial condition and results of operations will be materially harmed.</w:t>
      </w:r>
    </w:p>
    <w:p>
      <w:pPr>
        <w:spacing w:after="0" w:line="51"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7"/>
          <w:szCs w:val="17"/>
          <w:color w:val="auto"/>
        </w:rPr>
        <w:t>We have invested and continue to invest a significant portion of our efforts and financial resources in the development, approval and now commercialization of roxadustat for the treatment of anemia caused by CKD in dialysis patients in China, as well as in other indications and other geographic regions. With the marketing authorization received from the National Medical Products Administration (“NMPA”) of roxadustat for the treatment of anemia caused by CKD in dialysis patients in China, we plan to launch commercialization efforts in China in the third quarter of 2019 with our commercialization partner AstraZeneca.</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success of commercialization of roxadustat in China will depend on numerous factors in China, including:</w:t>
      </w:r>
    </w:p>
    <w:p>
      <w:pPr>
        <w:spacing w:after="0" w:line="117" w:lineRule="exact"/>
        <w:rPr>
          <w:sz w:val="20"/>
          <w:szCs w:val="20"/>
          <w:color w:val="auto"/>
        </w:rPr>
      </w:pPr>
    </w:p>
    <w:p>
      <w:pPr>
        <w:ind w:left="1040" w:hanging="519"/>
        <w:spacing w:after="0"/>
        <w:tabs>
          <w:tab w:leader="none" w:pos="10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in the marketing, sales, and distribution of the product along with our collaboration partner AstraZeneca;</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in negotiating a cost effective reimbursed price with the government in China;</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of roxadustat by state-owned and state-controlled hospitals, physicians, patients and the healthcare community;</w:t>
      </w:r>
    </w:p>
    <w:p>
      <w:pPr>
        <w:spacing w:after="0" w:line="115" w:lineRule="exact"/>
        <w:rPr>
          <w:rFonts w:ascii="Times New Roman" w:cs="Times New Roman" w:eastAsia="Times New Roman" w:hAnsi="Times New Roman"/>
          <w:sz w:val="18"/>
          <w:szCs w:val="18"/>
          <w:color w:val="auto"/>
        </w:rPr>
      </w:pPr>
    </w:p>
    <w:p>
      <w:pPr>
        <w:ind w:left="1040" w:right="360" w:hanging="519"/>
        <w:spacing w:after="0" w:line="284" w:lineRule="auto"/>
        <w:tabs>
          <w:tab w:leader="none" w:pos="10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of pricing and placement of roxadustat on China’s Medical Insurance Catalogs. Refer to “</w:t>
      </w:r>
      <w:r>
        <w:rPr>
          <w:rFonts w:ascii="Times New Roman" w:cs="Times New Roman" w:eastAsia="Times New Roman" w:hAnsi="Times New Roman"/>
          <w:sz w:val="18"/>
          <w:szCs w:val="18"/>
          <w:i w:val="1"/>
          <w:iCs w:val="1"/>
          <w:color w:val="auto"/>
        </w:rPr>
        <w:t>Business – Government Regulation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Regulation in China</w:t>
      </w:r>
      <w:r>
        <w:rPr>
          <w:rFonts w:ascii="Times New Roman" w:cs="Times New Roman" w:eastAsia="Times New Roman" w:hAnsi="Times New Roman"/>
          <w:sz w:val="18"/>
          <w:szCs w:val="18"/>
          <w:color w:val="auto"/>
        </w:rPr>
        <w:t>”;</w:t>
      </w:r>
    </w:p>
    <w:p>
      <w:pPr>
        <w:spacing w:after="0" w:line="52"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establishing and maintaining commercial manufacturing with third parties;</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121" w:right="299" w:bottom="1440" w:gutter="0" w:footer="0" w:header="0"/>
        </w:sectPr>
      </w:pPr>
    </w:p>
    <w:bookmarkStart w:id="40" w:name="page41"/>
    <w:bookmarkEnd w:id="4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47" w:lineRule="exact"/>
        <w:rPr>
          <w:sz w:val="20"/>
          <w:szCs w:val="20"/>
          <w:color w:val="auto"/>
        </w:rPr>
      </w:pPr>
    </w:p>
    <w:p>
      <w:pPr>
        <w:ind w:left="1040" w:right="40" w:hanging="519"/>
        <w:spacing w:after="0" w:line="282" w:lineRule="auto"/>
        <w:tabs>
          <w:tab w:leader="none" w:pos="10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manufacturing our drug substances and drug products through our subsidiary FibroGen (China) Medical Technology Development Co., Ltd. (“FibroGen Beijing”);</w:t>
      </w:r>
    </w:p>
    <w:p>
      <w:pPr>
        <w:spacing w:after="0" w:line="53"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receiving market authorization for roxadustat for anemia caused by CKD in non-dialysis patients;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in arranging for and passing the inspection of our clinical sites by the NMPA;</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AstraZeneca is able to recruit and retain adequate numbers of effective sales and marketing personnel for the sale of roxadustat;</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we can compete successfully as a new entrant in the treatment of anemia caused by CKD in dialysis patients in China; and</w:t>
      </w:r>
    </w:p>
    <w:p>
      <w:pPr>
        <w:spacing w:after="0" w:line="117" w:lineRule="exact"/>
        <w:rPr>
          <w:rFonts w:ascii="Times New Roman" w:cs="Times New Roman" w:eastAsia="Times New Roman" w:hAnsi="Times New Roman"/>
          <w:sz w:val="18"/>
          <w:szCs w:val="18"/>
          <w:color w:val="auto"/>
        </w:rPr>
      </w:pPr>
    </w:p>
    <w:p>
      <w:pPr>
        <w:ind w:left="1040" w:right="660" w:hanging="519"/>
        <w:spacing w:after="0" w:line="282" w:lineRule="auto"/>
        <w:tabs>
          <w:tab w:leader="none" w:pos="10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we will maintain sufficient funding to cover the costs and expenses associated with creating and sustaining a capable sales and marketing organization and related commercial infrastructure.</w:t>
      </w:r>
    </w:p>
    <w:p>
      <w:pPr>
        <w:spacing w:after="0" w:line="5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Successful commercialization of roxadustat will require significant resources and time, and there is a risk that we may not successfully commercialize roxadustat. If we do not achieve one or more of these factors in a timely manner or at all, we could experience significant delays or an inability to successfully commercialize roxadustat and generate revenues, which would deprive us from additional working capital and would materially harm our business. If we do not successfully commercialize roxadustat in China, our collaboration partners and third parties may also lose confidence in our ability to execute in commercialization efforts and become less likely to collaborate with us, and our business may be harmed.</w:t>
      </w:r>
    </w:p>
    <w:p>
      <w:pPr>
        <w:spacing w:after="0" w:line="288"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As a Company, we have no commercialization experience, and the time and resources to develop such experience are significant. If we fail to achieve and sustain commercial success for roxadustat in China, either directly or with AstraZeneca, our business would be harmed.</w:t>
      </w:r>
    </w:p>
    <w:p>
      <w:pPr>
        <w:spacing w:after="0" w:line="5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Commercializing roxadustat in China with AstraZeneca will require us to establish commercialization systems, including but not limited to, medical affairs, sales, pharmacovigilance, supply-chain, and distribution capabilities to perform our portion of the collaborative efforts. These efforts will require resources and time. In particular, significant resources may be necessary to successfully market, sell and distribute roxadustat to patients with anemia caused by CKD in dialysis patients. If we, along with AstraZeneca, are not successful in setting our marketing, pricing and reimbursement strategy, facilitating adoption by hospitals in China, recruiting sales and marketing personnel or in building a sales and marketing infrastructure, we will have difficulty commercializing roxadustat, which would adversely affect our business and financial condition.</w:t>
      </w:r>
    </w:p>
    <w:p>
      <w:pPr>
        <w:spacing w:after="0" w:line="292"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As we evolve from a company primarily involved in research and development to a company potentially involved in commercialization, we may encounter difficulties in managing our growth and expanding our operations successfully.</w:t>
      </w:r>
    </w:p>
    <w:p>
      <w:pPr>
        <w:spacing w:after="0" w:line="51"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If we are successful in advancing roxadustat and our other product candidates through the development stage towards commercialization, we will need to expand our organization, including adding marketing and sales capabilities or continuing to contract with third parties to provide these capabilities for us. As our operations expand, we expect that we will also need to manage our existing and additional relationships with various collaborative partners, suppliers and other third parties. Future growth will impose significant added responsibilities on our organization, in particular on management. Our future financial performance and our ability to commercialize roxadustat and our other product candidates and to compete effectively will depend, in part, on our ability to manage any future growth effectively. To that end, we may not be able to manage our growth efforts effectively, and hire, train and integrate additional management, administrative and sales and marketing personnel, and our failure to accomplish any of these activities could prevent us from successfully growing our company.</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1" w:name="page42"/>
    <w:bookmarkEnd w:id="4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jc w:val="both"/>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Although FibroGen Beijing obtained regulatory approval for roxadustat in China in December 2018, we may be unable to obtain regulatory approval for our product candidates in other countries, or such approval may be delayed or limited, due to a number of factors, many of which are beyond our control.</w:t>
      </w:r>
    </w:p>
    <w:p>
      <w:pPr>
        <w:spacing w:after="0" w:line="28"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clinical trials and the manufacturing of our product candidates are and will continue to be, and the marketing of our product candidates will be, subject to extensive and rigorous review and regulation by numerous government authorities in the U.S. and in other countries where we intend to develop and, if approved, market any product candidates. Before obtaining regulatory approval for the commercial sale of any product candidate, we must demonstrate through extensive preclinical trials and clinical trials that the product candidate is safe and effective for use in each indication for which approval is sought. The regulatory review and approval process is expensive and requires substantial resources and time, and in general very few product candidates that enter development receive regulatory approval. In addition, our collaboration partners for roxadustat have final control over development decisions in their respective territories and they may make decisions with respect to development or regulatory authorities that delay or limit the potential approval of roxadustat, or increase the cost of development or commercialization. Accordingly, we may be unable to successfully develop or commercialize roxadustat or pamrevlumab or any of our other product candidates.</w:t>
      </w:r>
    </w:p>
    <w:p>
      <w:pPr>
        <w:spacing w:after="0" w:line="189"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Even though FibroGen Beijing obtained regulatory approval for roxadustat in China, we have not obtained regulatory approval for any of our product candidates in other countries and it is possible that roxadustat and pamrevlumab will never receive regulatory approval in other countries. Other regulatory authorities may take actions or impose requirements that delay, limit or deny approval of roxadustat or pamrevlumab for many reasons, including, among others:</w:t>
      </w:r>
    </w:p>
    <w:p>
      <w:pPr>
        <w:spacing w:after="0" w:line="72" w:lineRule="exact"/>
        <w:rPr>
          <w:sz w:val="20"/>
          <w:szCs w:val="20"/>
          <w:color w:val="auto"/>
        </w:rPr>
      </w:pPr>
    </w:p>
    <w:p>
      <w:pPr>
        <w:ind w:left="1040" w:right="20" w:hanging="519"/>
        <w:spacing w:after="0" w:line="282" w:lineRule="auto"/>
        <w:tabs>
          <w:tab w:leader="none" w:pos="10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adequately demonstrate to the satisfaction of regulatory authorities that roxadustat is safe and effective in treating anemia in CKD or that pamrevlumab is safe and effective in treating IPF, pancreatic cancer or DMD;</w:t>
      </w:r>
    </w:p>
    <w:p>
      <w:pPr>
        <w:spacing w:after="0" w:line="53"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demonstrate that a product candidate’s clinical and other benefits outweigh its safety risks;</w:t>
      </w:r>
    </w:p>
    <w:p>
      <w:pPr>
        <w:spacing w:after="0" w:line="117" w:lineRule="exact"/>
        <w:rPr>
          <w:rFonts w:ascii="Times New Roman" w:cs="Times New Roman" w:eastAsia="Times New Roman" w:hAnsi="Times New Roman"/>
          <w:sz w:val="18"/>
          <w:szCs w:val="18"/>
          <w:color w:val="auto"/>
        </w:rPr>
      </w:pPr>
    </w:p>
    <w:p>
      <w:pPr>
        <w:ind w:left="1040" w:right="240" w:hanging="519"/>
        <w:spacing w:after="0" w:line="282" w:lineRule="auto"/>
        <w:tabs>
          <w:tab w:leader="none" w:pos="10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determination by regulatory authorities that additional clinical trials are necessary to demonstrate the safety and efficacy of roxadustat or pamrevlumab, or that ongoing clinical trials need to be modified in design, size, conduct or implementation;</w:t>
      </w:r>
    </w:p>
    <w:p>
      <w:pPr>
        <w:spacing w:after="0" w:line="53"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candidates may exhibit an unacceptable safety signal as they advance through clinical trials, in particular controlled Phase 3 trials;</w:t>
      </w:r>
    </w:p>
    <w:p>
      <w:pPr>
        <w:spacing w:after="0" w:line="117" w:lineRule="exact"/>
        <w:rPr>
          <w:rFonts w:ascii="Times New Roman" w:cs="Times New Roman" w:eastAsia="Times New Roman" w:hAnsi="Times New Roman"/>
          <w:sz w:val="18"/>
          <w:szCs w:val="18"/>
          <w:color w:val="auto"/>
        </w:rPr>
      </w:pPr>
    </w:p>
    <w:p>
      <w:pPr>
        <w:ind w:left="1040" w:right="280" w:hanging="519"/>
        <w:spacing w:after="0" w:line="282" w:lineRule="auto"/>
        <w:tabs>
          <w:tab w:leader="none" w:pos="10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clinical research organizations (“CROs”) that conduct clinical trials on our behalf may take actions outside of our control that materially adversely impact our clinical trials;</w:t>
      </w:r>
    </w:p>
    <w:p>
      <w:pPr>
        <w:spacing w:after="0" w:line="53" w:lineRule="exact"/>
        <w:rPr>
          <w:rFonts w:ascii="Times New Roman" w:cs="Times New Roman" w:eastAsia="Times New Roman" w:hAnsi="Times New Roman"/>
          <w:sz w:val="18"/>
          <w:szCs w:val="18"/>
          <w:color w:val="auto"/>
        </w:rPr>
      </w:pPr>
    </w:p>
    <w:p>
      <w:pPr>
        <w:ind w:left="1040" w:right="640" w:hanging="519"/>
        <w:spacing w:after="0" w:line="282" w:lineRule="auto"/>
        <w:tabs>
          <w:tab w:leader="none" w:pos="10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third party contractors manufacturing our product candidates may not maintain current good manufacturing practices (“cGMP”), successfully pass inspection or meet other applicable manufacturing regulatory requirements;</w:t>
      </w:r>
    </w:p>
    <w:p>
      <w:pPr>
        <w:spacing w:after="0" w:line="53"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not agree with our interpretation of the data from our preclinical trials and clinical trials;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collaboration partners may not perform or complete their clinical programs in a timely manner, or at all; or</w:t>
      </w:r>
    </w:p>
    <w:p>
      <w:pPr>
        <w:spacing w:after="0" w:line="117" w:lineRule="exact"/>
        <w:rPr>
          <w:rFonts w:ascii="Times New Roman" w:cs="Times New Roman" w:eastAsia="Times New Roman" w:hAnsi="Times New Roman"/>
          <w:sz w:val="18"/>
          <w:szCs w:val="18"/>
          <w:color w:val="auto"/>
        </w:rPr>
      </w:pPr>
    </w:p>
    <w:p>
      <w:pPr>
        <w:ind w:left="1040" w:right="240" w:hanging="519"/>
        <w:spacing w:after="0" w:line="282" w:lineRule="auto"/>
        <w:tabs>
          <w:tab w:leader="none" w:pos="10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principal investigators may determine that one or more serious adverse events (“SAEs”), is related or possibly related to roxadustat, and any such determination may adversely affect our ability to obtain regulatory approval, whether or not the determination is correct.</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Any of these factors, many of which are beyond our control, could jeopardize our or our collaboration partners’ abilities to obtain regulatory approval for and successfully market roxadustat. Because our business and operations in the near-term are almost entirely dependent upon roxadustat, any significant delays or impediments to regulatory approval could have a material adverse effect on our business and prospects.</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42" w:name="page43"/>
    <w:bookmarkEnd w:id="4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In China, the NMPA required that FibroGen Beijing conduct three clinical studies as a post-approval commitment: (i) a post-approval safety study in 2,000 patients; (ii) a drug-intensive monitoring study in 1,000 patients; and (iii) a dosing optimization study in approximately 300 patients on dialysis. Furthermore, in the U.S., we also expect to be required to perform additional clinical trials in order to obtain approval or as a condition to maintaining approval due to post-marketing requirements. If the FDA requires a risk evaluation and mitigation strategy (“REMS”), for any of our product candidates if approved, the substantial cost and expense of complying with a REMS or other post-marketing requirements may limit our ability to successfully commercialize our product candidates.</w:t>
      </w:r>
    </w:p>
    <w:p>
      <w:pPr>
        <w:spacing w:after="0" w:line="292"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Preclinical, Phase 1 and Phase 2 clinical trial results may not be indicative of the results that may be obtained in larger, controlled Phase 3 clinical trials required for approval.*</w:t>
      </w:r>
    </w:p>
    <w:p>
      <w:pPr>
        <w:spacing w:after="0" w:line="51" w:lineRule="exact"/>
        <w:rPr>
          <w:sz w:val="20"/>
          <w:szCs w:val="20"/>
          <w:color w:val="auto"/>
        </w:rPr>
      </w:pPr>
    </w:p>
    <w:p>
      <w:pPr>
        <w:ind w:right="380"/>
        <w:spacing w:after="0" w:line="261" w:lineRule="auto"/>
        <w:rPr>
          <w:sz w:val="20"/>
          <w:szCs w:val="20"/>
          <w:color w:val="auto"/>
        </w:rPr>
      </w:pPr>
      <w:r>
        <w:rPr>
          <w:rFonts w:ascii="Times New Roman" w:cs="Times New Roman" w:eastAsia="Times New Roman" w:hAnsi="Times New Roman"/>
          <w:sz w:val="18"/>
          <w:szCs w:val="18"/>
          <w:color w:val="auto"/>
        </w:rPr>
        <w:t>Clinical development is expensive and can take many years to complete, and its outcome is inherently uncertain. Failure can occur at any time during the clinical trial process. Success in preclinical and early clinical trials, which are often highly variable and use small sample sizes, may not be predictive of similar results in humans or in larger, controlled clinical trials, and successful results from early or small clinical trials may not be replicated or show as favorable an outcome, even if successful.</w:t>
      </w:r>
    </w:p>
    <w:p>
      <w:pPr>
        <w:spacing w:after="0" w:line="18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have conducted a limited number of Phase 2 clinical trials with pamrevlumab. We have conducted a randomized placebo-controlled study in 103 IPF patients with sub-studies in an additional 57 IPF patients comparing pamrevlumab to one of two standards of care, an open-label Phase 2 dose escalation study of pamrevlumab for IPF in 89 patients and a randomized double-blind placebo controlled study for liver fibrosis in subjects with hepatitis B, and we are currently conducting an open-label randomized, active-control, neoadjuvant Phase 2 trial in pancreatic cancer combining pamrevlumab with nab-paclitaxel plus gemcitabine in 37 patients. We cannot be sure that the results we have received to date from these trials will be substantiated in larger, well-controlled Phase 3 clinical trials, that larger trials will demonstrate the safety and efficacy of pamrevlumab for these or other indications, that further studies will provide benefits over existing approved products or that new safety issues will not be uncovered in further trials. In addition, while we believe that the limited animal and human studies conducted to date suggest that pamrevlumab has the potential to arrest or reverse fibrosis and reduce tumor mass in some patients or diseases, we cannot be sure that these results will be indicative of the effects of pamrevlumab in larger human trials. In addition, the IPF and pancreatic cancer patient populations are extremely ill and routinely experience SAEs, including death, which may be attributed to pamrevlumab in a manner that negatively impacts the safety profile of our product candidate. If the additional clinical trials that we are planning or are currently conducting for pamrevlumab do not show favorable efficacy results or result in safety concerns, or if we do not meet our clinical endpoints with statistical significance, or demonstrate an acceptable risk-benefit profile, we may be prevented from or delayed in obtaining regulatory approval for pamrevlumab in one or both of these indications.</w:t>
      </w:r>
    </w:p>
    <w:p>
      <w:pPr>
        <w:spacing w:after="0" w:line="18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In the past we developed an earlier generation product candidate aimed at treating anemia in CKD that resulted in a clinical hold for a safety signal seen in that product in Phase 2 clinical trials. The clinical hold applied to that product candidate and roxadustat was lifted for both product candidates after submission of the requested information to the FDA. While we have not seen similar safety concerns involving roxadustat to date, some of the safety concerns associated with the treatment of patients with anemia in CKD using erythropoiesis stimulating agents (“ESAs”) did not emerge for many years until placebo-controlled studies had been conducted in large numbers of patients. And while the data monitoring committee for our U.S. and Europe Phase 3 anemia trials has consistently determined that our trials should continue without modification to the protocol, safety issues may still be discovered upon review of unblinded major adverse cardiac event (“MACE”) or other data. The biochemical pathways that we believe are affected by roxadustat are implicated in a variety of biological processes and disease conditions, and it is possible that the use of roxadustat to treat larger numbers of patients will demonstrate unanticipated adverse effects, including possible drug interactions, which may negatively impact the safety profile, use and market acceptance of roxadustat. We studied the potential interaction between roxadustat and three statins (atorvastatin, rosuvastatin and simvastatin), which are used to lower levels of lipids in the blood. An adverse effect associated with increased statin plasma concentration is myopathy, which typically presents in a form of myalgia. The studies indicated the potential for increased exposure to those statins when roxadustat is taken simultaneously with those statins and suggested the need for statin dose reductions for patients receiving higher statin doses. We performed additional clinical pharmacology studies to evaluate if the effect of any such interaction could be minimized or eliminated by a modification of the dosing schedule that would separate the administration of roxadustat and the statin by up to 10 hours, however, such studies showed no minimization of effect. It is possible that the potential for interaction between roxadustat and statins could lead to label provisions for statins or roxadustat relating, for example, to dose scheduling or recommended statin dose limitations. In CKD patients, statin therapy is often initiated earlier than treatment for anemia, and risks of myopathy have been shown to decrease with increased time on drug. While we believe the prior statin treatment history of such patients at established doses may reduce the risk of adverse effects from any interaction with roxadustat and facilitate any appropriate dose adjustments, we cannot be sure that this will be the case.</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3" w:name="page44"/>
    <w:bookmarkEnd w:id="4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Our Phase 3 trials include a MACE safety endpoint, which is a composite endpoint designed to identify major safety concerns, in particular relating to cardiovascular events such as cardiovascular death, myocardial infarction and stroke. The EMA is requiring MACE+ as a safety endpoint which, in addition to the MACE components, incorporates measurements of hospitalization rates due to heart failure or unstable angina. The FDA has also informed us that the MACE endpoint will need to be evaluated separately for our Phase 3 trials in non-dialysis-dependent (“NDD”)-CKD patients and our Phase 3 trials in dialysis-dependent (“DD”)-CKD patients. The MACE endpoint is being evaluated in pooled analysis across Phase 3 studies of similar study populations and requires demonstration of non-inferiority relative to comparator, which means that the MACE event rate in roxadustat-treated patients must have less than a specified probability of exceeding the rate in the comparator trial by a specified hazard ratio.</w:t>
      </w:r>
    </w:p>
    <w:p>
      <w:pPr>
        <w:spacing w:after="0" w:line="189"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The number of patients necessary in order to permit a statistical analysis with adequate ability to detect the relative risk of MACE or MACE+ events in different arms of the trial, referred to as statistical power, depends on a number of factors, including the rate at which MACE or MACE+ events occur per patient-year in the trial, treatment duration of the patients, the achieved hazard ratios, the rates of discontinuation, and the required statistical power and confidence intervals.</w:t>
      </w:r>
    </w:p>
    <w:p>
      <w:pPr>
        <w:spacing w:after="0" w:line="18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addition, we cannot be sure that the potential advantages we believe roxadustat may have for treatment of patients with anemia in CKD, as compared to the use of ESAs, will be substantiated by our larger U.S. and European Phase 3 clinical trials, or that we will be able to include a discussion of such advantages in our labeling should we obtain approval. We believe that roxadustat may have certain benefits as compared to ESAs based on the data from our Phase 2 clinical trials and China Phase 3 trials conducted to date, including safety benefits, the absence of a hypertensive effect, the potential to lower cholesterol levels and the potential to correct anemia without the use of IV iron. However, our belief that roxadustat may offer those benefits is based on a limited amount of data from our clinical trials to date, and our understanding of the likely mechanisms of action for roxadustat. Some of these benefits, such as those associated with the apparent effects on blood pressure and cholesterol, are not fully understood and, even if roxadustat receives marketing approval in additional countries beyond China, we do not expect that it will be approved for the treatment of high blood pressure or high cholesterol based on the data from our Phase 3 trials, and we may not be able to refer to any such benefits in the labeling. While the data from our Phase 2 trials suggests roxadustat may reduce low-density lipoprotein (“LDL”), and reduce the ratio of LDL to high-density lipoprotein (“HDL”), the data show it may also reduce HDL, which may be a risk to patients. In addition, causes of the safety concerns associated with the use of ESAs to achieve specified target hemoglobin levels have not been fully elucidated. While we believe that the issues giving rise to these concerns with ESAs are likely due to factors other than the hemoglobin levels achieved, we cannot be certain that roxadustat will not be associated with similar, or more severe, safety concerns.</w:t>
      </w:r>
    </w:p>
    <w:p>
      <w:pPr>
        <w:spacing w:after="0" w:line="18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Many companies in the pharmaceutical and biotechnology industries have suffered significant setbacks in late-stage clinical trials after achieving positive results in early-stage development, and we may face similar setbacks. In addition, the CKD patient population has many afflictions that may cause severe illness or death, which may be attributed to roxadustat in a manner that negatively impacts the safety profile of our product candidate. The results of our completed Phase 3 clinical trials for roxadustat demonstrated efficacy, as all primary efficacy endpoints were met with statistical significance. While we have reported topline cardiovascular safety results, the analysis of these data is ongoing; there may be unanticipated safety concerns or adverse events that prevent from or delay obtaining marketing approval for roxadustat, and even if we obtain marketing approval, any sales of roxadustat may suffer.</w:t>
      </w:r>
    </w:p>
    <w:p>
      <w:pPr>
        <w:spacing w:after="0" w:line="292"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do not know whether our ongoing or planned clinical trials of roxadustat or pamrevlumab will need to be redesigned based on interim results, be able to achieve sufficient enrollment or be completed on schedule, if at all.*</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Clinical trials can be delayed or terminated for a variety of reasons, including delay or failure to:</w:t>
      </w:r>
    </w:p>
    <w:p>
      <w:pPr>
        <w:spacing w:after="0" w:line="117" w:lineRule="exact"/>
        <w:rPr>
          <w:sz w:val="20"/>
          <w:szCs w:val="20"/>
          <w:color w:val="auto"/>
        </w:rPr>
      </w:pPr>
    </w:p>
    <w:p>
      <w:pPr>
        <w:ind w:left="1040" w:hanging="519"/>
        <w:spacing w:after="0"/>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 any physician or patient safety concerns that arise during the course of the trial;</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required regulatory or institutional review board (“IRB”) approval or guidance;</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reach timely agreement on acceptable terms with prospective CROs and clinical trial sites;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recruit, enroll and retain patients through the completion of the trial;</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clinical sites in compliance with clinical trial protocols;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or add a sufficient number of clinical trial sites; and</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manufacture sufficient quantities of product candidate for use in clinical trials.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44" w:name="page45"/>
    <w:bookmarkEnd w:id="4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In addition, we could encounter delays if a clinical trial is suspended or terminated by us, by the relevant IRBs at the sites at which such trials are being conducted, or by the FDA or other regulatory authorities. A suspension or termination of clinical trials may result from any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changes in laws or regulations, or a principal investigator’s determination that a serious adverse event could be related to our product candidates. Any delays in completing our clinical trials will increase the costs of the trial, delay the product candidate development and approval process and jeopardize our ability to commence marketing and generate revenues. Any of these occurrences may materially and adversely harm our business and operations and prospects.</w:t>
      </w:r>
    </w:p>
    <w:p>
      <w:pPr>
        <w:spacing w:after="0" w:line="293"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product candidates may cause or have attributed to them undesirable side effects or have other properties that delay or prevent their regulatory approval or limit their commercial potential.</w:t>
      </w:r>
    </w:p>
    <w:p>
      <w:pPr>
        <w:spacing w:after="0" w:line="5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Undesirable side effects caused by our product candidates or that may be identified as related to our product candidates by physician investigators conducting our clinical trials or even competing products in development that utilize a similar mechanism of action or act through a similar biological disease pathway could cause us or regulatory authorities to interrupt, delay or halt clinical trials and could result in the delay or denial of regulatory approval by the FDA or other regulatory authorities and potential product liability claims. Adverse events and SAEs that emerge during treatment with our product candidates or other compounds acting through similar biological pathways may be deemed to be related to our product candidate and may result in:</w:t>
      </w:r>
    </w:p>
    <w:p>
      <w:pPr>
        <w:spacing w:after="0" w:line="76" w:lineRule="exact"/>
        <w:rPr>
          <w:sz w:val="20"/>
          <w:szCs w:val="20"/>
          <w:color w:val="auto"/>
        </w:rPr>
      </w:pPr>
    </w:p>
    <w:p>
      <w:pPr>
        <w:ind w:left="1040" w:hanging="519"/>
        <w:spacing w:after="0"/>
        <w:tabs>
          <w:tab w:leader="none" w:pos="10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Phase 3 clinical trial development plan becoming longer and more extensive;</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increasing the data and information required to approve our product candidates and imposing other requirements; and</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collaboration partners terminating our existing agreements.</w:t>
      </w:r>
    </w:p>
    <w:p>
      <w:pPr>
        <w:spacing w:after="0" w:line="225"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The occurrence of any or all of these events may cause the development of our product candidates to be delayed or terminated, which could materially and adversely affect our business and prospects. Refer to “</w:t>
      </w:r>
      <w:r>
        <w:rPr>
          <w:rFonts w:ascii="Times New Roman" w:cs="Times New Roman" w:eastAsia="Times New Roman" w:hAnsi="Times New Roman"/>
          <w:sz w:val="18"/>
          <w:szCs w:val="18"/>
          <w:i w:val="1"/>
          <w:iCs w:val="1"/>
          <w:color w:val="auto"/>
        </w:rPr>
        <w:t>Business — Our Development Program for Roxadustat</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Business — Pamrevlumab for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Treatment of Fibrosis and Cancer</w:t>
      </w:r>
      <w:r>
        <w:rPr>
          <w:rFonts w:ascii="Times New Roman" w:cs="Times New Roman" w:eastAsia="Times New Roman" w:hAnsi="Times New Roman"/>
          <w:sz w:val="18"/>
          <w:szCs w:val="18"/>
          <w:color w:val="auto"/>
        </w:rPr>
        <w:t>” for a discussion of the adverse events and SAEs that have emerged in clinical trials of roxadustat and pamrevlumab.</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Clinical trials of our product candidates may not uncover all possible adverse effects that patients may experience.</w:t>
      </w:r>
    </w:p>
    <w:p>
      <w:pPr>
        <w:spacing w:after="0" w:line="121"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Clinical trials are conducted in representative samples of the potential patient population, which may have significant variability. Clinical trials are by design based on a limited number of subjects and of limited duration for exposure to the product used to determine whether, on a potentially statistically significant basis, the planned safety and efficacy of any product candidate can be achieved. As with the results of any statistical sampling, we cannot be sure that all side effects of our product candidates may be uncovered, and it may be the case that only with a significantly larger number of patients exposed to the product candidate for a longer duration, that a more complete safety profile is identified. Further, even larger clinical trials may not identify rare serious adverse effects or the duration of such studies may not be sufficient to identify when those events may occur. There have been other products, including ESAs, for which safety concerns have been uncovered following approval by regulatory authorities. Such safety concerns have led to labeling changes or withdrawal of ESAs products from the market. While our most advanced product candidate is chemically unique from ESAs, it or any of our product candidates may be subject to similar risks. For example, roxadustat for use in anemia in CKD is being developed to address a very diverse patient population expected to have many serious health conditions at the time of administration of roxadustat, including diabetes, high blood pressure and declining kidney function.</w:t>
      </w:r>
    </w:p>
    <w:p>
      <w:pPr>
        <w:spacing w:after="0" w:line="18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To date we have not seen evidence of significant safety concerns with our product candidates currently in clinical trials. Patients treated with our products, if approved, may experience adverse reactions and it is possible that the FDA or other regulatory authorities may ask for additional safety data as a condition of, or in connection with, our efforts to obtain approval of our product candidates. If safety problems occur or are identified after our product candidates reach the market, we may, or regulatory authorities may require us to amend the labeling of our products, recall our products or even withdraw approval for our products.</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5" w:name="page46"/>
    <w:bookmarkEnd w:id="4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fail to enroll a sufficient number of patients in our clinical trials in a timely manner, which could delay or prevent clinical trials of our product candidates.</w:t>
      </w:r>
    </w:p>
    <w:p>
      <w:pPr>
        <w:spacing w:after="0" w:line="51"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Identifying and qualifying patients to participate in clinical trials of our product candidates is critical to our success. The timing of our clinical trials depends on the rate at which we can recruit and enroll patients in testing our product candidates. Patients may be unwilling to participate in clinical trials of our product candidates for a variety of reasons, some of which may be beyond our control:</w:t>
      </w:r>
    </w:p>
    <w:p>
      <w:pPr>
        <w:spacing w:after="0" w:line="68" w:lineRule="exact"/>
        <w:rPr>
          <w:sz w:val="20"/>
          <w:szCs w:val="20"/>
          <w:color w:val="auto"/>
        </w:rPr>
      </w:pPr>
    </w:p>
    <w:p>
      <w:pPr>
        <w:ind w:left="1040" w:hanging="519"/>
        <w:spacing w:after="0"/>
        <w:tabs>
          <w:tab w:leader="none" w:pos="10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severity of the disease under investigation;</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of alternative treatments;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size and nature of the patient population;</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eligibility criteria for and design of the study in question;</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perceived risks and benefits of the product candidate under study;</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ongoing clinical trials of competitive agents;</w:t>
      </w:r>
    </w:p>
    <w:p>
      <w:pPr>
        <w:spacing w:after="0" w:line="117" w:lineRule="exact"/>
        <w:rPr>
          <w:rFonts w:ascii="Times New Roman" w:cs="Times New Roman" w:eastAsia="Times New Roman" w:hAnsi="Times New Roman"/>
          <w:sz w:val="18"/>
          <w:szCs w:val="18"/>
          <w:color w:val="auto"/>
        </w:rPr>
      </w:pPr>
    </w:p>
    <w:p>
      <w:pPr>
        <w:ind w:left="1040" w:right="260" w:hanging="519"/>
        <w:spacing w:after="0" w:line="282" w:lineRule="auto"/>
        <w:tabs>
          <w:tab w:leader="none" w:pos="10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physicians’ and patients’ perceptions of the potential advantages of our product candidates being studied in relation to available therapies or other products under development;</w:t>
      </w:r>
    </w:p>
    <w:p>
      <w:pPr>
        <w:spacing w:after="0" w:line="53"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CRO’s and our trial sites’ efforts to facilitate timely enrollment in clinical trials;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 referral practices of physicians; and</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monitor patients and collect patient data adequately during and after treatment.</w:t>
      </w:r>
    </w:p>
    <w:p>
      <w:pPr>
        <w:spacing w:after="0" w:line="22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Patients may be unwilling to participate in our clinical trials for roxadustat due to adverse events observed in other drug treatments of anemia in CKD, and patients currently controlling their disease with existing ESAs may be reluctant to participate in a clinical trial with an investigational drug. We may not be able to successfully initiate or continue clinical trials if we cannot rapidly enroll a sufficient number of eligible patients to participate in the clinical trials required by regulatory agencies. If we have difficulty enrolling a sufficient number of patients to conduct our clinical trials as planned, we may need to delay, limit or terminate on-going or planned clinical trials, any of which could have a material and adverse effect on our business and prospects.</w:t>
      </w:r>
    </w:p>
    <w:p>
      <w:pPr>
        <w:spacing w:after="0" w:line="288"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or third party manufacturers and other service providers on which we rely cannot manufacture sufficient quantities of our product candidates, or at sufficient quality, or perform other services we require, we may experience delays in development, regulatory approval, launch or commercialization.</w:t>
      </w:r>
    </w:p>
    <w:p>
      <w:pPr>
        <w:spacing w:after="0" w:line="51"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Completion of our clinical trials and commercialization of our product candidates require access to, or development of, facilities to manufacture and manage our product candidates at sufficient yields and at commercial scale. Although we have entered into commercial supply agreements for the manufacture of some of our raw materials, we have not yet entered into commercial supply agreements with all of our third-party manufacturers. We are continuing to negotiate and expect to enter into commercial supply agreements and other supply management agreements with third-party manufacturers, but we may not be able to enter into these agreements with satisfactory terms or on a timely manner.</w:t>
      </w:r>
    </w:p>
    <w:p>
      <w:pPr>
        <w:spacing w:after="0" w:line="18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have limited experience manufacturing or managing third parties in manufacturing any of our product candidates in the volumes that are expected to be necessary to support large-scale clinical trials and sales. In addition, we have limited experience forecasting supply requirements or coordinating supply chain (including export management) for launch or commercialization, which is a complex process involving our third-party manufacturers and logistics providers, and for roxadustat, our collaboration partners. We may not be able to accurately forecast supplies for commercial launch, or do so in a timely manner and our efforts to establish these manufacturing and supply chain management capabilities may not meet our requirements as to quantities, scale-up, yield, cost, potency or quality in compliance with cGMP.</w:t>
      </w:r>
    </w:p>
    <w:p>
      <w:pPr>
        <w:spacing w:after="0" w:line="18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have a limited amount of roxadustat and pamrevlumab in storage, limited capacity reserved at our third-party manufacturers, and there are long lead times required to manufacture and scale-up the manufacture of additional supply, as required for both late-stage clinical trials, post-approval trials, and commercial supply. If we are unable to forecast, order or manufacture sufficient quantities of roxadustat or pamrevlumab on a timely basis, it may delay our development, launch or commercialization in some or all indications we are currently pursuing. For example, prior to agreement with regulatory authorities on the scope of our Phase 3 IPF trial design, there is uncertainty as to whether our supply plans will meet our clinical requirements in a timely manner. Any delay or interruption in the supply of our product candidates or products could have a material adverse effect on our business and operations.</w:t>
      </w:r>
    </w:p>
    <w:p>
      <w:pPr>
        <w:spacing w:after="0" w:line="1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46" w:name="page47"/>
    <w:bookmarkEnd w:id="4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Our clinical trials must be conducted with product produced under applicable cGMP regulations. Failure to comply with these regulations may require us to repeat clinical trials, which would delay the regulatory approval process. We, and even an experienced third party manufacturer, may encounter difficulties in production. Difficulties may include:</w:t>
      </w:r>
    </w:p>
    <w:p>
      <w:pPr>
        <w:spacing w:after="0" w:line="68" w:lineRule="exact"/>
        <w:rPr>
          <w:sz w:val="20"/>
          <w:szCs w:val="20"/>
          <w:color w:val="auto"/>
        </w:rPr>
      </w:pPr>
    </w:p>
    <w:p>
      <w:pPr>
        <w:ind w:left="1040" w:right="760" w:hanging="519"/>
        <w:spacing w:after="0" w:line="282" w:lineRule="auto"/>
        <w:tabs>
          <w:tab w:leader="none" w:pos="10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and challenges associated with scale-up and attaining sufficient manufacturing yields, in particular for biologic products such as pamrevlumab, which is a monoclonal antibody;</w:t>
      </w:r>
    </w:p>
    <w:p>
      <w:pPr>
        <w:spacing w:after="0" w:line="53" w:lineRule="exact"/>
        <w:rPr>
          <w:rFonts w:ascii="Times New Roman" w:cs="Times New Roman" w:eastAsia="Times New Roman" w:hAnsi="Times New Roman"/>
          <w:sz w:val="18"/>
          <w:szCs w:val="18"/>
          <w:color w:val="auto"/>
        </w:rPr>
      </w:pPr>
    </w:p>
    <w:p>
      <w:pPr>
        <w:ind w:left="1040" w:right="700" w:hanging="519"/>
        <w:spacing w:after="0" w:line="282" w:lineRule="auto"/>
        <w:tabs>
          <w:tab w:leader="none" w:pos="10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supply chain issues, including coordination of multiple contractors in our supply chain and securing necessary licenses (such as export licenses);</w:t>
      </w:r>
    </w:p>
    <w:p>
      <w:pPr>
        <w:spacing w:after="0" w:line="53"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timely availability and shelf life requirements of raw materials and supplies;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quality control and quality assurance;</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shortages of qualified personnel and capital required to manufacture large quantities of product;</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regulatory requirements that vary in each country where a product might be sold;</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capacity or forecasting limitations and scheduling availability in contracted facilities; and</w:t>
      </w:r>
    </w:p>
    <w:p>
      <w:pPr>
        <w:spacing w:after="0" w:line="117" w:lineRule="exact"/>
        <w:rPr>
          <w:rFonts w:ascii="Times New Roman" w:cs="Times New Roman" w:eastAsia="Times New Roman" w:hAnsi="Times New Roman"/>
          <w:sz w:val="18"/>
          <w:szCs w:val="18"/>
          <w:color w:val="auto"/>
        </w:rPr>
      </w:pPr>
    </w:p>
    <w:p>
      <w:pPr>
        <w:ind w:left="1040" w:right="280" w:hanging="519"/>
        <w:spacing w:after="0" w:line="282" w:lineRule="auto"/>
        <w:tabs>
          <w:tab w:leader="none" w:pos="10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such as floods, storms, earthquakes, tsunamis, and droughts, or accidents such as fire, that affect facilities, possibly limit or postpone production, and increase costs.</w:t>
      </w:r>
    </w:p>
    <w:p>
      <w:pPr>
        <w:spacing w:after="0" w:line="266"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FDA and EMA will do their own benefit risk analysis and may reach a different conclusion than we or our partners have internally, and these regulatory authorities may base their approval decision on different analyses, data, and statistical methods than ours.*</w:t>
      </w:r>
    </w:p>
    <w:p>
      <w:pPr>
        <w:spacing w:after="0" w:line="51"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Even if we believe we have achieved certain results based on a totality of the evidence, such as superiority or non-inferiority, in certain endpoints, populations or subpopulations, or using certain statistical methods of analysis, the FDA and EMA will each do their own benefit-risk analysis and may reach different conclusions, using different statistical methods, different endpoints or definitions thereof, or different patient populations or sub-populations, and regulatory authorities may change their approvability criteria based on their internal analyses and discussions with expert advisors. Regulatory authorities may approve roxadustat for fewer or more limited indications than we request, or may grant approval contingent on the performance of costly post-approval clinical trials. While we will present to regulatory authorities certain pre-specified and not pre-specified sub-populations and sub-group analyses (for example, incident dialysis), multiple secondary endpoints, and multiple analytical methods (such as long-term follow up analyses), including adjusted and censored data, regulatory authorities may reject these analyses, methods, or even parts of our trial design or certain data from our studies, the rationale for our pre-specified non-inferiority margins or other portions of our statistical analysis plans. In addition, even if we are able to provide positive data with respect to certain analyses, such as incident dialysis, eGFR, hepcidin, or quality of life measures, regulatory authorities may not include such claims on any approved labeling for roxadustat, which may limit the commercialization or market opportunity for roxadustat. Further, initial topline results reported for certain studies (such as reduction of transfusion risk or hemoglobin response in the presence of inflammation), may not be representative of the data seen in all studies or may not be sustained upon further analyses or after more wide-spread use upon commercialization. The failure to obtain regulatory approval, or any label, population or other approval limitations in any jurisdiction, may significantly limit our ability to generate revenues, and any failure to obtain such approval for all of the indications and labeling claims we deem desirable could reduce our potential revenue.</w:t>
      </w:r>
    </w:p>
    <w:p>
      <w:pPr>
        <w:spacing w:after="0" w:line="301"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Positive topline results from our Phase 3 clinical trials assessing the safety and efficacy of roxadustat may not be indicative of additional results or results for roxadustat in other indications.*</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7" w:name="page48"/>
    <w:bookmarkEnd w:id="4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47"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There are multiple key and secondary endpoints as well as sub-group analyses in both dialysis and non-dialysis in the U.S. and multiple secondary endpoints in addition to MACE+ as well as sub-group analyses in dialysis and non-dialysis in Europe. We continue to analyze these additional endpoints from the Phase 3 clinical trials of roxadustat in anemia of CKD, as well as from the pooled analyses, some of which may have a bearing on the safety or efficacy of roxadustat. The topline results we have reported thus far may not be indicative of these additional results. In addition, results in these CKD-anemia indications may not be indicative of our clinical trials in other indications or the safety, efficacy, or approvability of roxadustat in other indications.</w:t>
      </w:r>
    </w:p>
    <w:p>
      <w:pPr>
        <w:spacing w:after="0" w:line="288"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we are able to obtain regulatory approval of our product candidates, the label we obtain may limit the indicated uses for which our product candidates may be marketed.*</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respect to roxadustat, regulatory approvals, if obtained at all, could limit the approved indicated uses for which roxadustat may be marketed. For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example, ESAs have been subject to significant safety limitations on usage as directed by the “Black Box” warnings included in their labels. Refer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Business — Roxadustat for the Treatment of Anemia in Chronic Kidney Disease — Limitations of the Current Standard of Care for Anemia in CKD</w:t>
      </w:r>
      <w:r>
        <w:rPr>
          <w:rFonts w:ascii="Times New Roman" w:cs="Times New Roman" w:eastAsia="Times New Roman" w:hAnsi="Times New Roman"/>
          <w:sz w:val="18"/>
          <w:szCs w:val="18"/>
          <w:color w:val="auto"/>
        </w:rPr>
        <w:t>” in our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annual report on Form 10-K for the year ended December 31, 2018. In addition, in the past, an approved ESA was voluntarily withdrawn due to serious safety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issues discovered after approval. The safety concerns relating to ESAs may result in labeling for roxadustat containing similar warnings even if our Phase 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clinical trials do not suggest that roxadustat has similar safety issues. Even if the label for roxadustat does not contain all of the warnings contained in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“Black Box” warning for ESAs, the label for roxadustat may contain other warnings or limit the market opportunity or approved indications for roxadustat.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warnings could include warnings against exceeding specified hemoglobin targets and other warnings that derive from the lack of clarity regarding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safety issues associated with ESAs, even if our Phase 3 clinical trials do not themselves raise safety concerns.</w:t>
      </w:r>
    </w:p>
    <w:p>
      <w:pPr>
        <w:spacing w:after="0" w:line="311"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As an organization, we have not successfully commercialized any drug product. Therefore, we may not be able to efficiently execute our development and commercialization plans.</w:t>
      </w:r>
    </w:p>
    <w:p>
      <w:pPr>
        <w:spacing w:after="0" w:line="5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are currently conducting Phase 2 clinical trials for pamrevlumab and plan on initiating Phase 3 clinical trials for pamrevlumab in the future. We have initiated Phase 3 clinical trials of roxadustat. The conduct of Phase 3 clinical trials and the submission of a successful NDA is a complicated process. As an organization, we have not completed a Phase 3 clinical trial before outside of China, where we received marketing authorization in December 2018 from the NMPA for the treatment of anemia caused by CKD in dialysis patients. We have limited experience in preparing, submitting and prosecuting regulatory filings, and have not received approval for an NDA before outside of China. Consequently, we may be unable to successfully and efficiently execute and complete necessary clinical trials in a way that leads to NDA submission and approval of roxadustat or for any other product candidate we are developing, even if our earlier stage clinical trials are successful. We may require more time and incur greater costs than our competitors and may not succeed in obtaining regulatory approvals of product candidates that we develop. Failure to commence or complete, or delays in, our planned clinical trials would prevent us from or delay us in commercializing roxadustat or any other product candidate we are developing.</w:t>
      </w:r>
    </w:p>
    <w:p>
      <w:pPr>
        <w:spacing w:after="0" w:line="18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In addition, in order for any Phase 3 clinical trial to support an NDA submission for approval, the FDA and foreign regulatory authorities require compliance with regulations and standards, including good clinical practices (“GCP”) requirements for designing, conducting, monitoring, recording, analyzing, and reporting the results of clinical trials to ensure that the data and results from trials are credible and accurate and that the rights, integrity and confidentiality of trial participants are protected. Although we rely on third parties to conduct our clinical trials, we as the sponsor remain responsible for ensuring that each of these clinical trials is conducted in accordance with its general investigational plan and protocol under legal and regulatory requirements, including GCP. Regulatory authorities enforce these GCP requirements through periodic inspections of trial sponsors, principal investigators and trial sites. If we or any of our CROs, trial sites, principal investigators or other third parties fail to comply with applicable GCP requirements, the clinical data generated in our clinical trials may be deemed unreliable and the FDA or other regulatory authorities may require us to exclude the use of patient data from our clinical trials not conducted in compliance with GCP or perform additional clinical trials before approving our marketing applications. They may even reject our application for approval or refuse to accept our future applications for an extended time period. For example in China in March 2016, the State Drug Administration, now known as the NMPA issued guidance related to its clinical trial data integrity regulations. While trial sites and CROs bear liability for the accuracy and authenticity of data they are directly responsible for, the sponsor ultimately bears full responsibility for submitted clinical data and the drug application dossier. Fraudulent clinical data could result in a ban in China of a sponsor’s product-related NDA applications for three years and other NDA applications for one year. We have taken extensive steps to ensure the integrity of our China clinical data. In China, the clinical site inspections confirmed our compliance with GCP regulations and supported our approval. However, we cannot assure you that upon inspection by a regulatory authority in other regions, such regulatory authority will determine that any of our clinical trials comply with GCP requirements or that our results will be deemed authentic or may be used in support of our regulatory submissions.</w:t>
      </w:r>
    </w:p>
    <w:p>
      <w:pPr>
        <w:spacing w:after="0" w:line="1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8" w:name="page49"/>
    <w:bookmarkEnd w:id="4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jc w:val="both"/>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establish sales, marketing and distribution capabilities or enter into or maintain agreements with third parties to market and sell our product candidates, we may not be successful in commercializing our product candidates if and when they are approved.</w:t>
      </w:r>
    </w:p>
    <w:p>
      <w:pPr>
        <w:spacing w:after="0" w:line="51"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We do not have a sales or marketing infrastructure and have no experience in the sales, marketing or distribution of pharmaceutical products in any country. To achieve commercial success for any product for which we obtain marketing approval, we will need to establish sales and marketing capabilities or make and maintain our existing arrangements with third parties to perform these services at a level sufficient to support our commercialization efforts.</w:t>
      </w:r>
    </w:p>
    <w:p>
      <w:pPr>
        <w:spacing w:after="0" w:line="176"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To the extent that we would undertake sales and marketing of any of our products directly, there are risks involved with establishing our own sales, marketing and distribution capabilities. Factors that may inhibit our efforts to commercialize our products on our own include:</w:t>
      </w:r>
    </w:p>
    <w:p>
      <w:pPr>
        <w:spacing w:after="0" w:line="54" w:lineRule="exact"/>
        <w:rPr>
          <w:sz w:val="20"/>
          <w:szCs w:val="20"/>
          <w:color w:val="auto"/>
        </w:rPr>
      </w:pPr>
    </w:p>
    <w:p>
      <w:pPr>
        <w:ind w:left="1040" w:hanging="519"/>
        <w:spacing w:after="0"/>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recruit, train and retain adequate numbers of effective sales and marketing personnel;</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sales personnel to obtain access to physicians or persuade adequate numbers of physicians to prescribe any future products;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effectively manage geographically dispersed sales and marketing teams;</w:t>
      </w:r>
    </w:p>
    <w:p>
      <w:pPr>
        <w:spacing w:after="0" w:line="117" w:lineRule="exact"/>
        <w:rPr>
          <w:rFonts w:ascii="Times New Roman" w:cs="Times New Roman" w:eastAsia="Times New Roman" w:hAnsi="Times New Roman"/>
          <w:sz w:val="18"/>
          <w:szCs w:val="18"/>
          <w:color w:val="auto"/>
        </w:rPr>
      </w:pPr>
    </w:p>
    <w:p>
      <w:pPr>
        <w:ind w:left="1040" w:right="320" w:hanging="519"/>
        <w:spacing w:after="0" w:line="282" w:lineRule="auto"/>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complementary products to be offered by sales personnel, which may put us at a competitive disadvantage relative to companies with more extensive product lines; and</w:t>
      </w:r>
    </w:p>
    <w:p>
      <w:pPr>
        <w:spacing w:after="0" w:line="53"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costs and expenses associated with creating an independent sales and marketing organization.</w:t>
      </w:r>
    </w:p>
    <w:p>
      <w:pPr>
        <w:spacing w:after="0" w:line="22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With respect to roxadustat, we are dependent on the commercialization capabilities of our collaboration partners, AstraZeneca and Astellas. If either such partner were to terminate its agreement with us, we would have to commercialize on our own or with another third party. We will have limited or little control over the commercialization efforts of such third parties, and any of them may fail to devote the necessary resources and attention to sell and market our products, if any, effectively. If they are not successful in commercializing our product candidates, our business and financial condition would suffer.</w:t>
      </w:r>
    </w:p>
    <w:p>
      <w:pPr>
        <w:spacing w:after="0" w:line="284"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substantial competition, which may result in others discovering, developing or commercializing products before, or more successfully, than we do.*</w:t>
      </w:r>
    </w:p>
    <w:p>
      <w:pPr>
        <w:spacing w:after="0" w:line="5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development and commercialization of new pharmaceutical products is highly competitive. Our future success depends on our ability to achieve and maintain a competitive advantage with respect to the development and commercialization of our product candidates. Our objective is to discover, develop and commercialize new products with superior efficacy, convenience, tolerability, and safety. We expect that in many cases, the products that we commercialize will compete with existing, market-leading products of companies that have large, established commercial organizations.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roxadustat is approved and launched commercially, competing drugs are expected to include ESAs, particularly in those patient segments where ESAs are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used. Currently available ESAs include epoetin alfa (EPOGEN </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marketed by Amgen Inc. in the U.S., Procrit </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and Erypo </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/Eprex </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marketed 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Johnson &amp; Johnson Inc., and Espo </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marketed by Kyowa Hakko Kirin in Japan and China), darbepoetin (Amgen/Kyowa Hakko Kirin’s Aranesp </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and NESP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and Mircera</w:t>
      </w:r>
      <w:r>
        <w:rPr>
          <w:rFonts w:ascii="Times New Roman" w:cs="Times New Roman" w:eastAsia="Times New Roman" w:hAnsi="Times New Roman"/>
          <w:sz w:val="15"/>
          <w:szCs w:val="15"/>
          <w:color w:val="auto"/>
        </w:rPr>
        <w:t xml:space="preserve"> ® </w:t>
      </w:r>
      <w:r>
        <w:rPr>
          <w:rFonts w:ascii="Times New Roman" w:cs="Times New Roman" w:eastAsia="Times New Roman" w:hAnsi="Times New Roman"/>
          <w:sz w:val="18"/>
          <w:szCs w:val="18"/>
          <w:color w:val="auto"/>
        </w:rPr>
        <w:t>marketed by Hoffmann-La Roche (“Roche”) outside of the U.S. and by Vifor Pharma (“Vifor”), a Roche licensee, in the U.S. and Puerto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Rico, as well as biosimilar versions of these currently marketed ESA products. ESAs have been used in the treatment of anemia in CKD for more than 20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years, serving a significant majority of DD-CKD patients. While NDD-CKD patients who are not under the care of nephrologists, including those with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diabetes and hypertension, do not typically receive ESAs and are often left untreated, some patients under nephrology care may be receiving ESA therapy. It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be difficult to encourage healthcare providers and patients to switch to roxadustat from products with which they have become familiar.</w:t>
      </w: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49" w:name="page50"/>
    <w:bookmarkEnd w:id="4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may also face competition from potential new anemia therapies currently in clinical development, including in those patient segments not currently addressed by ESAs. Companies such as GlaxoSmithKline plc (“GSK”), Bayer Corporation (“Bayer”), Akebia Therapeutics, Inc. (“Akebia”), and Japan Tobacco, are currently developing HIF prolyl hydroxylase (“HIF-PH”) inhibitors for anemia in CKD indications. Akebia is currently conducting Phase 3 studies in NDD–CKD and DD-CKD, as well as additional Phase 1 and Phase 2 studies. In Japan, Mitsubishi Tanabe Pharmaceutical Corporation, Akebia’s collaboration partner, is conducting Japan Phase 3 studies. GSK is conducting global Phase 3 studies in NDD-CKD and DD-CKD. In Japan, GSK has completed two Phase 3 studies in DD-CKD and is conducting a Phase 3 study in NDD-CKD. GSK and Kyowa Hakko Kirin announced in November 2018 that the two companies signed a strategic commercialization deal in Japan for daprodustat. Bayer has completed global Phase 2 studies and announced in May 2017 its HIF-PH inhibitor is now in continued development in Japan only, and its Japan Phase 3 studies in NDD-CKD and DD-CKD are underway. Japan Tobacco is also conducting Phase 3 studies in NDD-CKD and DD-CKD in Japan only. Some of these product candidates may enter the market prior to roxadustat.</w:t>
      </w:r>
    </w:p>
    <w:p>
      <w:pPr>
        <w:spacing w:after="0" w:line="186"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In addition, there are other companies developing biologic therapies for the treatment of other anemia indications that we may also seek to pursue in the future, including anemia of MDS. For example, Acceleron Pharma Inc. and its partner Celgene Corporation (“Celgene”) announced in April 2019 that Celgene has submitted a Biologics License Application (“BLA”) for luspatercept for the treatment of adult patients with 1) very low to intermediate risk of MDS-associated anemia who have ring sideroblasts and require red blood cell transfusions, and 2) beta-thalassemia-associated anemia who require red blood cell transfusions. Celgene’s plan to submit a marketing approval application for luspatercept in the European Union (“EU”) in the second quarter of 2019. There may also be new therapies for renal-related diseases that could limit the market or level of reimbursement available for roxadustat if and when it is commercialized.</w:t>
      </w:r>
    </w:p>
    <w:p>
      <w:pPr>
        <w:spacing w:after="0" w:line="18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In China, biosimilars of epoetin alfa are offered by Chinese pharmaceutical companies such as EPIAO marketed by 3SBio Inc. as well as more than 15 other local manufacturers. We may also face competition by HIF-PH inhibitors from other companies such as Akebia, Bayer, and GSK, which was authorized by the NMPA to conduct trials in China to support its ex-China regulatory filings. Furthermore, while it is too early to understand how the NMPA will implement its recently approved guidelines to allow multinational companies to use their ex-China clinical data in their NDAs in China, these guidelines could in theory allow competitors to accelerate their NDA applications in China. Akebia announced in December 2015 that it has entered into a development and commercialization partnership with Mitsubishi Tanabe Pharmaceutical Corporation for its HIF-PH inhibitor vadadustat in Japan, Taiwan, South Korea, India, and certain other countries in Asia, and announced in April 2017 an expansion of their U.S. collaboration with Otsuka to add markets, including China. Two Chinese domestic companies, Jiangsu Hengrui and Guangdong Sunshine, have announced they also secured the NMPA approval to conduct clinical trials for their respective HIF-PH inhibitors.</w:t>
      </w:r>
    </w:p>
    <w:p>
      <w:pPr>
        <w:spacing w:after="0" w:line="18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 xml:space="preserve">The first biosimilar ESAs, Pfizer’s Retacrit® (epoetin zeta), entered the U.S. market in November 2018. Market penetration of Retacrit® (epoetin zeta) and the potential addition of other biosimilar ESAs, currently under development, may alter the competitive and pricing landscape of anemia therapy in DD-CKD patients under the end stage renal disease bundle. The patents for Amgen’s epoetin alfa, EPOGEN, expired in 2004 in the EU, and the final material patents in the U.S. expired in May 2015. Several biosimilar versions of currently marketed ESAs are available for sale in the EU, China and other territories. In the U.S., a few ESA biosimilars are currently under development. Sandoz, a division of Novartis, markets Binocrit </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(epoetin alfa) in Europe and may file a biosimilar BLA in the U.S.</w:t>
      </w:r>
    </w:p>
    <w:p>
      <w:pPr>
        <w:spacing w:after="0" w:line="188"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The majority of the current CKD anemia market focuses on dialysis patients, who visit dialysis centers on a regular basis, typically three-times a week, and anemia therapies are administered as part of the visit. Two of the largest operators of dialysis clinics in the U.S., DaVita Healthcare Partners Inc. (“DaVita”) and Fresenius Medical Care AG &amp; Co. KGaA (“Fresenius”), collectively provide dialysis care to approximately 70% of U.S. dialysis patients, and therefore have historically won long-term contracts including rebate terms with Amgen. In January 2017, DaVita entered into a new 6-year sourcing and supply agreement with Amgen that is effective through 2022. Fresenius’ contract with Amgen expired in 2015, and Fresenius is now administering Mircera</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in a significant portion of its U.S. dialysis patients since Mircera was made available by Vifor. Successful penetration of this market may require a significant agreement with Fresenius or DaVita on favorable terms and on a timely basis.</w:t>
      </w:r>
    </w:p>
    <w:p>
      <w:pPr>
        <w:spacing w:after="0" w:line="230"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7"/>
          <w:szCs w:val="17"/>
          <w:color w:val="auto"/>
        </w:rPr>
        <w:t>If pamrevlumab is approved and launched commercially to treat IPF, competing drugs are expected to include Roche’s Esbriet® (pirfenidone) and Boehringer Ingelheim Pharma GmbH &amp; Co. KG’s Ofev® (nintedanib). Nintedanib is also in development for non-small cell lung cancer and ovarian cancer. Other potential competitive product candidates in development for IPF include Biogen-Idec’s BG-00011, Galapagos NV’s GLPG1690, Kadmon Holdings, Inc.’s KD025, Prometic Life Sciences Inc.’s PBI-4050, and Promedior Inc.’s PRM-151. Galapagos initiated a Phase 3 study for GLPG 1690 in December 2018.</w:t>
      </w:r>
    </w:p>
    <w:p>
      <w:pPr>
        <w:spacing w:after="0" w:line="1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50" w:name="page51"/>
    <w:bookmarkEnd w:id="5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ind w:right="320"/>
        <w:spacing w:after="0" w:line="258" w:lineRule="auto"/>
        <w:rPr>
          <w:sz w:val="20"/>
          <w:szCs w:val="20"/>
          <w:color w:val="auto"/>
        </w:rPr>
      </w:pPr>
      <w:r>
        <w:rPr>
          <w:rFonts w:ascii="Times New Roman" w:cs="Times New Roman" w:eastAsia="Times New Roman" w:hAnsi="Times New Roman"/>
          <w:sz w:val="18"/>
          <w:szCs w:val="18"/>
          <w:color w:val="auto"/>
        </w:rPr>
        <w:t>If pamrevlumab is approved and launched commercially to treat locally advanced pancreatic cancer patients who are not candidates for surgical resection, pamrevlumab may face competition from agents seeking approval in combination with gemcitibine and nab-paclitaxel from companies such as NewLink Genetics Corporation and Halozyme Therapeutics, Inc. Gemcitabine and/or nab-paclitaxel are the current standard of care in the first-line treatment of metastatic pancreatic cancer. Celgene Corporation’s Abraxane</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(nab-paclitaxel) was launched in the U.S. and Europe in 2013 and 2014, and was the first drug approved in this disease in nearly a decade.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pamrevlumab is approved and launched commercially to treat DMD, pamrevlumab may face competition for some patients from Sarepta Therapeutics,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(“Sarepta”), as well as PTC Therapeutics, Santhera Pharmaceuticals, and Catabasis Pharmaceuticals.</w:t>
      </w:r>
    </w:p>
    <w:p>
      <w:pPr>
        <w:spacing w:after="0" w:line="22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Sarepta is researching and developing clinical candidates for many of the specific mutations in the dystrophin gene and received accelerated approval in the U.S. for its first, drug Exondys 51® (eteplirsen) for patients who have a confirmed mutation in the DMD gene that is amenable to exon 51 skipping. This mutation represents a subset of approximately 13% of patients with DMD. Sarepta recently received a negative opinion from the European Medicine (“EMA”) regarding its eteplirsen application in September 2018. In addition to etepliresen, Sarepta has two additional exon skipping programs in Phase 3 development, each of which targets approximately 8% of patients with DMD. Sarepta is also developing gene therapies for the treatment of DMD and reported positive preliminary results from a Phase 1/2a program in June 2018.</w:t>
      </w:r>
    </w:p>
    <w:p>
      <w:pPr>
        <w:spacing w:after="0" w:line="188"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Marathon Pharmaceuticals received approval for its drug Emflaza (deflazacort) on February 9, 2017 and on March 16, 2017 announced that it had sold the commercialization rights to Emflaza to PTC Therapeutics.</w:t>
      </w:r>
    </w:p>
    <w:p>
      <w:pPr>
        <w:spacing w:after="0" w:line="162"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 xml:space="preserve">PTC Therapeutics’ product ataluren (Translarna </w:t>
      </w:r>
      <w:r>
        <w:rPr>
          <w:rFonts w:ascii="Times New Roman" w:cs="Times New Roman" w:eastAsia="Times New Roman" w:hAnsi="Times New Roman"/>
          <w:sz w:val="15"/>
          <w:szCs w:val="15"/>
          <w:color w:val="auto"/>
        </w:rPr>
        <w:t>TM</w:t>
      </w:r>
      <w:r>
        <w:rPr>
          <w:rFonts w:ascii="Times New Roman" w:cs="Times New Roman" w:eastAsia="Times New Roman" w:hAnsi="Times New Roman"/>
          <w:sz w:val="18"/>
          <w:szCs w:val="18"/>
          <w:color w:val="auto"/>
        </w:rPr>
        <w:t>) received conditional approval in Europe in 2014, which was renewed in November 2016 with a request for a new randomized placebo-controlled 18-month study by the Committee for Medicinal Products for Human Use of the EMA, while the FDA stated in its complete response letter in October of 2017 that the FDA is unable to approve the application in its current form. Translarna targets a different set of DMD patients from those being targeted by Sarepta’s existing exon-skipping therapeutic candidate; however, it is also limited to a subset of patients who carry a specific mutation.</w:t>
      </w:r>
    </w:p>
    <w:p>
      <w:pPr>
        <w:spacing w:after="0" w:line="184"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 xml:space="preserve">While pamrevlumab and some other potential competitors are intended to treat DMD patients regardless of the specific mutation, there can be no assurance that clinical trials will support broadly treating DMD patients. For example, Santhera Pharmaceuticals reported positive Phase 3 data with its drug idebenone (Raxone </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/Catena </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in a trial measuring changes in lung function for DMD patients, however the EMA rejected the application and the FDA has asked for additional data from an ongoing trial prior to considering Raxone for approval. Santhera is currently conducting the additional Phase 3 study in the U.S. and Europe.</w:t>
      </w:r>
    </w:p>
    <w:p>
      <w:pPr>
        <w:spacing w:after="0" w:line="184"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Catabasis Pharmaceuticals reported in April 2018 positive Phase 2 data from its clinical trial candidate edasalonexent. Edasalonexent was reported to have preserved muscle function and slowed the progression of DMD compared to rates of change in the control period prior to treatment with edasalonexent. The company started a single placebo controlled Phase 3 trial in September 2018. Catabasis expects topline data from this trial in the second quarter of 2020, and NDA filing in 2021.</w:t>
      </w:r>
    </w:p>
    <w:p>
      <w:pPr>
        <w:spacing w:after="0" w:line="180"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The success of any or all of these potential competitive products may negatively impact the development and potential for success of pamrevlumab. In addition, any competitive products that are on the market or in development may compete with pamrevlumab for patient recruitment and enrollment for clinical trials or may force us to change our clinical trial design, including, in order to compare pamrevlumab against another drug, which may be the new standard of care.</w:t>
      </w:r>
    </w:p>
    <w:p>
      <w:pPr>
        <w:spacing w:after="0" w:line="180"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If FG-5200 is approved and launched in China to treat corneal blindness resulting from partial thickness corneal damage without active inflammation and infection, it is likely to compete with other products designed to treat corneal damage. For example, in April 2015, a subsidiary of China Regenerative Medicine International Limited received approval for their acellular porcine cornea stroma medical device to treat patients in China with corneal ulcers and in April 2016, Guangzhou Yourvision Biotech Co. Ltd, a subsidiary of Guanhao Biotech, received approval for their acellular porcine cornea medical device to treat patients in China with infectious keratitis that does not respond to drug treatment.</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1" w:name="page52"/>
    <w:bookmarkEnd w:id="5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7"/>
          <w:szCs w:val="17"/>
          <w:color w:val="auto"/>
        </w:rPr>
        <w:t>Moreover, many of our competitors have significantly greater resources than we do. Large pharmaceutical companies, in particular, have extensive experience in clinical testing, obtaining regulatory approvals, recruiting patients, manufacturing pharmaceutical products, and commercialization. In the potential anemia market for roxadustat, for example, large and established companies such as Amgen and Roche, among others, compete aggressively to maintain their market shares. In particular, the currently marketed ESA products are supported by large pharmaceutical companies that have greater experience and expertise in commercialization in the anemia market, including in securing reimbursement, government contracts and relationships with key opinion leaders; conducting testing and clinical trials; obtaining and maintaining regulatory approvals and distribution relationships to market products; and marketing approved products. These companies also have significantly greater scale research and marketing capabilities than we do and may also have products that have been approved or are in later stages of development, and have collaboration agreements in our target markets with leading dialysis companies and research institutions. These competitors have in the past successfully prevented new and competing products from entering the anemia market, and we expect that their resources will represent challenges for us and our collaboration partners, AstraZeneca and Astellas. If we and our collaboration partners are not able to compete effectively against existing and potential competitors, our business and financial condition may be materially and adversely affected.</w:t>
      </w:r>
    </w:p>
    <w:p>
      <w:pPr>
        <w:spacing w:after="0" w:line="278"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future commercial success depends upon attaining significant market acceptance of our product candidates, if approved, among physicians, patients, third party payors and others in the health care community.</w:t>
      </w:r>
    </w:p>
    <w:p>
      <w:pPr>
        <w:spacing w:after="0" w:line="5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Even if we obtain marketing approval for roxadustat, pamrevlumab or any other product candidates that we may develop or acquire in the future in all indications and geographic regions, these product candidates may not gain market acceptance among physicians, third party payors, patients and others in the health care community. Market acceptance of any approved product, including in roxadustat for the treatment of anemia caused by CKD in dialysis patients in China, depends on a number of other factors, including:</w:t>
      </w:r>
    </w:p>
    <w:p>
      <w:pPr>
        <w:spacing w:after="0" w:line="72" w:lineRule="exact"/>
        <w:rPr>
          <w:sz w:val="20"/>
          <w:szCs w:val="20"/>
          <w:color w:val="auto"/>
        </w:rPr>
      </w:pPr>
    </w:p>
    <w:p>
      <w:pPr>
        <w:ind w:left="1040" w:right="80" w:hanging="519"/>
        <w:spacing w:after="0" w:line="282" w:lineRule="auto"/>
        <w:tabs>
          <w:tab w:leader="none" w:pos="10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clinical indications for which the product is approved and the labeling required by regulatory authorities for use with the product, including any warnings that may be required in the labeling;</w:t>
      </w:r>
    </w:p>
    <w:p>
      <w:pPr>
        <w:spacing w:after="0" w:line="53" w:lineRule="exact"/>
        <w:rPr>
          <w:rFonts w:ascii="Times New Roman" w:cs="Times New Roman" w:eastAsia="Times New Roman" w:hAnsi="Times New Roman"/>
          <w:sz w:val="18"/>
          <w:szCs w:val="18"/>
          <w:color w:val="auto"/>
        </w:rPr>
      </w:pPr>
    </w:p>
    <w:p>
      <w:pPr>
        <w:ind w:left="1040" w:right="120" w:hanging="519"/>
        <w:spacing w:after="0" w:line="282" w:lineRule="auto"/>
        <w:tabs>
          <w:tab w:leader="none" w:pos="10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by physicians and patients of the product as a safe and effective treatment and the willingness of the target patient population to try new therapies and of physicians to prescribe new therapies;</w:t>
      </w:r>
    </w:p>
    <w:p>
      <w:pPr>
        <w:spacing w:after="0" w:line="53"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safety, efficacy and convenience of treatment in relation to alternative treatments;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restrictions on the use of our products together with other medications, if any;</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adequate coverage and reimbursement or pricing by third party payors and government authorities;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treatment providers, such as dialysis clinics, to enter into relationships with us without violating their existing agreement; and</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sales and marketing efforts.</w:t>
      </w:r>
    </w:p>
    <w:p>
      <w:pPr>
        <w:spacing w:after="0" w:line="329"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No or limited reimbursement or insurance coverage of our approved products, if any, by third party payors may render our products less attractive to patients and healthcare providers.</w:t>
      </w:r>
    </w:p>
    <w:p>
      <w:pPr>
        <w:spacing w:after="0" w:line="5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Market acceptance and sales of any approved products will depend significantly on reimbursement or coverage of our products by the Chinese government or third party payors, and may be affected by existing and future healthcare reform measures or prices of related products for which the government or third party reimbursement applies. Coverage and reimbursement by the government or a third party payor may depend upon a number of factors, including the payor’s determination that use of a product is:</w:t>
      </w:r>
    </w:p>
    <w:p>
      <w:pPr>
        <w:spacing w:after="0" w:line="72" w:lineRule="exact"/>
        <w:rPr>
          <w:sz w:val="20"/>
          <w:szCs w:val="20"/>
          <w:color w:val="auto"/>
        </w:rPr>
      </w:pPr>
    </w:p>
    <w:p>
      <w:pPr>
        <w:ind w:left="1040" w:hanging="519"/>
        <w:spacing w:after="0"/>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benefit under its health plan;</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 effective and medically necessary;</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appropriate for the specific patient;</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cost-effective; and</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experimental nor investigational.</w:t>
      </w:r>
    </w:p>
    <w:p>
      <w:pPr>
        <w:spacing w:after="0" w:line="225"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review and publication cycle for the Chinese government to update their reimbursement lists (national or provincial) is unpredictable and is outside our control.</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2" w:name="page53"/>
    <w:bookmarkEnd w:id="5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Obtaining coverage and reimbursement approval for a product from a government or other third party payor is a time consuming and costly process that could require us to provide supporting scientific, clinical and cost-effectiveness data for the use of our products to the payor, which we may not be able to provide. Furthermore, the reimbursement policies of third party payors may significantly change in a manner that renders our clinical data insufficient for adequate reimbursement or otherwise limits the successful marketing of our products. Even if we obtain coverage for our product candidates, third party payors may not establish adequate reimbursement amounts, which may reduce the demand for, or the price of, our products. If reimbursement is not available or is available only to limited levels, we may not be able to commercialize certain of our products.</w:t>
      </w:r>
    </w:p>
    <w:p>
      <w:pPr>
        <w:spacing w:after="0" w:line="18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Price controls may limit the price at which products such as roxadustat, if approved, are sold. For example, reference pricing is used by various EU member states and parallel distribution, or arbitrage between low-priced and high-priced member states, can further reduce prices. In some countries, we or our partner may be required to conduct a clinical trial or other studies that compare the cost-effectiveness of our product candidates to other available products in order to obtain or maintain reimbursement or pricing approval. Publication of discounts by third party payors or authorities may lead to further pressure on the prices or reimbursement levels within the country of publication and other countries. If reimbursement of our products is unavailable or limited in scope or amount, or if pricing is set at unacceptable levels, we or our partner may elect not to commercialize our products in such countries, and our business and financial condition could be adversely affected.</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Reliance on Third Parties</w:t>
      </w:r>
    </w:p>
    <w:p>
      <w:pPr>
        <w:spacing w:after="0" w:line="117" w:lineRule="exact"/>
        <w:rPr>
          <w:sz w:val="20"/>
          <w:szCs w:val="20"/>
          <w:color w:val="auto"/>
        </w:rPr>
      </w:pPr>
    </w:p>
    <w:p>
      <w:pPr>
        <w:ind w:right="3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our collaborations with Astellas or AstraZeneca were terminated, or if Astellas or AstraZeneca were to prioritize other initiatives over their collaborations with us, whether as a result of a change of control or otherwise, our ability to successfully develop and commercialize our lead product candidate, roxadustat, would suffer.</w:t>
      </w:r>
    </w:p>
    <w:p>
      <w:pPr>
        <w:spacing w:after="0" w:line="67" w:lineRule="exact"/>
        <w:rPr>
          <w:sz w:val="20"/>
          <w:szCs w:val="20"/>
          <w:color w:val="auto"/>
        </w:rPr>
      </w:pPr>
    </w:p>
    <w:p>
      <w:pPr>
        <w:ind w:right="580"/>
        <w:spacing w:after="0" w:line="266" w:lineRule="auto"/>
        <w:rPr>
          <w:sz w:val="20"/>
          <w:szCs w:val="20"/>
          <w:color w:val="auto"/>
        </w:rPr>
      </w:pPr>
      <w:r>
        <w:rPr>
          <w:rFonts w:ascii="Times New Roman" w:cs="Times New Roman" w:eastAsia="Times New Roman" w:hAnsi="Times New Roman"/>
          <w:sz w:val="18"/>
          <w:szCs w:val="18"/>
          <w:color w:val="auto"/>
        </w:rPr>
        <w:t>We have entered into collaboration agreements with respect to the development and commercialization of our lead product candidate, roxadustat, with Astellas and AstraZeneca. These agreements provide for reimbursement of our development costs by our collaboration partners and also provide for commercialization of roxadustat throughout the major territories of the world.</w:t>
      </w:r>
    </w:p>
    <w:p>
      <w:pPr>
        <w:spacing w:after="0" w:line="176"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Our agreements with Astellas and AstraZeneca provide each of them with the right to terminate their respective agreements with us, upon the occurrence of negative clinical results, delays in the development and commercialization of our product candidates or adverse regulatory requirements or guidance. The termination of any of our collaboration agreements would require us to fund and perform the further development and commercialization of roxadustat in the affected territory, or pursue another collaboration, which we may be unable to do, either of which could have an adverse effect on our business and operations. In addition, each of those agreements provides our respective partners the right to terminate any of those agreements upon written notice for convenience. Moreover, if Astellas or AstraZeneca, or any successor entity, were to determine that their collaborations with us are no longer a strategic priority, or if either of them or a successor were to reduce their level of commitment to their collaborations with us, our ability to develop and commercialize roxadustat could suffer. In addition, some of our collaborations are exclusive and preclude us from entering into additional collaboration agreements with other parties in the area or field of exclusivity.</w:t>
      </w:r>
    </w:p>
    <w:p>
      <w:pPr>
        <w:spacing w:after="0" w:line="18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If we fail to establish and maintain strategic collaborations related to our product candidates, we will bear all of the risk and costs related to the development and commercialization of any such product candidate, and we may need to seek additional financing, hire additional employees and otherwise develop expertise at significant cost. This in turn may negatively affect the development of our other product candidates as we direct resources to our most advanced product candidates.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Conflicts with our collaboration partners could jeopardize our collaboration agreements and our ability to commercialize product candidates.</w:t>
      </w:r>
    </w:p>
    <w:p>
      <w:pPr>
        <w:spacing w:after="0" w:line="12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Our collaboration partners have certain rights to control decisions regarding the development and commercialization of our product candidates with respect to which they are providing funding. If we have a disagreement over strategy and activities, our plans for obtaining approval may be revised and negatively affect the anticipated timing and potential for success of our product candidates. Even if a product under a collaboration agreement is approved, we will remain substantially dependent on the commercialization strategy and efforts of our collaboration partners, and neither of our collaboration partners has experience in commercialization of a novel drug such as roxadustat in the dialysis market.</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53" w:name="page54"/>
    <w:bookmarkEnd w:id="5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With respect to our collaboration agreements for roxadustat, there are additional complexities in that we and our collaboration partners, Astellas and AstraZeneca, must reach consensus on our Phase 3 development program. Multi-party decision-making is complex and involves significant time and effort, and there can be no assurance that the parties will cooperate or reach consensus, or that one or both of our partners will not ask to proceed independently in some or all of their respective territories or functional areas of responsibility in which the applicable collaboration partner would otherwise be obligated to cooperate with us. Any disputes or lack of cooperation with us by either Astellas or AstraZeneca may negatively impact the timing or success of our planned Phase 3 clinical studies.</w:t>
      </w:r>
    </w:p>
    <w:p>
      <w:pPr>
        <w:spacing w:after="0" w:line="188"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We intend to conduct proprietary research programs in specific disease areas that are not covered by our collaboration agreements. Our pursuit of such opportunities could, however, result in conflicts with our collaboration partners in the event that any of our collaboration partners takes the position that our internal activities overlap with those areas that are exclusive to our collaboration agreements, and we should be precluded from such internal activities. Moreover, disagreements with our collaboration partners could develop over rights to our intellectual property. In addition, our collaboration agreements may have provisions that give rise to disputes regarding the rights and obligations of the parties. Any conflict with our collaboration partners could lead to the termination of our collaboration agreements, delay collaborative activities, reduce our ability to renew agreements or obtain future collaboration agreements or result in litigation or arbitration and would negatively impact our relationship with existing collaboration partners.</w:t>
      </w:r>
    </w:p>
    <w:p>
      <w:pPr>
        <w:spacing w:after="0" w:line="18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Certain of our collaboration partners could also become our competitors in the future. If our collaboration partners develop competing products, fail to obtain necessary regulatory approvals, terminate their agreements with us prematurely or fail to devote sufficient resources to the development and commercialization of our product candidates, the development and commercialization of our product candidates and products could be delayed.</w:t>
      </w:r>
    </w:p>
    <w:p>
      <w:pPr>
        <w:spacing w:after="0" w:line="280" w:lineRule="exact"/>
        <w:rPr>
          <w:sz w:val="20"/>
          <w:szCs w:val="20"/>
          <w:color w:val="auto"/>
        </w:rPr>
      </w:pPr>
    </w:p>
    <w:p>
      <w:pPr>
        <w:ind w:right="1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rely on third parties for the conduct of most of our preclinical and clinical trials for our product candidates, and if our third party contractors do not properly and successfully perform their obligations under our agreements with them, we may not be able to obtain or may be delayed in receiving regulatory approvals for our product candidates.</w:t>
      </w:r>
    </w:p>
    <w:p>
      <w:pPr>
        <w:spacing w:after="0" w:line="6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rely heavily on university, hospital, dialysis centers and other institutions and third parties, including the principal investigators and their staff, to carry out our clinical trials in accordance with our clinical protocols and designs. We also rely on a number of third party CROs to assist in undertaking, managing, monitoring and executing our ongoing clinical trials, including those for roxadustat. We expect to continue to rely on CROs, clinical data management organizations, medical institutions and clinical investigators to conduct our development efforts in the future, including our Phase 3 development program for roxadustat. We compete with many other companies for the resources of these third parties, and large pharmaceutical companies often have significantly more extensive agreements and relationships with such third party providers, and such third party providers may prioritize the requirements of such large pharmaceutical companies over ours. The third parties on whom we rely may terminate their engagements with us at any time, which may cause delay in the development and commercialization of our product candidates. If any such third party terminates its engagement with us or fails to perform as agreed, we may be required to enter into alternative arrangements, which would result in significant cost and delay to our product development program. Moreover, our agreements with such third parties generally do not provide assurances regarding employee turnover and availability, which may cause interruptions in the research on our product candidates by such third parties.</w:t>
      </w:r>
    </w:p>
    <w:p>
      <w:pPr>
        <w:spacing w:after="0" w:line="193"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Moreover, while our reliance on these third parties for certain development and management activities will reduce our control over these activities, it will not relieve us of our responsibilities. For example, the FDA and foreign regulatory authorities require compliance with regulations and standards, including GCP requirements for designing, conducting, monitoring, recording, analyzing and reporting the results of clinical trials to ensure that the data and results from trials are credible and accurate and that the rights, integrity and confidentiality of trial participants are protected. Although we rely on third parties to conduct our clinical trials, we, as the sponsor, remain responsible for ensuring that each of these clinical trials is conducted in accordance with its general investigational plan and protocol under legal and regulatory requirements, including GCP. Regulatory authorities enforce these GCP requirements through periodic inspections of trial sponsors, principal investigators and trial sites.</w:t>
      </w:r>
    </w:p>
    <w:p>
      <w:pPr>
        <w:spacing w:after="0" w:line="18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If any of our CROs, trial sites, principal investigators or other third parties fail to comply with applicable GCP requirements, other regulations, trial protocol or other requirements under their agreements with us, the quality or accuracy of the data they obtain may be compromised or unreliable, and the trials of our product candidates may not meet regulatory requirements. If trials do not meet regulatory requirements or if these third parties need to be replaced, the development of our product candidates may be delayed, suspended or terminated, regulatory authorities may require us to exclude the use of patient data from our approval applications or perform additional clinical trials before approving our marketing applications. Regulatory authorities may even reject our application for approval or refuse to accept our future applications for an extended time period. We cannot assure that upon inspection by a regulatory authority, such regulatory authority will determine that any of our clinical trials comply with GCP requirements or that our results may be used in support of our regulatory submissions. If any of these events occur, we may not be able to obtain regulatory approval for our product candidates on a timely basis, at a reasonable cost, or at all.</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4" w:name="page55"/>
    <w:bookmarkEnd w:id="5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currently rely, and expect to continue to rely, on third parties to conduct many aspects of our clinical studies and product manufacturing, and these third parties may not perform satisfactorily.</w:t>
      </w:r>
    </w:p>
    <w:p>
      <w:pPr>
        <w:spacing w:after="0" w:line="51" w:lineRule="exact"/>
        <w:rPr>
          <w:sz w:val="20"/>
          <w:szCs w:val="20"/>
          <w:color w:val="auto"/>
        </w:rPr>
      </w:pPr>
    </w:p>
    <w:p>
      <w:pPr>
        <w:ind w:right="320"/>
        <w:spacing w:after="0" w:line="258" w:lineRule="auto"/>
        <w:rPr>
          <w:sz w:val="20"/>
          <w:szCs w:val="20"/>
          <w:color w:val="auto"/>
        </w:rPr>
      </w:pPr>
      <w:r>
        <w:rPr>
          <w:rFonts w:ascii="Times New Roman" w:cs="Times New Roman" w:eastAsia="Times New Roman" w:hAnsi="Times New Roman"/>
          <w:sz w:val="18"/>
          <w:szCs w:val="18"/>
          <w:color w:val="auto"/>
        </w:rPr>
        <w:t>We do not have operating manufacturing facilities at this time other than our roxadustat and FG-5200 manufacturing facility in China, and our current commercial manufacturing facility plans in China are not expected to satisfy the requirements necessary to support development and commercialization outside of China. Other than in and for China specifically, we do not expect to independently manufacture our products. We currently rely, and expect to continue to rely, on third parties to scale-up, manufacture and supply roxadustat and our other product candidates outside of China. Risks arising from our reliance on third party manufacturers include:</w:t>
      </w:r>
    </w:p>
    <w:p>
      <w:pPr>
        <w:spacing w:after="0" w:line="76" w:lineRule="exact"/>
        <w:rPr>
          <w:sz w:val="20"/>
          <w:szCs w:val="20"/>
          <w:color w:val="auto"/>
        </w:rPr>
      </w:pPr>
    </w:p>
    <w:p>
      <w:pPr>
        <w:ind w:left="1040" w:right="320" w:hanging="519"/>
        <w:spacing w:after="0" w:line="282" w:lineRule="auto"/>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control and additional burdens of oversight as a result of using third party manufacturers for all aspects of manufacturing activities, including regulatory compliance and quality control and quality assurance;</w:t>
      </w:r>
    </w:p>
    <w:p>
      <w:pPr>
        <w:spacing w:after="0" w:line="53" w:lineRule="exact"/>
        <w:rPr>
          <w:rFonts w:ascii="Times New Roman" w:cs="Times New Roman" w:eastAsia="Times New Roman" w:hAnsi="Times New Roman"/>
          <w:sz w:val="18"/>
          <w:szCs w:val="18"/>
          <w:color w:val="auto"/>
        </w:rPr>
      </w:pPr>
    </w:p>
    <w:p>
      <w:pPr>
        <w:ind w:left="1040" w:right="100" w:hanging="519"/>
        <w:spacing w:after="0" w:line="282" w:lineRule="auto"/>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of manufacturing agreements, termination fees associated with such termination, or nonrenewal of manufacturing agreements with third parties may negatively impact our planned development and commercialization activities;</w:t>
      </w:r>
    </w:p>
    <w:p>
      <w:pPr>
        <w:spacing w:after="0" w:line="53"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misappropriation of our proprietary technology, including our trade secrets and know-how; and</w:t>
      </w:r>
    </w:p>
    <w:p>
      <w:pPr>
        <w:spacing w:after="0" w:line="117" w:lineRule="exact"/>
        <w:rPr>
          <w:rFonts w:ascii="Times New Roman" w:cs="Times New Roman" w:eastAsia="Times New Roman" w:hAnsi="Times New Roman"/>
          <w:sz w:val="18"/>
          <w:szCs w:val="18"/>
          <w:color w:val="auto"/>
        </w:rPr>
      </w:pPr>
    </w:p>
    <w:p>
      <w:pPr>
        <w:ind w:left="1040" w:right="620" w:hanging="519"/>
        <w:spacing w:after="0" w:line="282" w:lineRule="auto"/>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to the operations of our third party manufacturers or suppliers unrelated to our product, including the merger, acquisition, or bankruptcy of a manufacturer or supplier or a catastrophic event affecting our manufacturers or suppliers.</w:t>
      </w:r>
    </w:p>
    <w:p>
      <w:pPr>
        <w:spacing w:after="0" w:line="162"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Any of these events could lead to development delays or failure to obtain regulatory approval, or affect our ability to successfully commercialize our product candidates. Some of these events could be the basis for action by the FDA or another regulatory authority, including injunction, recall, seizure or total or partial suspension of production.</w:t>
      </w:r>
    </w:p>
    <w:p>
      <w:pPr>
        <w:spacing w:after="0" w:line="176"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The facilities used by our contract manufacturers to manufacture our product candidates must pass inspections by the FDA and other regulatory authorities. Although, except for China, we do not control the manufacturing operations of, and expect to remain completely dependent on, our contract manufacturers for manufacture of drug substance and finished drug product, we are ultimately responsible for ensuring that our product candidates are manufactured in compliance with cGMP requirements. If our contract manufacturers cannot successfully manufacture material that conforms to our or our collaboration partners’ specifications, or the regulatory requirements of the FDA or other regulatory authorities, we may not be able to secure and/or maintain regulatory approval for our product candidates and our development or commercialization plans may be delayed. In addition, we have no control over the ability of our contract manufacturers to maintain adequate quality control, quality assurance and qualified personnel. In addition, although our longer-term agreements are expected to provide for requirements to meet our quantity and quality requirements to manufacture our products candidates for clinical studies and commercial sale, we will have minimal direct control over the ability of our contract manufacturers to maintain adequate quality control, quality assurance and qualified personnel and we expect to rely on our audit rights to ensure that those qualifications are maintained to meet our requirements. If our contract manufacturers’ facilities do not pass inspection by regulatory authorities, or if regulatory authorities do not approve these facilities for the manufacture of our products, or withdraw any such approval in the future, we would need to identify and qualify alternative manufacturing facilities, which would significantly impact our ability to develop, obtain regulatory approval for or market our products, if approved. Moreover, any failure of our third party manufacturers, to comply with applicable regulations could result in sanctions being imposed on us or adverse regulatory consequences, including clinical holds, warnings or untitled letters, fines, injunctions, civil penalties, delays, suspension or withdrawal of approvals, license revocation, seizures or recalls of product candidates or products, operating restrictions and criminal prosecutions, any of which would be expected to significantly and adversely affect supplies of our products to us and our collaboration partners.</w:t>
      </w:r>
    </w:p>
    <w:p>
      <w:pPr>
        <w:spacing w:after="0" w:line="195"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Any of our third party manufacturers may terminate their engagement with us at any time and we have not yet entered into any commercial supply agreements for the manufacture of active pharmaceutical ingredients (“APIs”) or drug products. With respect to roxadustat, AstraZeneca and Astellas have certain rights to assume manufacturing of roxadustat and the existence of those rights may limit our ability to enter into favorable long-term supply agreements, if at all, with other third party manufacturers. In addition, our product candidates and any products that we may develop may compete with other product candidates and products for access and prioritization to manufacture. Certain third party manufacturers may be contractually prohibited from manufacturing our product due to non-compete agreements with our competitors or a commitment to grant another party priority relative to our products. There are a limited number of third party manufacturers that operate under cGMP and that might be capable of manufacturing to meet our requirements. Due to the limited number of third party manufacturers with the contractual freedom, expertise, required regulatory approvals and facilities to manufacture our products on a commercial scale, identifying and qualifying a replacement third party manufacturer would be expensive and time-consuming and may cause delay or interruptions in the production of our product candidates or products, which in turn may delay, prevent or impair our development and commercialization efforts.</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5" w:name="page56"/>
    <w:bookmarkEnd w:id="5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We have a letter agreement with IRIX Pharmaceuticals, Inc. (“IRIX”), a third party manufacturer that we have used in the past, pursuant to which we agreed to negotiate a single source manufacturing agreement that included a right of first negotiation for the cGMP manufacture of HIF-PH inhibitors, including roxadustat, provided that IRIX is able to match any third party bids within 5%. The exclusive right to manufacture extends for five years after approval of an NDA for those compounds, and any agreement would provide that no minimum amounts would be specified until appropriate by forecast and that we and a commercialization partner would have the rights to contract with independent third parties that exceed IRIX’s internal manufacturing capabilities or in the event that we or our commercialization partner determines for reasons of continuity of supply and security that such a need exists, provided that IRIX would supply no less than 65% of the product if it is able to provide this level of supply. Subsequent to the letter agreement, we and IRIX have entered into several additional service agreements. IRIX has requested in writing that we honor the letter agreement with respect to the single source manufacturing agreement, and if we were to enter into any such exclusive manufacturing agreement, there can be no assurance that IRIX will not assert a claim for right to manufacture roxadustat or that IRIX could manufacture roxadustat successfully and in accordance with applicable regulations for a commercial product and the specifications of our collaboration partners. In 2015, Patheon Pharmaceuticals Inc., a business unit of DPx Holdings B.V. (“Patheon”), acquired IRIX, and in 2017 ThermoFisher Scientific Inc. acquired Patheon.</w:t>
      </w:r>
    </w:p>
    <w:p>
      <w:pPr>
        <w:spacing w:after="0" w:line="19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If any third party manufacturer terminates its engagement with us or fails to perform as agreed, we may be required to find replacement manufacturers, which would result in significant cost and delay to our development programs. Although we believe that there are several potential alternative manufacturers who could manufacture our product candidates, we may incur significant delays and added costs in identifying, qualifying and contracting with any such third party or potential second source manufacturer. In any event, with any third party manufacturer we expect to enter into technical transfer agreements and share our know-how with the third party manufacturer, which can be time-consuming and may result in delays. These delays could result in a suspension or delay of marketing roxadustat.</w:t>
      </w:r>
    </w:p>
    <w:p>
      <w:pPr>
        <w:spacing w:after="0" w:line="292"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Certain of the components of our product candidates are acquired from single-source suppliers and have been purchased without long-term supply agreements. The loss of any of these suppliers, or their failure to supply us with supplies of sufficient quantity and quality to complete our drug substance or finished drug product of acceptable quality and an acceptable price, would materially and adversely affect our business.</w:t>
      </w:r>
    </w:p>
    <w:p>
      <w:pPr>
        <w:spacing w:after="0" w:line="6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do not have an alternative supplier of certain components of our product candidates. To date, we have used purchase orders for the supply of materials that we use in our product candidates. We may be unable to enter into long-term commercial supply arrangements with our vendors, or do so on commercially reasonable terms, which could have a material adverse impact upon our business. In addition, we currently rely on our contract manufacturers to purchase from third-party suppliers some of the materials necessary to produce our product candidates. We do not have direct control over the acquisition of those materials by our contract manufacturers. Moreover, we currently do not have any agreements for the commercial production of those materials.</w:t>
      </w:r>
    </w:p>
    <w:p>
      <w:pPr>
        <w:spacing w:after="0" w:line="184" w:lineRule="exact"/>
        <w:rPr>
          <w:sz w:val="20"/>
          <w:szCs w:val="20"/>
          <w:color w:val="auto"/>
        </w:rPr>
      </w:pPr>
    </w:p>
    <w:p>
      <w:pPr>
        <w:jc w:val="both"/>
        <w:ind w:right="100"/>
        <w:spacing w:after="0" w:line="261" w:lineRule="auto"/>
        <w:rPr>
          <w:sz w:val="20"/>
          <w:szCs w:val="20"/>
          <w:color w:val="auto"/>
        </w:rPr>
      </w:pPr>
      <w:r>
        <w:rPr>
          <w:rFonts w:ascii="Times New Roman" w:cs="Times New Roman" w:eastAsia="Times New Roman" w:hAnsi="Times New Roman"/>
          <w:sz w:val="18"/>
          <w:szCs w:val="18"/>
          <w:color w:val="auto"/>
        </w:rPr>
        <w:t>The logistics of our supply chain, which include shipment of materials and intermediates from countries such as China and India add additional time and risk to the manufacture of our product candidates. While we have in the past maintained sufficient inventory of materials, API, and drug product to meet our and our collaboration partners’ needs for roxadustat to date, the lead time and regulatory approvals required to source from and into countries outside of the U.S. increase the risk of delay and potential shortages of supply.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our efforts to protect our proprietary technologies are not adequate, we may not be able to compete effectively in our market.</w:t>
      </w:r>
    </w:p>
    <w:p>
      <w:pPr>
        <w:spacing w:after="0" w:line="121"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We rely upon a combination of patents, trade secret protection and contractual arrangements to protect the intellectual property related to our technologies. We will only be able to protect our products and proprietary information and technology by preventing unauthorized use by third parties to the extent that our patents, trade secrets, and contractual position allow us to do so. Any disclosure to or misappropriation by third parties of our trade secrets or confidential information could compromise our competitive position. Moreover, we are involved in, have in the past been involved in, and may in the future be involved in legal or administrative proceedings involving our intellectual property initiated by third parties, and which proceedings can result in significant costs and commitment of management time and attention. As our product candidates continue in development, third parties may attempt to challenge the validity and enforceability of our patents and proprietary information and technologies.</w:t>
      </w:r>
    </w:p>
    <w:p>
      <w:pPr>
        <w:spacing w:after="0" w:line="189"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We also are involved in, have in the past been involved in, and may in the future be involved in initiating legal or administrative proceedings involving the product candidates and intellectual property of our competitors. These proceedings can result in significant costs and commitment of management time and attention, and there can be no assurance that our efforts would be successful in preventing or limiting the ability of our competitors to market competing products.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6" w:name="page57"/>
    <w:bookmarkEnd w:id="5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Composition-of-matter patents relating to the API are generally considered to be the strongest form of intellectual property protection for pharmaceutical products, as such patents provide protection not limited to any one method of use. Method-of-use patents protect the use of a product for the specified method(s), and do not prevent a competitor from making and marketing a product that is identical to our product for an indication that is outside the scope of the patented method. We rely on a combination of these and other types of patents to protect our product candidates, and there can be no assurance that our intellectual property will create and sustain the competitive position of our product candidates.</w:t>
      </w:r>
    </w:p>
    <w:p>
      <w:pPr>
        <w:spacing w:after="0" w:line="184"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Biotechnology and pharmaceutical product patents involve highly complex legal and scientific questions and can be uncertain. Any patent applications that we own or license may fail to result in issued patents. Even if patents do successfully issue from our applications, third parties may challenge their validity or enforceability, which may result in such patents being narrowed, invalidated, or held unenforceable. Even if our patents and patent applications are not challenged by third parties, those patents and patent applications may not prevent others from designing around our claims and may not otherwise adequately protect our product candidates. If the breadth or strength of protection provided by the patents and patent applications we hold with respect to our product candidates is threatened, competitors with significantly greater resources could threaten our ability to commercialize our product candidates. Discoveries are generally published in the scientific literature well after their actual development, and patent applications in the U.S. and other countries are typically not published until 18 months after their filing, and in some cases are never published. Therefore, we cannot be certain that we or our licensors were the first to make the inventions claimed in our owned and licensed patents or patent applications, or that we or our licensors were the first to file for patent protection covering such inventions. Subject to meeting other requirements for patentability, for U.S. patent applications filed prior to March 16, 2013, the first to invent the claimed invention is entitled to receive patent protection for that invention while, outside the U.S., the first to file a patent application encompassing the invention is entitled to patent protection for the invention. The U.S. moved to a “first to file” system under the Leahy-Smith America Invents Act (“AIA”), effective March 16, 2013. This system also includes procedures for challenging issued patents and pending patent applications, which creates additional uncertainty. We may become involved in opposition or interference proceedings challenging our patents and patent applications or the patents and patent applications of others, and the outcome of any such proceedings are highly uncertain. An unfavorable outcome in any such proceedings could reduce the scope of or invalidate our patent rights, allow third parties to commercialize our technology and compete directly with us, or result in our inability to manufacture, develop or commercialize our product candidates without infringing the patent rights of others.</w:t>
      </w:r>
    </w:p>
    <w:p>
      <w:pPr>
        <w:spacing w:after="0" w:line="19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addition to the protection afforded by patents, we seek to rely on trade secret protection and confidentiality agreements to protect proprietary know-how, information, or technology that is not covered by our patents. Although our agreements require all of our employees to assign their inventions to us, and we require all of our employees, consultants, advisors and any third parties who have access to our trade secrets, proprietary know-how and other confidential information and technology to enter into appropriate confidentiality agreements, we cannot be certain that our trade secrets, proprietary know-how and other confidential information and technology will not be subject to unauthorized disclosure or that our competitors will not otherwise gain access to or independently develop substantially equivalent trade secrets, proprietary know-how and other information and technology. Furthermore, the laws of some foreign countries, in particular, China, where we have operations, do not protect proprietary rights to the same extent or in the same manner as the laws of the U.S. As a result, we may encounter significant problems in protecting and defending our intellectual property globally. If we are unable to prevent unauthorized disclosure of our intellectual property related to our product candidates and technology to third parties, we may not be able to establish or maintain a competitive advantage in our market, which could materially adversely affect our business and operations.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disputes with third parties and competitors may be costly and time consuming, and may negatively affect our competitive position.</w:t>
      </w:r>
    </w:p>
    <w:p>
      <w:pPr>
        <w:spacing w:after="0" w:line="12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Our commercial success may depend on our avoiding infringement of the patents and other proprietary rights of third parties as well as on enforcing our patents and other proprietary rights against third parties. Pharmaceutical and biotechnology intellectual property disputes are characterized by complex, lengthy and expensive litigation over patents and other intellectual property rights. We may initiate or become party to or be threatened with future litigation or other proceedings regarding intellectual property rights with respect to our product candidates and competing products.</w:t>
      </w:r>
    </w:p>
    <w:p>
      <w:pPr>
        <w:spacing w:after="0" w:line="180"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As our product candidates progress toward commercialization, we or our collaboration partners may be subject to patent infringement claims from third parties. We attempt to ensure that our product candidates do not infringe third party patents and other proprietary rights. However, the patent landscape in competitive product areas is highly complex, and there may be patents of third parties of which we are unaware that may result in claims of infringement. Accordingly, there can be no assurance that our product candidates do not infringe proprietary rights of third parties, and parties making claims against us may seek and obtain injunctive or other equitable relief, which could potentially block further efforts to develop and commercialize our product candidates including roxadustat or pamrevlumab. Any litigation involving defense against claims of infringement, regardless of the merit of such claims, would involve substantial litigation expense and would be a substantial diversion of management time.</w:t>
      </w:r>
    </w:p>
    <w:p>
      <w:pPr>
        <w:spacing w:after="0" w:line="18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121" w:right="299" w:bottom="1440" w:gutter="0" w:footer="0" w:header="0"/>
        </w:sectPr>
      </w:pPr>
    </w:p>
    <w:bookmarkStart w:id="57" w:name="page58"/>
    <w:bookmarkEnd w:id="5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intend, if necessary, to vigorously enforce our intellectual property in order to protect the proprietary position of our product candidates, including roxadustat and pamrevlumab. Active efforts to enforce our patents may include litigation, administrative proceedings, or both, depending on the potential benefits that might be available from those actions and the costs associated with undertaking those efforts against third parties. We carefully review and monitor publicly available information regarding products that may be competitive with our product candidates and assert our intellectual property rights where appropriate. We previously prevailed in an administrative challenge initiated by a major biopharmaceutical company regarding our intellectual property rights, maintaining our intellectual property in all relevant scope, and will continue to protect and enforce our intellectual property rights. Moreover, third parties may continue to initiate new proceedings in the U.S. and foreign jurisdictions to challenge our patents from time to time.</w:t>
      </w:r>
    </w:p>
    <w:p>
      <w:pPr>
        <w:spacing w:after="0" w:line="18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may consider administrative proceedings and other means for challenging third party patents and patent applications. An unfavorable outcome in any such challenge could require us to cease using the related technology and to attempt to license rights to it from the prevailing third party, which may not be available on commercially reasonable terms, if at all, in which case our business could be harmed.</w:t>
      </w:r>
    </w:p>
    <w:p>
      <w:pPr>
        <w:spacing w:after="0" w:line="188"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 xml:space="preserve">Third parties may also challenge our patents and patent applications, through interference, reexamination,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and post-grant review proceedings before the U.S. Patent and Trademark Office (“USPTO”) or through comparable proceedings in other territories. For example, Akebia and others have filed oppositions against certain European patents within our HIF Anemia-related Technologies Patent Portfolio. In three of these proceedings, for FibroGen European Patent Nos. 1463823, 1633333, and 2322155, the European Patent Office has handed down decisions unfavorable to FibroGen. In a fourth of these proceedings, the European Patent Office issued a decision favorable to FibroGen, maintaining FibroGen European Patent No. 2322153 in amended form. All of these decisions are currently under appeal, and these four patents are valid and enforceable pending resolution of the appeals. The ultimate outcomes of such proceedings remain uncertain, and ultimate resolution of the appeals may take two years or longer. In addition, Akebia recently filed oppositions against FibroGen European Patent Nos. 2289531 and 2298301. Akebia is also pursuing invalidation actions against corresponding patents in Canada and in Japan, and Akebia and GSK have initiated actions against corresponding patents in the United Kingdom. GSK has also filed for a declaration of non-infringement in UK patents corresponding to FibroGen European Patent Nos. 2322153 and 2322155. Our partner Astellas has initiated infringement actions against Akebia and GSK based on the specific UK patents challenged by each respective party in their corresponding UK actions. While we believe the ultimate outcome of all proceedings will be that these FibroGen patents will be upheld in relevant part, we note that narrowing or even revocation of any of these patents would not affect our exclusivity for roxadustat or our freedom-to-operate with respect to use of roxadustat for the treatment of anemia.</w:t>
      </w:r>
    </w:p>
    <w:p>
      <w:pPr>
        <w:spacing w:after="0" w:line="191"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Furthermore, there is a risk that any public announcements concerning the status or outcomes of intellectual property litigation or administrative proceedings may adversely affect the price of our stock. If securities analysts or our investors interpret such status or outcomes as negative or otherwise creating uncertainty, our common stock price may be adversely affected.</w:t>
      </w:r>
    </w:p>
    <w:p>
      <w:pPr>
        <w:spacing w:after="0" w:line="280"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reliance on third parties and agreements with collaboration partners requires us to share our trade secrets, which increases the possibility that a competitor may discover them or that our trade secrets will be misappropriated or disclosed.</w:t>
      </w:r>
    </w:p>
    <w:p>
      <w:pPr>
        <w:spacing w:after="0" w:line="5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Our reliance on third party contractors to develop and manufacture our product candidates is based upon agreements that limit the rights of the third parties to use or disclose our confidential information, including our trade secrets and know-how. Despite the contractual provisions, the need to share trade secrets and other confidential information increases the risk that such trade secrets and information are disclosed or used, even if unintentionally, in violation of these agreements. In the highly competitive markets in which our product candidates are expected to compete, protecting our trade secrets, including our strategies for addressing competing products, is imperative, and any unauthorized use or disclosure could impair our competitive position and may have a material adverse effect on our business and operations.</w:t>
      </w:r>
    </w:p>
    <w:p>
      <w:pPr>
        <w:spacing w:after="0" w:line="188" w:lineRule="exact"/>
        <w:rPr>
          <w:sz w:val="20"/>
          <w:szCs w:val="20"/>
          <w:color w:val="auto"/>
        </w:rPr>
      </w:pPr>
    </w:p>
    <w:p>
      <w:pPr>
        <w:jc w:val="both"/>
        <w:ind w:right="80"/>
        <w:spacing w:after="0" w:line="261" w:lineRule="auto"/>
        <w:rPr>
          <w:sz w:val="20"/>
          <w:szCs w:val="20"/>
          <w:color w:val="auto"/>
        </w:rPr>
      </w:pPr>
      <w:r>
        <w:rPr>
          <w:rFonts w:ascii="Times New Roman" w:cs="Times New Roman" w:eastAsia="Times New Roman" w:hAnsi="Times New Roman"/>
          <w:sz w:val="18"/>
          <w:szCs w:val="18"/>
          <w:color w:val="auto"/>
        </w:rPr>
        <w:t>In addition, our collaboration partners are larger, more complex organizations than ours, and the risk of inadvertent disclosure of our proprietary information may be increased despite their internal procedures and contractual obligations in place with our collaboration partners. Despite our efforts to protect our trade secrets and other confidential information, a competitor’s discovery of such trade secrets and information could impair our competitive position and have an adverse impact on our business.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8" w:name="page59"/>
    <w:bookmarkEnd w:id="5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an extensive worldwide patent portfolio. The cost of maintaining our patent protection is high and maintaining our patent protection requires continuous review and compliance in order to maintain worldwide patent protection. We may not be able to effectively maintain our intellectual property position throughout the major markets of the world.</w:t>
      </w:r>
    </w:p>
    <w:p>
      <w:pPr>
        <w:spacing w:after="0" w:line="67"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The USPTO and foreign patent authorities require maintenance fees and payments as well as continued compliance with a number of procedural and documentary requirements. Noncompliance may result in abandonment or lapse of the subject patent or patent application, resulting in partial or complete loss of patent rights in the relevant jurisdiction. Non-compliance may result in reduced royalty payments for lack of patent coverage in a particular jurisdiction from our collaboration partners or may result in competition, either of which could have a material adverse effect on our business.</w:t>
      </w:r>
    </w:p>
    <w:p>
      <w:pPr>
        <w:spacing w:after="0" w:line="180"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We have made, and will continue to make, certain strategic decisions in balancing costs and the potential protection afforded by the patent laws of certain countries. As a result, we may not be able to prevent third parties from practicing our inventions in all countries throughout the world, or from selling or importing products made using our inventions in and into the U.S. or other countries. Third parties may use our technologies in territories in which we have not obtained patent protection to develop their own products and, further, may infringe our patents in territories which provide inadequate enforcement mechanisms, even if we have patent protection. Such third party products may compete with our product candidates, and our patents or other intellectual property rights may not be effective or sufficient to prevent them from competing.</w:t>
      </w:r>
    </w:p>
    <w:p>
      <w:pPr>
        <w:spacing w:after="0" w:line="292"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laws of some foreign countries do not protect proprietary rights to the same extent as do the laws of the U.S., and we may encounter significant problems in securing and defending our intellectual property rights outside the U.S.</w:t>
      </w:r>
    </w:p>
    <w:p>
      <w:pPr>
        <w:spacing w:after="0" w:line="5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Many companies have encountered significant problems in protecting and defending intellectual property rights in certain countries. The legal systems of certain countries, particularly certain developing countries such as China, do not always favor the enforcement of patents, trade secrets, and other intellectual property rights, particularly those relating to pharmaceutical and biotechnology products, which could make it difficult for us to stop infringement of our patents, misappropriation of our trade secrets, or marketing of competing products in violation of our proprietary rights. In China, our intended establishment of significant operations will depend in substantial part on our ability to effectively enforce our intellectual property rights in that country. Proceedings to enforce our intellectual property rights in foreign countries could result in substantial costs and divert our efforts and attention from other aspects of our business, and could put our patents in these territories at risk of being invalidated or interpreted narrowly, or our patent applications at risk of not being granted, and could provoke third parties to assert claims against us. We may not prevail in all legal or other proceedings that we may initiate and, if we were to prevail,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rights do not address all potential threats to any competitive advantage we may have.</w:t>
      </w:r>
    </w:p>
    <w:p>
      <w:pPr>
        <w:spacing w:after="0" w:line="121"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degree of future protection afforded by our intellectual property rights is uncertain because intellectual property rights have limitations, and intellectual property rights may not adequately protect our business or permit us to maintain our competitive advantage. The following examples are illustrative:</w:t>
      </w:r>
    </w:p>
    <w:p>
      <w:pPr>
        <w:spacing w:after="0" w:line="54" w:lineRule="exact"/>
        <w:rPr>
          <w:sz w:val="20"/>
          <w:szCs w:val="20"/>
          <w:color w:val="auto"/>
        </w:rPr>
      </w:pPr>
    </w:p>
    <w:p>
      <w:pPr>
        <w:ind w:left="1040" w:right="160" w:hanging="519"/>
        <w:spacing w:after="0" w:line="282" w:lineRule="auto"/>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be able to make compounds that are the same as or similar to our current or future product candidates but that are not covered by the claims of the patents that we own or have exclusively licensed.</w:t>
      </w:r>
    </w:p>
    <w:p>
      <w:pPr>
        <w:spacing w:after="0" w:line="53" w:lineRule="exact"/>
        <w:rPr>
          <w:rFonts w:ascii="Times New Roman" w:cs="Times New Roman" w:eastAsia="Times New Roman" w:hAnsi="Times New Roman"/>
          <w:sz w:val="18"/>
          <w:szCs w:val="18"/>
          <w:color w:val="auto"/>
        </w:rPr>
      </w:pPr>
    </w:p>
    <w:p>
      <w:pPr>
        <w:ind w:left="1040" w:right="240" w:hanging="519"/>
        <w:spacing w:after="0" w:line="282" w:lineRule="auto"/>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any of our licensors or strategic partners might not have been the first to make the inventions covered by the issued patent or pending patent application that we own or have exclusively licensed.</w:t>
      </w:r>
    </w:p>
    <w:p>
      <w:pPr>
        <w:spacing w:after="0" w:line="53"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any of our licensors or strategic partners might not have been the first to file patent applications covering certain of our inventions.</w:t>
      </w:r>
    </w:p>
    <w:p>
      <w:pPr>
        <w:spacing w:after="0" w:line="117" w:lineRule="exact"/>
        <w:rPr>
          <w:rFonts w:ascii="Times New Roman" w:cs="Times New Roman" w:eastAsia="Times New Roman" w:hAnsi="Times New Roman"/>
          <w:sz w:val="18"/>
          <w:szCs w:val="18"/>
          <w:color w:val="auto"/>
        </w:rPr>
      </w:pPr>
    </w:p>
    <w:p>
      <w:pPr>
        <w:ind w:left="1040" w:right="160" w:hanging="519"/>
        <w:spacing w:after="0" w:line="282" w:lineRule="auto"/>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independently develop similar or alternative technologies or duplicate any of our technologies without infringing our intellectual property rights.</w:t>
      </w:r>
    </w:p>
    <w:p>
      <w:pPr>
        <w:spacing w:after="0" w:line="53"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prosecution of our pending patent applications may not result in granted patents.</w:t>
      </w:r>
    </w:p>
    <w:p>
      <w:pPr>
        <w:spacing w:after="0" w:line="117" w:lineRule="exact"/>
        <w:rPr>
          <w:rFonts w:ascii="Times New Roman" w:cs="Times New Roman" w:eastAsia="Times New Roman" w:hAnsi="Times New Roman"/>
          <w:sz w:val="18"/>
          <w:szCs w:val="18"/>
          <w:color w:val="auto"/>
        </w:rPr>
      </w:pPr>
    </w:p>
    <w:p>
      <w:pPr>
        <w:ind w:left="1040" w:right="420" w:hanging="519"/>
        <w:spacing w:after="0" w:line="282" w:lineRule="auto"/>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Granted patents that we own or have exclusively licensed may not provide us with any competitive advantages, or may be held invalid or unenforceable, as a result of legal challenges by our competitors.</w:t>
      </w:r>
    </w:p>
    <w:p>
      <w:pPr>
        <w:spacing w:after="0" w:line="53" w:lineRule="exact"/>
        <w:rPr>
          <w:rFonts w:ascii="Times New Roman" w:cs="Times New Roman" w:eastAsia="Times New Roman" w:hAnsi="Times New Roman"/>
          <w:sz w:val="18"/>
          <w:szCs w:val="18"/>
          <w:color w:val="auto"/>
        </w:rPr>
      </w:pPr>
    </w:p>
    <w:p>
      <w:pPr>
        <w:ind w:left="1040" w:right="80" w:hanging="519"/>
        <w:spacing w:after="0" w:line="282" w:lineRule="auto"/>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Patent protection on our product candidates may expire before we are able to develop and commercialize the product, or before we are able to recover our investment in the product.</w:t>
      </w:r>
    </w:p>
    <w:p>
      <w:pPr>
        <w:spacing w:after="0" w:line="53" w:lineRule="exact"/>
        <w:rPr>
          <w:rFonts w:ascii="Times New Roman" w:cs="Times New Roman" w:eastAsia="Times New Roman" w:hAnsi="Times New Roman"/>
          <w:sz w:val="18"/>
          <w:szCs w:val="18"/>
          <w:color w:val="auto"/>
        </w:rPr>
      </w:pPr>
    </w:p>
    <w:p>
      <w:pPr>
        <w:ind w:left="1040" w:right="20" w:hanging="519"/>
        <w:spacing w:after="0" w:line="266" w:lineRule="auto"/>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might conduct research and development activities in the U.S. and other countries that provide a safe harbor from patent infringement claims for such activities, as well as in countries in which we do not have patent rights, and may then use the information learned from such activities to develop competitive products for sale in markets where we intend to market our product candidates.</w:t>
      </w:r>
    </w:p>
    <w:p>
      <w:pPr>
        <w:spacing w:after="0" w:line="17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121" w:right="319" w:bottom="1440" w:gutter="0" w:footer="0" w:header="0"/>
        </w:sectPr>
      </w:pPr>
    </w:p>
    <w:bookmarkStart w:id="59" w:name="page60"/>
    <w:bookmarkEnd w:id="5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Roxadustat is considered a Class 2 substance on the 2019 World Anti-Doping Agency Prohibited List which could limit sales and increase security and distribution costs for us and our partners, particularly in China.</w:t>
      </w:r>
    </w:p>
    <w:p>
      <w:pPr>
        <w:spacing w:after="0" w:line="5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Roxadustat is considered a Class 2 substance on the World Anti-Doping Agency (“WADA”) Prohibited List. There are enhanced security and distribution procedures we and our collaboration partners and third-party contractors will have to take to limit the risk of loss of product in the supply chain. As a result, our distribution, manufacturing and sales costs for roxadustat, as well as for our partners, will be increased which will reduce profitability. In addition there is a risk of reduced sales due to patient access to this drug. This is particularly the case in China where we will not be able to sell roxadustat in private pharmacies due to the WADA classification. While private pharmacies only represent approximately 10% of the market in China, this will negatively affect sales and therefore the profitability of roxadustat and the Company as a whole.</w:t>
      </w:r>
    </w:p>
    <w:p>
      <w:pPr>
        <w:spacing w:after="0" w:line="292"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existence of counterfeit pharmaceutical products in pharmaceutical markets may compromise our brand and reputation and have a material adverse effect on our business, operations and prospects.</w:t>
      </w:r>
    </w:p>
    <w:p>
      <w:pPr>
        <w:spacing w:after="0" w:line="5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Counterfeit products, including counterfeit pharmaceutical products, are a significant problem, particularly in China. Counterfeit pharmaceuticals are products sold or used for research under the same or similar names, or similar mechanism of action or product class, but which are sold without proper licenses or approvals. Such products may be used for indications or purposes that are not recommended or approved or for which there is no data or inadequate data with regard to safety or efficacy. Such products divert sales from genuine products, often are of lower cost, often are of lower quality (having different ingredients or formulations, for example), and have the potential to damage the reputation for quality and effectiveness of the genuine product. If counterfeit pharmaceuticals illegally sold or used for research result in adverse events or side effects to consumers, we may be associated with any negative publicity resulting from such incidents. Consumers may buy counterfeit pharmaceuticals that are in direct competition with our pharmaceuticals, which could have an adverse impact on our revenues, business and results of operations. In addition, the use of counterfeit products could be used in non-clinical or clinical studies, or could otherwise produce undesirable side effects or adverse events that may be attributed to our products as well, which could cause us or regulatory authorities to interrupt, delay or halt clinical trials and could result in the delay or denial of regulatory approval by the FDA or other regulatory authorities and potential product liability claims. With respect to China, although the government has recently been increasingly active in policing counterfeit pharmaceuticals, there is not yet an effective counterfeit pharmaceutical regulation control and enforcement system in China. As a result, we may not be able to prevent third parties from selling or purporting to sell our products in China. The proliferation of counterfeit pharmaceuticals has grown in recent years and may continue to grow in the future. The existence of and any increase in the sales and production of counterfeit pharmaceuticals, or the technological capabilities of counterfeiters, could negatively impact our revenues, brand reputation, business and results of operations.</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Government Regulation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regulatory approval process is highly uncertain and we may not obtain regulatory approval for the commercialization of our product candidates.</w:t>
      </w:r>
    </w:p>
    <w:p>
      <w:pPr>
        <w:spacing w:after="0" w:line="12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time required to obtain approval by the FDA and comparable foreign regulatory authorities is unpredictable, but typically takes many years following the commencement of preclinical studies and clinical trials and depends upon numerous factors, including the substantial discretion of the regulatory authorities. In addition, approval policies, regulations, or the type and amount of clinical data necessary to gain approval may change during the course of a product candidate’s clinical development and may vary among jurisdictions. Except in China, We have not obtained regulatory approval for any product candidate, and it is possible that neither roxadustat nor pamrevlumab, nor any future product candidates we may discover, in-license or acquire and seek to develop in the future, will obtain regulatory approval in countries other than China.</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product candidates could fail to receive regulatory approval from the FDA or other regulatory authorities for many reasons, including:</w:t>
      </w:r>
    </w:p>
    <w:p>
      <w:pPr>
        <w:spacing w:after="0" w:line="117" w:lineRule="exact"/>
        <w:rPr>
          <w:sz w:val="20"/>
          <w:szCs w:val="20"/>
          <w:color w:val="auto"/>
        </w:rPr>
      </w:pPr>
    </w:p>
    <w:p>
      <w:pPr>
        <w:ind w:left="1040" w:hanging="519"/>
        <w:spacing w:after="0"/>
        <w:tabs>
          <w:tab w:leader="none" w:pos="10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disagreement over the design or implementation of our clinical trials;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demonstrate that a product candidate is safe and effective for its proposed indication;</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clinical trials to meet the level of statistical significance required for approval;</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demonstrate that a product candidate’s clinical and other benefits outweigh its safety risks;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disagreement over our interpretation of data from preclinical studies or clinical trials;</w:t>
      </w:r>
    </w:p>
    <w:p>
      <w:pPr>
        <w:spacing w:after="0" w:line="117" w:lineRule="exact"/>
        <w:rPr>
          <w:rFonts w:ascii="Times New Roman" w:cs="Times New Roman" w:eastAsia="Times New Roman" w:hAnsi="Times New Roman"/>
          <w:sz w:val="18"/>
          <w:szCs w:val="18"/>
          <w:color w:val="auto"/>
        </w:rPr>
      </w:pPr>
    </w:p>
    <w:p>
      <w:pPr>
        <w:ind w:left="1040" w:right="160" w:hanging="519"/>
        <w:spacing w:after="0" w:line="282" w:lineRule="auto"/>
        <w:tabs>
          <w:tab w:leader="none" w:pos="10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disagreement over whether to accept efficacy results from clinical trial sites outside the U.S. where the standard of care is potentially different from that in the U.S.;</w:t>
      </w:r>
    </w:p>
    <w:p>
      <w:pPr>
        <w:spacing w:after="0" w:line="53" w:lineRule="exact"/>
        <w:rPr>
          <w:rFonts w:ascii="Times New Roman" w:cs="Times New Roman" w:eastAsia="Times New Roman" w:hAnsi="Times New Roman"/>
          <w:sz w:val="18"/>
          <w:szCs w:val="18"/>
          <w:color w:val="auto"/>
        </w:rPr>
      </w:pPr>
    </w:p>
    <w:p>
      <w:pPr>
        <w:ind w:left="1040" w:right="420" w:hanging="519"/>
        <w:spacing w:after="0" w:line="282" w:lineRule="auto"/>
        <w:tabs>
          <w:tab w:leader="none" w:pos="10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insufficiency of data collected from clinical trials of our present or future product candidates to support the submission and filing of an NDA or other submission or to obtain regulatory approval;</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0" w:name="page61"/>
    <w:bookmarkEnd w:id="6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47" w:lineRule="exact"/>
        <w:rPr>
          <w:sz w:val="20"/>
          <w:szCs w:val="20"/>
          <w:color w:val="auto"/>
        </w:rPr>
      </w:pPr>
    </w:p>
    <w:p>
      <w:pPr>
        <w:ind w:left="1040" w:right="140" w:hanging="519"/>
        <w:spacing w:after="0" w:line="282" w:lineRule="auto"/>
        <w:tabs>
          <w:tab w:leader="none" w:pos="10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disapproval of the manufacturing processes or facilities of either our manufacturing plant or third party manufacturers with whom we contract for clinical and commercial supplies; or</w:t>
      </w:r>
    </w:p>
    <w:p>
      <w:pPr>
        <w:spacing w:after="0" w:line="53"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approval policies or regulations that render our preclinical and clinical data insufficient for approval.</w:t>
      </w:r>
    </w:p>
    <w:p>
      <w:pPr>
        <w:spacing w:after="0" w:line="22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FDA or other regulatory authorities may require more information, including additional preclinical or clinical data to support approval, which may delay or prevent approval and our commercialization plans, or we may decide to abandon the development program altogether. Even if we do obtain regulatory approval, our product candidates may be approved for fewer or more limited indications than we request, approval may be contingent on the performance of costly post-marketing clinical trials, or approval may require labeling that does not include the labeling claims necessary or desirable for the successful commercialization of that product candidate. In addition, if our product candidates produce undesirable side effects or safety issues, the FDA may require the establishment of REMS or other regulatory authorities may require the establishment of a similar strategy, that may restrict distribution of our approved products, if any, and impose burdensome implementation requirements on us. Any of the foregoing scenarios could materially harm the commercial prospects for our product candidates.</w:t>
      </w:r>
    </w:p>
    <w:p>
      <w:pPr>
        <w:spacing w:after="0" w:line="18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Even if we believe our current or planned clinical trials are successful, regulatory authorities may not agree that our completed clinical trials provide adequate data on safety or efficacy. Approval by one regulatory authority does not ensure approval by any other regulatory authority. However, a failure or delay in obtaining regulatory approval in one country may have a negative effect on the regulatory process in others. We may not be able to file for regulatory approvals and even if we file we may not receive the necessary approvals to commercialize our product candidates in any market.</w:t>
      </w:r>
    </w:p>
    <w:p>
      <w:pPr>
        <w:spacing w:after="0" w:line="284"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product candidates obtain marketing approval, we will be subject to more extensive healthcare laws, regulation and enforcement and our failure to comply with those laws could have a material adverse effect on our results of operations and financial condition.</w:t>
      </w:r>
    </w:p>
    <w:p>
      <w:pPr>
        <w:spacing w:after="0" w:line="5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If we obtain approval in the U.S. for any of our product candidates, the regulatory requirements applicable to our operations, in particular our sales and marketing efforts, will increase significantly with respect to our operations and the potential for civil and criminal enforcement by the federal government and the states and foreign governments will increase with respect to the conduct of our business. The laws that may affect our operations in the U.S. include:</w:t>
      </w:r>
    </w:p>
    <w:p>
      <w:pPr>
        <w:spacing w:after="0" w:line="68" w:lineRule="exact"/>
        <w:rPr>
          <w:sz w:val="20"/>
          <w:szCs w:val="20"/>
          <w:color w:val="auto"/>
        </w:rPr>
      </w:pPr>
    </w:p>
    <w:p>
      <w:pPr>
        <w:ind w:left="1040" w:hanging="519"/>
        <w:spacing w:after="0" w:line="266" w:lineRule="auto"/>
        <w:tabs>
          <w:tab w:leader="none" w:pos="10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which prohibits, among other things, persons from knowingly and willfully soliciting, receiving, offering or paying remuneration, directly or indirectly, to induce, or in return for, the purchase or recommendation of an item or service reimbursable under a federal healthcare program, such as the Medicare and Medicaid programs;</w:t>
      </w:r>
    </w:p>
    <w:p>
      <w:pPr>
        <w:spacing w:after="0" w:line="68" w:lineRule="exact"/>
        <w:rPr>
          <w:rFonts w:ascii="Times New Roman" w:cs="Times New Roman" w:eastAsia="Times New Roman" w:hAnsi="Times New Roman"/>
          <w:sz w:val="18"/>
          <w:szCs w:val="18"/>
          <w:color w:val="auto"/>
        </w:rPr>
      </w:pPr>
    </w:p>
    <w:p>
      <w:pPr>
        <w:jc w:val="both"/>
        <w:ind w:left="1040" w:right="260" w:hanging="519"/>
        <w:spacing w:after="0" w:line="266" w:lineRule="auto"/>
        <w:tabs>
          <w:tab w:leader="none" w:pos="10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civil and criminal false claims laws and civil monetary penalty laws, which prohibit, among other things, individuals or entities from knowingly presenting, or causing to be presented, claims for payment from Medicare, Medicaid, or other third party payors that are false or fraudulent;</w:t>
      </w:r>
    </w:p>
    <w:p>
      <w:pPr>
        <w:spacing w:after="0" w:line="68" w:lineRule="exact"/>
        <w:rPr>
          <w:rFonts w:ascii="Times New Roman" w:cs="Times New Roman" w:eastAsia="Times New Roman" w:hAnsi="Times New Roman"/>
          <w:sz w:val="18"/>
          <w:szCs w:val="18"/>
          <w:color w:val="auto"/>
        </w:rPr>
      </w:pPr>
    </w:p>
    <w:p>
      <w:pPr>
        <w:ind w:left="1040" w:hanging="519"/>
        <w:spacing w:after="0" w:line="282" w:lineRule="auto"/>
        <w:tabs>
          <w:tab w:leader="none" w:pos="10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Health Insurance Portability and Accountability Act of 1996 (“HIPAA”), which created new federal criminal statutes that prohibit executing a scheme to defraud any healthcare benefit program and making false statements relating to healthcare matters;</w:t>
      </w:r>
    </w:p>
    <w:p>
      <w:pPr>
        <w:spacing w:after="0" w:line="53" w:lineRule="exact"/>
        <w:rPr>
          <w:rFonts w:ascii="Times New Roman" w:cs="Times New Roman" w:eastAsia="Times New Roman" w:hAnsi="Times New Roman"/>
          <w:sz w:val="18"/>
          <w:szCs w:val="18"/>
          <w:color w:val="auto"/>
        </w:rPr>
      </w:pPr>
    </w:p>
    <w:p>
      <w:pPr>
        <w:ind w:left="1040" w:right="440" w:hanging="519"/>
        <w:spacing w:after="0" w:line="282" w:lineRule="auto"/>
        <w:tabs>
          <w:tab w:leader="none" w:pos="10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as amended by Health Information Technology and Clinical Health Act, and its implementing regulations, which imposes certain requirements relating to the privacy, security, and transmission of individually identifiable health information;</w:t>
      </w:r>
    </w:p>
    <w:p>
      <w:pPr>
        <w:spacing w:after="0" w:line="53" w:lineRule="exact"/>
        <w:rPr>
          <w:rFonts w:ascii="Times New Roman" w:cs="Times New Roman" w:eastAsia="Times New Roman" w:hAnsi="Times New Roman"/>
          <w:sz w:val="18"/>
          <w:szCs w:val="18"/>
          <w:color w:val="auto"/>
        </w:rPr>
      </w:pPr>
    </w:p>
    <w:p>
      <w:pPr>
        <w:ind w:left="1040" w:hanging="519"/>
        <w:spacing w:after="0" w:line="261" w:lineRule="auto"/>
        <w:tabs>
          <w:tab w:leader="none" w:pos="10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physician sunshine requirements under the Patient Protection and Affordable Care Act (“PPACA”), which requires manufacturers of drugs, devices, biologics, and medical supplies to report annually to the Centers for Medicare and Medicaid Services (“CMS”), information related to payments and other transfers of value to physicians, other healthcare providers, and teaching hospitals, and ownership and investment interests held by physicians and other healthcare providers and their immediate family members;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61" w:name="page62"/>
    <w:bookmarkEnd w:id="6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47" w:lineRule="exact"/>
        <w:rPr>
          <w:sz w:val="20"/>
          <w:szCs w:val="20"/>
          <w:color w:val="auto"/>
        </w:rPr>
      </w:pPr>
    </w:p>
    <w:p>
      <w:pPr>
        <w:ind w:left="1040" w:hanging="519"/>
        <w:spacing w:after="0" w:line="255" w:lineRule="auto"/>
        <w:tabs>
          <w:tab w:leader="none" w:pos="10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and state law equivalents of each of the above federal laws, such as the U.S. Foreign Corrupt Practices Act (“FCPA”), anti-kickback and false claims laws that may apply to items or services reimbursed by any third party payor, including commercial insurers; state laws that require pharmaceutical companies to comply with the pharmaceutical industry’s voluntary compliance guidelines and the applicable compliance guidance promulgated by the federal government, or otherwise restrict payments that may be made to healthcare providers and other potential referral sources; state laws that require drug manufacturers to report information related to payments and other transfers of value to physicians and other healthcare providers or marketing expenditures; and state laws governing the privacy and security of health information in certain circumstances, many of which differ from each other in significant ways, thus complicating compliance efforts; and</w:t>
      </w:r>
    </w:p>
    <w:p>
      <w:pPr>
        <w:spacing w:after="0" w:line="81" w:lineRule="exact"/>
        <w:rPr>
          <w:rFonts w:ascii="Times New Roman" w:cs="Times New Roman" w:eastAsia="Times New Roman" w:hAnsi="Times New Roman"/>
          <w:sz w:val="18"/>
          <w:szCs w:val="18"/>
          <w:color w:val="auto"/>
        </w:rPr>
      </w:pPr>
    </w:p>
    <w:p>
      <w:pPr>
        <w:ind w:left="1040" w:hanging="519"/>
        <w:spacing w:after="0" w:line="256" w:lineRule="auto"/>
        <w:tabs>
          <w:tab w:leader="none" w:pos="10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Trade Agreements Act (“TAA”), which requires that drugs sold to the U.S. Government must be manufactured in the U.S. or in TAA approved and designated countries. Drugs manufactured in countries not approved under the TAA, may not be sold to the U.S. without specific regulatory approval. We have little experience with this regulation and there is a risk that drugs made from Chinese-made API may not be sold to an entity of the U.S. such as the Veterans Health Administration (“VA”) due to our inability to obtain regulatory approval. While there have been recent VA policy changes that appear to allow for sale of drugs from non-TAA approved countries, this policy may change or there may be additional policies or legislation that affect our ability to sell drug to the U.S. Government.</w:t>
      </w:r>
    </w:p>
    <w:p>
      <w:pPr>
        <w:spacing w:after="0" w:line="18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scope of these laws and our lack of experience in establishing the compliance programs necessary to comply with this complex and evolving regulatory environment increases the risks that we may unknowingly violate the applicable laws and regulations. If our operations are found to be in violation of any of such laws or any other governmental regulations that apply to us, we may be subject to penalties, including civil and criminal penalties, damages, fines, the curtailment or restructuring of our operations, the exclusion from participation in federal and state healthcare programs and imprisonment, any of which could materially adversely affect our ability to operate our business and our financial results.</w:t>
      </w:r>
    </w:p>
    <w:p>
      <w:pPr>
        <w:spacing w:after="0" w:line="288"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impact of recent U.S. healthcare reform, its potential partial or full repeal, and other changes in the healthcare industry and in healthcare spending is currently unknown, and may adversely affect our business model.</w:t>
      </w:r>
    </w:p>
    <w:p>
      <w:pPr>
        <w:spacing w:after="0" w:line="5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commercial potential for our approved products could be affected by changes in healthcare spending and policy in the U.S. and abroad. We operate in a highly regulated industry and new laws, regulations or judicial decisions, or new interpretations of existing laws, regulations or decisions, related to healthcare availability, the method of delivery or payment for healthcare products and services could negatively impact our business, operations and financial condition.</w:t>
      </w:r>
    </w:p>
    <w:p>
      <w:pPr>
        <w:spacing w:after="0" w:line="180"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In the U.S., the Medicare Prescription Drug, Improvement, and Modernization Act of 2003 (“MMA”) altered Medicare coverage and payments for pharmaceutical products. The legislation expanded Medicare coverage for drug purchases by the elderly and introduced a new reimbursement methodology based on average sales prices for physician-administered drugs. The MMA also provided authority for limiting the number of drugs that will be covered in any therapeutic class and as a result, we expect that there will be additional pressure to reduce costs. For example, the CMS in implementing the MMA has enacted regulations that reduced capitated payments to dialysis providers. These cost reduction initiatives and other provisions of the MMA could decrease the scope of coverage and the price that may be received for any approved dialysis products and could seriously harm our business and financial condition. While the MMA applies only to drug benefits for Medicare beneficiaries, private payors often follow Medicare coverage policies and payment limitations in setting their own reimbursement rates, and any reduction in reimbursement that results from the MMA may cause a similar reduction in payments from private payors. Similar regulations or reimbursement policies have been enacted in many international markets which could similarly impact the commercial potential for our products.</w:t>
      </w:r>
    </w:p>
    <w:p>
      <w:pPr>
        <w:spacing w:after="0" w:line="186"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Under the Medicare Improvements for Patients and Providers Act (“MIPPA”), a basic case-mix adjusted composite, or bundled, payment system commenced in January 2011 and transitioned fully by January 2014 to a single reimbursement rate for drugs and all services furnished by renal dialysis centers for Medicare beneficiaries with end-stage renal disease. Specifically, under MIPPA the bundle now covers drugs, services, lab tests and supplies under a single treatment base rate for reimbursement by the CMS based on the average cost per treatment, including the cost of ESAs and IV iron doses, typically without adjustment for usage. It is unknown whether roxadustat, if approved in the U.S., will be included in the payment bundle. Under MIPPA, agents that have no IV equivalent in the bundle are currently expected to be excluded from the bundle until 2025. If roxadustat were included in the bundle, it may reduce the price that could be charged for roxadustat, and therefore potentially limit our profitability. Based on roxadustat’s differentiated mechanism of action and therapeutic effects, and discussions with our collaboration partner, we currently believe that roxadustat might not be included in the bundle. If roxadustat is reimbursed outside of the bundle, it may potentially limit or delay market penetration of roxadustat.</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2" w:name="page63"/>
    <w:bookmarkEnd w:id="6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More recently, the PPACA was enacted in 2010 with a goal of reducing the cost of healthcare and substantially changing the way healthcare is financed by both government and private insurers. The PPACA, among other things, increases the minimum Medicaid rebates owed by manufacturers under the Medicaid Drug Rebate Program and extends the rebate program to individuals enrolled in Medicaid managed care organizations, establishes annual fees and taxes on manufacturers of certain branded prescription drugs, and creates a new Medicare Part D coverage gap discount program, in which manufacturers must agree to offer 50% point-of-sale discounts off negotiated prices of applicable brand drugs to eligible beneficiaries during their coverage gap period as a condition for the manufacturer’s outpatient drugs to be covered under Medicare Part D. In addition, other legislative changes have been proposed and adopted in the U.S. since the PPACA was enacted. On August 2, 2011, the Budget Control Act of 2011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includes aggregate reductions of Medicare payments to providers of up to 2% per fiscal year, which went into effect on April 1, 2013.</w:t>
      </w:r>
    </w:p>
    <w:p>
      <w:pPr>
        <w:spacing w:after="0" w:line="186"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It is likely that federal and state legislatures within the U.S. and foreign governments will continue to consider changes to existing healthcare legislation. We cannot predict the reform initiatives that may be adopted in the future or whether initiatives that have been adopted will be repealed or modified. The continuing efforts of the government, insurance companies, managed care organizations and other payors of healthcare services to contain or reduce costs of healthcare may adversely affect:</w:t>
      </w:r>
    </w:p>
    <w:p>
      <w:pPr>
        <w:spacing w:after="0" w:line="72" w:lineRule="exact"/>
        <w:rPr>
          <w:sz w:val="20"/>
          <w:szCs w:val="20"/>
          <w:color w:val="auto"/>
        </w:rPr>
      </w:pPr>
    </w:p>
    <w:p>
      <w:pPr>
        <w:ind w:left="1040" w:hanging="519"/>
        <w:spacing w:after="0"/>
        <w:tabs>
          <w:tab w:leader="none" w:pos="10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demand for any products that may be approved for sale;</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and profitability of our products;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 coverage and reimbursement applicable to our products;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successfully position and market any approved product; and</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taxes applicable to our pharmaceutical product revenues.</w:t>
      </w:r>
    </w:p>
    <w:p>
      <w:pPr>
        <w:spacing w:after="0" w:line="22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Some of the provisions of the PPACA have yet to be fully implemented, while certain provisions have been subject to judicial and Congressional challenges. In January 2017, Congress voted to adopt a budget resolution for fiscal year 2017, that while not a law, is widely viewed as the first step toward the passage of legislation that would repeal certain aspects of the PPACA. Further, on January 20, 2017, President Trump signed an Executive Order directing federal agencies with authorities and responsibilities under the Affordable Care Act to waive, defer, grant exemptions from, or delay the implementation of any provision of the Affordable Care Act that would impose a fiscal burden on states or a cost, fee, tax, penalty or regulatory burden on individuals, healthcare providers, health insurers, or manufacturers of pharmaceuticals or medical devices. Congress also could consider subsequent legislation to replace elements of the Affordable Care Act that are repealed. Given these possibilities and others we may not anticipate, the full extent to which our business, results of operations and financial condition could be adversely affected by the recent proposed legislation and the Executive Order is uncertain. The implementation of cost containment measures or other healthcare reforms may prevent us from being able to generate revenue, attain profitability, or commercialize our drugs.</w:t>
      </w:r>
    </w:p>
    <w:p>
      <w:pPr>
        <w:spacing w:after="0" w:line="18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Furthermore, legislative and regulatory proposals have been made to expand post-approval requirements and restrict sales and promotional activities for pharmaceutical products. We cannot be sure whether additional legislative changes will be enacted, or whether FDA regulations, guidance or interpretations will be changed, or what the impact of such changes on the regulatory approvals of our product candidates, if any, may be. In addition, increased scrutiny by the U.S. Congress of the FDA’s approval process may significantly delay or prevent regulatory approval, as well as subject us to more stringent product labeling and post-marketing testing and other requirements.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conduct, or contract others to conduct, animal testing in the future, which could harm our research and development activities.</w:t>
      </w:r>
    </w:p>
    <w:p>
      <w:pPr>
        <w:spacing w:after="0" w:line="12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Certain laws and regulations relating to drug development require us to test our product candidates on animals before initiating clinical trials involving humans. Animal testing activities have been the subject of controversy and adverse publicity. Animal rights groups and other organizations and individuals have attempted to stop animal testing activities by pressing for legislation and regulation in these areas and by disrupting these activities through protests and other means. To the extent the activities of these groups are successful, our research and development activities may be interrupted or delayed.</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3" w:name="page64"/>
    <w:bookmarkEnd w:id="6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may engage in misconduct or other improper activities, including noncompliance with regulatory standards and requirements, which could result in significant liability for us and harm our reputation.</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exposed to the risk of employee fraud or other misconduct, including intentional failure to:</w:t>
      </w:r>
    </w:p>
    <w:p>
      <w:pPr>
        <w:spacing w:after="0" w:line="117" w:lineRule="exact"/>
        <w:rPr>
          <w:sz w:val="20"/>
          <w:szCs w:val="20"/>
          <w:color w:val="auto"/>
        </w:rPr>
      </w:pPr>
    </w:p>
    <w:p>
      <w:pPr>
        <w:ind w:left="1040" w:hanging="519"/>
        <w:spacing w:after="0"/>
        <w:tabs>
          <w:tab w:leader="none" w:pos="10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FDA regulations or similar regulations of comparable foreign regulatory authorities;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accurate information to the FDA or comparable foreign regulatory authorities;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manufacturing standards we have established;</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privacy laws protecting personal information;</w:t>
      </w:r>
    </w:p>
    <w:p>
      <w:pPr>
        <w:spacing w:after="0" w:line="117" w:lineRule="exact"/>
        <w:rPr>
          <w:rFonts w:ascii="Times New Roman" w:cs="Times New Roman" w:eastAsia="Times New Roman" w:hAnsi="Times New Roman"/>
          <w:sz w:val="18"/>
          <w:szCs w:val="18"/>
          <w:color w:val="auto"/>
        </w:rPr>
      </w:pPr>
    </w:p>
    <w:p>
      <w:pPr>
        <w:ind w:left="1040" w:right="320" w:hanging="519"/>
        <w:spacing w:after="0" w:line="282" w:lineRule="auto"/>
        <w:tabs>
          <w:tab w:leader="none" w:pos="10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federal and state healthcare fraud and abuse laws and regulations and similar laws and regulations established and enforced by comparable foreign regulatory authorities;</w:t>
      </w:r>
    </w:p>
    <w:p>
      <w:pPr>
        <w:spacing w:after="0" w:line="53"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the FCPA and other anti-bribery laws;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 financial information or data accurately;</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 disclose unauthorized activities to us.</w:t>
      </w:r>
    </w:p>
    <w:p>
      <w:pPr>
        <w:spacing w:after="0" w:line="225"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Employee misconduct could also involve the improper use of information obtained in the course of clinical trials, which could result in regulatory sanctions, delays in clinical trials, or serious harm to our reputation. We have adopted a code of conduct for our directors, officers and employees, but it is not always possible to identify and deter employee misconduct.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If any such actions are instituted against us, and we are not successful in defending ourselves or asserting our rights, those actions could harm our business, results of operations, financial condition and cash flows, including through the imposition of significant fines or other sanctions.</w:t>
      </w:r>
    </w:p>
    <w:p>
      <w:pPr>
        <w:spacing w:after="0" w:line="293"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environmental, health and safety laws and regulations, we could become subject to fines or penalties or incur costs that could harm our business.</w:t>
      </w:r>
    </w:p>
    <w:p>
      <w:pPr>
        <w:spacing w:after="0" w:line="5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 for failure to comply with such laws and regulations. We do not maintain insurance for environmental liability or toxic tort claims that may be asserted against us in connection with our storage or disposal of biological, hazardous or radioactive materials.</w:t>
      </w:r>
    </w:p>
    <w:p>
      <w:pPr>
        <w:spacing w:after="0" w:line="18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 addition, we may incur substantial costs in order to comply with current or future environmental, health and safety laws and regulations applicable to our operations in the U.S. and foreign countries. These current or future laws and regulations may impair our research, development or manufacturing efforts. Our failure to comply with these laws and regulations also may result in substantial fines, penalties or other sanctions.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International Operations</w:t>
      </w:r>
    </w:p>
    <w:p>
      <w:pPr>
        <w:spacing w:after="0" w:line="117"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establishing international operations and seeking approval to commercialize our product candidates outside of the U.S., in particular in China, and a number of risks associated with international operations could materially and adversely affect our business.</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expect to be subject to a number of risks related with our international operations, many of which may be beyond our control. These risks include:</w:t>
      </w:r>
    </w:p>
    <w:p>
      <w:pPr>
        <w:spacing w:after="0" w:line="117" w:lineRule="exact"/>
        <w:rPr>
          <w:sz w:val="20"/>
          <w:szCs w:val="20"/>
          <w:color w:val="auto"/>
        </w:rPr>
      </w:pPr>
    </w:p>
    <w:p>
      <w:pPr>
        <w:ind w:left="1040" w:hanging="519"/>
        <w:spacing w:after="0"/>
        <w:tabs>
          <w:tab w:leader="none" w:pos="10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 regulatory requirements for drug approvals in foreign countries;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 standards of care in various countries that could complicate the evaluation of our product candidates;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 U.S. and foreign drug import and export rules;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protection for intellectual property rights in certain countries;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64" w:name="page65"/>
    <w:bookmarkEnd w:id="6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47" w:lineRule="exact"/>
        <w:rPr>
          <w:sz w:val="20"/>
          <w:szCs w:val="20"/>
          <w:color w:val="auto"/>
        </w:rPr>
      </w:pPr>
    </w:p>
    <w:p>
      <w:pPr>
        <w:ind w:left="1040" w:hanging="519"/>
        <w:spacing w:after="0"/>
        <w:tabs>
          <w:tab w:leader="none" w:pos="10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tariffs, trade barriers and regulatory requirements;</w:t>
      </w:r>
    </w:p>
    <w:p>
      <w:pPr>
        <w:spacing w:after="0" w:line="117" w:lineRule="exact"/>
        <w:rPr>
          <w:rFonts w:ascii="Times New Roman" w:cs="Times New Roman" w:eastAsia="Times New Roman" w:hAnsi="Times New Roman"/>
          <w:sz w:val="18"/>
          <w:szCs w:val="18"/>
          <w:color w:val="auto"/>
        </w:rPr>
      </w:pPr>
    </w:p>
    <w:p>
      <w:pPr>
        <w:ind w:left="1040" w:right="200" w:hanging="519"/>
        <w:spacing w:after="0" w:line="282" w:lineRule="auto"/>
        <w:tabs>
          <w:tab w:leader="none" w:pos="10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 reimbursement systems and different competitive drugs indicated to treat the indications for which our product candidates are being developed;</w:t>
      </w:r>
    </w:p>
    <w:p>
      <w:pPr>
        <w:spacing w:after="0" w:line="53"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weakness, including inflation, or political instability in particular foreign economies and markets;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tax, employment, immigration and labor laws for employees living or traveling abroad;</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the FCPA, and other anti-corruption and anti-bribery laws;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and foreign taxes, including withholding of payroll taxes;</w:t>
      </w:r>
    </w:p>
    <w:p>
      <w:pPr>
        <w:spacing w:after="0" w:line="117" w:lineRule="exact"/>
        <w:rPr>
          <w:rFonts w:ascii="Times New Roman" w:cs="Times New Roman" w:eastAsia="Times New Roman" w:hAnsi="Times New Roman"/>
          <w:sz w:val="18"/>
          <w:szCs w:val="18"/>
          <w:color w:val="auto"/>
        </w:rPr>
      </w:pPr>
    </w:p>
    <w:p>
      <w:pPr>
        <w:ind w:left="1040" w:right="20" w:hanging="519"/>
        <w:spacing w:after="0" w:line="282" w:lineRule="auto"/>
        <w:tabs>
          <w:tab w:leader="none" w:pos="10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fluctuations, which could result in increased operating expenses and reduced revenues, and other obligations incident to doing business in another country;</w:t>
      </w:r>
    </w:p>
    <w:p>
      <w:pPr>
        <w:spacing w:after="0" w:line="53"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workforce uncertainty in countries where labor unrest is more common than in the U.S.;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production shortages resulting from any events affecting raw material supply or manufacturing capabilities abroad;</w:t>
      </w:r>
    </w:p>
    <w:p>
      <w:pPr>
        <w:spacing w:after="0" w:line="117" w:lineRule="exact"/>
        <w:rPr>
          <w:rFonts w:ascii="Times New Roman" w:cs="Times New Roman" w:eastAsia="Times New Roman" w:hAnsi="Times New Roman"/>
          <w:sz w:val="18"/>
          <w:szCs w:val="18"/>
          <w:color w:val="auto"/>
        </w:rPr>
      </w:pPr>
    </w:p>
    <w:p>
      <w:pPr>
        <w:ind w:left="1040" w:right="260" w:hanging="519"/>
        <w:spacing w:after="0" w:line="282" w:lineRule="auto"/>
        <w:tabs>
          <w:tab w:leader="none" w:pos="10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reliance on CROs, clinical trial sites, principal investigators and other third parties that may be less experienced with clinical trials or have different methods of performing such clinical trials than we are used to in the U.S.;</w:t>
      </w:r>
    </w:p>
    <w:p>
      <w:pPr>
        <w:spacing w:after="0" w:line="53"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liability resulting from development work conducted by foreign distributors; and</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interruptions resulting from geopolitical actions, including war and terrorism, or natural disasters.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pharmaceutical industry in China is highly regulated and such regulations are subject to change.</w:t>
      </w:r>
    </w:p>
    <w:p>
      <w:pPr>
        <w:spacing w:after="0" w:line="121"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The pharmaceutical industry in China is subject to comprehensive government regulation and supervision, encompassing the approval, registration, manufacturing, packaging, licensing and marketing of new drugs. Refer to “</w:t>
      </w:r>
      <w:r>
        <w:rPr>
          <w:rFonts w:ascii="Times New Roman" w:cs="Times New Roman" w:eastAsia="Times New Roman" w:hAnsi="Times New Roman"/>
          <w:sz w:val="18"/>
          <w:szCs w:val="18"/>
          <w:i w:val="1"/>
          <w:iCs w:val="1"/>
          <w:color w:val="auto"/>
        </w:rPr>
        <w:t>Business — Government Regulation — Regulation in China</w:t>
      </w:r>
      <w:r>
        <w:rPr>
          <w:rFonts w:ascii="Times New Roman" w:cs="Times New Roman" w:eastAsia="Times New Roman" w:hAnsi="Times New Roman"/>
          <w:sz w:val="18"/>
          <w:szCs w:val="18"/>
          <w:color w:val="auto"/>
        </w:rPr>
        <w:t>” for a discussion of the regulatory requirements that are applicable to our current and planned business activities in China. In recent years, the regulatory framework in China regarding the pharmaceutical industry has undergone significant changes, and we expect that it will continue to undergo significant changes. Any such changes or amendments may result in increased compliance costs on our business or cause delays in or prevent the successful development or commercialization of our product candidates in China. For example, the NMPA recently adopted the International Council for Harmonisation of Technical Requirements for Pharmaceuticals for Human Use guidelines, and accordingly imposed regulatory oversight earlier in our production process for roxadustat manufactured and sold in China. The change in regulatory starting material triggered an extension of the inspection to our contract manufacturer STA, which was successfully completed in October 2018. In addition, Chinese authorities have become increasingly vigilant in enforcing laws in the pharmaceutical industry, in some cases launching industry-wide investigations, oftentimes appearing to focus on foreign companies. The costs and time necessary to respond to an investigation can be material. Any failure by us or our partners to maintain compliance with applicable laws and regulations or obtain and maintain required licenses and permits may result in the suspension or termination of our business activities in China.</w:t>
      </w:r>
    </w:p>
    <w:p>
      <w:pPr>
        <w:spacing w:after="0" w:line="308" w:lineRule="exact"/>
        <w:rPr>
          <w:sz w:val="20"/>
          <w:szCs w:val="20"/>
          <w:color w:val="auto"/>
        </w:rPr>
      </w:pPr>
    </w:p>
    <w:p>
      <w:pPr>
        <w:ind w:right="1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plan to use our own manufacturing facilities in China to produce roxadustat API, roxadustat drug product, and FG-5200 corneal implants. As an organization, we have limited experience in the construction, licensure, and operation of a manufacturing plant, and accordingly we cannot assure you we will be able to meet regulatory requirements to operate our plant and to sell our products.</w:t>
      </w:r>
    </w:p>
    <w:p>
      <w:pPr>
        <w:spacing w:after="0" w:line="6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have two manufacturing facilities in China, with one located in Beijing and the other in Cangzhou, Hebei. In December 2018, we received the Manufacturing License for Drug Substance and Drug Product for roxadustat and GMP certification for our Beijing facility that allows us to manufacture limited commercial quantities of roxadustat capsules. We are currently planning on manufacturing commercial-scale API at our Cangzhou facility, and expect to receive a license to produce roxadustat API at that site in the second half of 2019. However, as an organization, we have limited experience licensing and operating commercial manufacturing facilities.</w:t>
      </w:r>
    </w:p>
    <w:p>
      <w:pPr>
        <w:spacing w:after="0" w:line="21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We will be obligated to comply with continuing cGMP requirements and there can be no assurance that we will receive and maintain all of the appropriate licenses required to manufacture our product candidates for clinical and commercial use in China. In addition, we and our product suppliers must continually spend time, money and effort in production, record-keeping and quality assurance and appropriate controls in order to ensure that any products manufactured in our facilities meet applicable specifications and other requirements for product safety, efficacy and quality and there can be no assurance that our efforts will succeed for licensure or continue to be successful in meeting these requirements.</w:t>
      </w:r>
    </w:p>
    <w:p>
      <w:pPr>
        <w:spacing w:after="0" w:line="18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65" w:name="page66"/>
    <w:bookmarkEnd w:id="6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would require separate approval for the manufacture of FG-5200. In addition, we may convert the existing manufacturing process of FG-5200 to a semi-automated process, which may require us to show that implants from our new manufacturing process are comparable to the implants from our existing manufacturing process. There can be no assurance that we will successfully receive licensure and maintain approval for the manufacture of FG-5200, either of which would be expected to delay or preclude our ability to develop FG-5200 in China and may materially adversely affect our business and operations and prospects in China.</w:t>
      </w:r>
    </w:p>
    <w:p>
      <w:pPr>
        <w:spacing w:after="0" w:line="21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Manufacturing facilities in China are subject to periodic unannounced inspections by the NMPA and other regulatory authorities. We expect to depend on these facilities for our product candidates and business operations in China. Natural disasters or other unanticipated catastrophic events, including power interruptions, water shortages, storms, fires, earthquakes, terrorist attacks, government appropriation of our facilities, and wars, could significantly impair our ability to operate our manufacturing facilities. Certain equipment, records and other materials located in these facilities would be difficult to replace or would require substantial replacement lead time that would impact our ability to successfully commercialize our product candidates in China. The occurrence of any such event could materially and adversely affect our business, financial condition, results of operations, cash flows and prospects.</w:t>
      </w:r>
    </w:p>
    <w:p>
      <w:pPr>
        <w:spacing w:after="0" w:line="305" w:lineRule="exact"/>
        <w:rPr>
          <w:sz w:val="20"/>
          <w:szCs w:val="20"/>
          <w:color w:val="auto"/>
        </w:rPr>
      </w:pPr>
    </w:p>
    <w:p>
      <w:pPr>
        <w:ind w:right="3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In addition to manufacturing, we are responsible for pharmacovigilance, medical affairs, and management of the third party distribution logistics for roxadustat in China. We have no experience in these areas as a company, and accordingly we cannot assure you we will be able to meet regulatory requirements or operate in these capacities successfully.</w:t>
      </w:r>
    </w:p>
    <w:p>
      <w:pPr>
        <w:spacing w:after="0" w:line="6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are responsible for commercial manufacturing, pharmacovigilance, medical affairs, and management of the third party distribution logistics for roxadustat commercial activities in China. While we have been increasing our staffing in these areas, as a company, we have no experience managing or operating these functions for a commercial product and there can be no guarantee that we will do so efficiently or effectively. Mistakes or delays in these areas could limit our ability to successfully commercialize roxadustat in China, could limit our eventual market penetration, sales and profitability, and could subject us to significant liability in China.</w:t>
      </w:r>
    </w:p>
    <w:p>
      <w:pPr>
        <w:spacing w:after="0" w:line="302"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decision to launch roxadustat in China prior to approval in the U.S. or Europe is largely unprecedented and could be subject to significant risk, delay and expense.*</w:t>
      </w:r>
    </w:p>
    <w:p>
      <w:pPr>
        <w:spacing w:after="0" w:line="5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Even though our subsidiary FibroGen Beijing has received marketing authorization for roxadustat for anemia caused by CKD in dialysis patients, we have not yet received approval in non-dialysis patients, and are awaiting the results from the Chinese authorities’ completed inspection of our Phase 3 non-dialysis clinical trial sites.</w:t>
      </w:r>
    </w:p>
    <w:p>
      <w:pPr>
        <w:spacing w:after="0" w:line="68"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We are currently expecting non-dialysis patients to be added to our approved dialysis label for roxadustat in China in mid-2019, and are planning on launching in the third quarter of 2019, however, it is possible that unforeseen delays in the China regulatory process could have a material adverse effect on our development and commercialization of roxadustat in China.</w:t>
      </w:r>
    </w:p>
    <w:p>
      <w:pPr>
        <w:spacing w:after="0" w:line="68"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In addition we will be required to conduct a 2,000 subject post-approval safety study to demonstrate the long-term safety of roxadustat, as well as provide period reporting to the authorities on GMP and quality compliance at our manufacturing facilities. If safety issues arise in this study, or generally after commercialization, our commercialization plans and profitability in China could be negatively impacted.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and our collaboration partner in China, AstraZeneca, may experience difficulties in successfully generating sales of roxadustat in China.</w:t>
      </w:r>
    </w:p>
    <w:p>
      <w:pPr>
        <w:spacing w:after="0" w:line="12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We and AstraZeneca have a profit sharing arrangement with respect to roxadustat in China and any difficulties we may experience in generating sales will affect our bottom line. Difficulties may be related to our ability to obtain reasonable pricing, reimbursement, hospital listing, and tendering, or other difficulties related to distribution, marketing, and sales efforts in China. Sales of roxadustat in China may be limited due to the complex nature of the healthcare system, low average personal income, pricing controls, still developing infrastructure and potentially rapid competition from other products. The government has committed to updating the National Reimbursement Drug List (“NRDL”) in 2019. Previous updates to the NRDL occurred in 2017 and 2009. In addition, there were also NRDL price negotiations in 2018 for oncology drugs. Admission to the NRDL depends on a number of factors, including on-market experience, scale of patient adoption, physician endorsement, cost effectiveness and budget impact. Given that roxadustat was approved at the end of 2018, we may or may not qualify for the NRDL update in 2019. In particular, if we are unable to obtain reimbursement for roxadustat through the 2019 update to the NRDL, we may have to wait a substantial period of time before the reimbursement drug list is updated again. Without government reimbursement, many patients will not be able to afford roxadustat, since private commercial health insurance is rare, and our business and operations could be adversely affected. Therefore reimbursement and obtaining hospital listing is critical to roxadustat’s near-term commercial success in China.</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6" w:name="page67"/>
    <w:bookmarkEnd w:id="6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market for treatment of anemia in CKD in China is highly competitive.</w:t>
      </w:r>
    </w:p>
    <w:p>
      <w:pPr>
        <w:spacing w:after="0" w:line="12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Although we have now received approval for roxadustat for the treatment of anemia caused by CKD in dialysis patients in China, and even if roxadustat receives approval for anemia caused by CKD in non-dialysis patients, it faces intense competition in the market for treatment of anemia in CKD. Roxadustat would compete with ESAs, which are offered by established multinational pharmaceutical companies such as Kyowa Hakko Kirin China Pharmaceutical Co., Ltd., Roche and Chinese pharmaceutical companies such as 3SBio Inc. and Di’ao Group Chengdu Diao Jiuhong Pharmaceutical Factory. Many of these competitors have substantially greater name recognition, scientific, financial, and marketing resources, as well as established distribution capabilities. Many of our competitors have more resources to develop or acquire, and more experience in developing or acquiring, new products and in creating market awareness for those products. Many of these competitors have significantly more experience than we have in navigating the Chinese regulatory framework regarding the development, manufacturing and marketing of drugs in China, as well as in marketing and selling anemia products in China. Additionally, we believe that most patients with anemia in CKD in China are currently being treated with traditional Chinese medicine, which is widely accepted and highly prevalent in China. Traditional Chinese medicine treatments are often oral and thus convenient and low-cost, and practitioners of traditional Chinese medicine are numerous and accessible in China. As a result, it may be difficult to persuade patients with anemia in CKD to switch from traditional Chinese medicine to roxadustat.</w:t>
      </w:r>
    </w:p>
    <w:p>
      <w:pPr>
        <w:spacing w:after="0" w:line="295"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Chinese government is implementing a new “Two Invoices” regulation which could affect the way we structure our distributorship relationships in China for roxadustat.</w:t>
      </w:r>
    </w:p>
    <w:p>
      <w:pPr>
        <w:spacing w:after="0" w:line="5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Chinese government is implementing new regulations that impact distribution of pharmaceutical products in China. These regulations generally require that at most two invoices may be issued throughout the distribution chain. Failure to comply with the “Two-Invoices” regulations would prevent us from accessing the market in China. We are planning on modifying the distribution responsibilities under the China Agreement between AstraZeneca and FibroGen such that FibroGen would engage distributors and a third party logistics provider, and both companies will work together to manage the distribution network. FibroGen China has never managed distribution of pharmaceutical products, and this new distribution structure may impose higher costs or limit or delay our ability to sell products to our principal customers, and may limit the near term sales of our products.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There is no assurance that roxadustat will be included in the Medical Insurance Catalogs.</w:t>
      </w:r>
    </w:p>
    <w:p>
      <w:pPr>
        <w:spacing w:after="0" w:line="121"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Eligible participants in the national basic medical insurance program in China, which consists of mostly urban residents, are entitled to reimbursement from the social medical insurance fund for up to the entire cost of medicines that are included in the Medical Insurance Catalogs. Refer to “</w:t>
      </w:r>
      <w:r>
        <w:rPr>
          <w:rFonts w:ascii="Times New Roman" w:cs="Times New Roman" w:eastAsia="Times New Roman" w:hAnsi="Times New Roman"/>
          <w:sz w:val="18"/>
          <w:szCs w:val="18"/>
          <w:i w:val="1"/>
          <w:iCs w:val="1"/>
          <w:color w:val="auto"/>
        </w:rPr>
        <w:t>Business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Government Regulation — Regulation in China</w:t>
      </w:r>
      <w:r>
        <w:rPr>
          <w:rFonts w:ascii="Times New Roman" w:cs="Times New Roman" w:eastAsia="Times New Roman" w:hAnsi="Times New Roman"/>
          <w:sz w:val="18"/>
          <w:szCs w:val="18"/>
          <w:color w:val="auto"/>
        </w:rPr>
        <w:t>.” We believe that the inclusion of a drug in the Medical Insurance Catalogs can substantially improve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sales of a drug in China. The Ministry of Labor and Social Security in China (“MLSS”) together with other government authorities, select medicines to be included in the Medical Insurance Catalogs based on a variety of factors, including treatment requirements, frequency of use, effectiveness and price. The MLSS also occasionally removes medicines from such catalogs. There can be no assurance that roxadustat will be included, and once included, remain in the Medical Insurance Catalogs. The exclusion or removal of roxadustat from the Medical Insurance Catalogs may materially and adversely affect sales of roxadustat.</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Even if FG-5200 can be manufactured successfully and achieve regulatory approval, we may not achieve commercial success.</w:t>
      </w:r>
    </w:p>
    <w:p>
      <w:pPr>
        <w:spacing w:after="0" w:line="12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We have not yet received a license to manufacture FG-5200 in our Beijing manufacturing facility or at scale, and we will have to show that FG-5200 produced in our China manufacturing facility meets the applicable regulatory requirements. There can be no assurance that we can meet these requirements or that FG-5200 can be approved for development, manufacture and sale in China.</w:t>
      </w:r>
    </w:p>
    <w:p>
      <w:pPr>
        <w:spacing w:after="0" w:line="17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Even if we are able to manufacture and develop FG-5200 as a medical device in China, the size and length of any potential clinical trials required for approval are uncertain and we are unable to predict the time and investment required to obtain regulatory approval. Moreover, even if FG-5200 can be successfully developed for approval in China, our product candidate would require extensive training and investment in assisting physicians in the use of FG-5200.</w:t>
      </w:r>
    </w:p>
    <w:p>
      <w:pPr>
        <w:spacing w:after="0" w:line="280"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retail prices of any product candidates that we develop may be subject to control, including periodic downward adjustment, by Chinese government authorities.</w:t>
      </w:r>
    </w:p>
    <w:p>
      <w:pPr>
        <w:spacing w:after="0" w:line="51"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The price for pharmaceutical products is highly regulated in China, both at the national and provincial level. Price controls may reduce prices to levels significantly below those that would prevail in less regulated markets, or limit the volume of products that may be sold, either of which may have a material and adverse effect on potential revenues from sales of roxadustat in China. Moreover, the process and timing for the implementation of price restrictions is unpredictable, which may cause potential revenues from the sales of roxadustat to fluctuate from period to period.</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7" w:name="page68"/>
    <w:bookmarkEnd w:id="6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planned business activities in China fall within a restricted category under the China Catalog for Guidance for Foreign Investment, we will need to operate in China through a variable interest entity (“VIE”) structure.</w:t>
      </w:r>
    </w:p>
    <w:p>
      <w:pPr>
        <w:spacing w:after="0" w:line="5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The China Catalog for Guidance for Foreign Investment sets forth the industries and sectors that the Chinese government encourages and restricts with respect to foreign investment and participation. The Catalog for Guidance for Foreign Investment is subject to revision from time to time by the China Ministry of Commerce. While we currently do not believe the development and marketing of roxadustat falls within a restricted category under the Catalog for Guidance for Foreign Investment, if roxadustat does fall under such a restricted category, we will need to operate in China through a VIE structure. A VIE structure involves a wholly foreign-owned enterprise that would control and receive the economic benefits of a domestic Chinese company through various contractual relationships. Such a structure would subject us to a number of risks that may have an adverse effect on our business, including that the Chinese government may determine that such contractual arrangements do not comply with applicable regulations, Chinese tax authorities may require us to pay additional taxes, shareholders of our VIEs may have potential conflicts of interest with us, and we may lose the ability to use and enjoy assets held by our VIEs that are important to the operations of our business if such entities go bankrupt or become subject to dissolution or liquidation proceedings. VIE structures in China have come under increasing scrutiny from accounting firms and the SEC staff. If we do attempt to use a VIE structure and are unsuccessful in structuring it so as to qualify as a VIE, we would not be able to consolidate the financial statements of the VIE with our financial statements, which could have a material adverse effect on our operating results and financial condition.</w:t>
      </w:r>
    </w:p>
    <w:p>
      <w:pPr>
        <w:spacing w:after="0" w:line="295" w:lineRule="exact"/>
        <w:rPr>
          <w:sz w:val="20"/>
          <w:szCs w:val="20"/>
          <w:color w:val="auto"/>
        </w:rPr>
      </w:pPr>
    </w:p>
    <w:p>
      <w:pPr>
        <w:ind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FibroGen Beijing would be subject to restrictions on paying dividends or making other payments to us, which may restrict our ability to satisfy our liquidity requirements.</w:t>
      </w:r>
    </w:p>
    <w:p>
      <w:pPr>
        <w:spacing w:after="0" w:line="5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plan to conduct all of our business in China through FibroGen China Anemia Holdings, Ltd. and FibroGen Beijing. We may rely on dividends and royalties paid by FibroGen Beijing for a portion of our cash needs, including the funds necessary to service any debt we may incur and to pay our operating expenses. The payment of dividends by FibroGen Beijing is subject to limitations. Regulations in China currently permit payment of dividends only out of accumulated profits as determined in accordance with accounting standards and regulations in China. FibroGen Beijing is not permitted to distribute any profits until losses from prior fiscal years have been recouped and in any event must maintain certain minimum capital requirements. FibroGen Beijing is also required to set aside at least 10.0% of its after-tax profit based on Chinese accounting standards each year to its statutory reserve fund until the cumulative amount of such reserves reaches 50.0% of its registered capital. Statutory reserves are not distributable as cash dividends. In addition, if FibroGen Beijing incurs debt on its own behalf in the future, the agreements governing such debt may restrict its ability to pay dividends or make other distributions to us. As of March 31, 2019, approximately $6.6 million of our cash and cash equivalents is held in China.</w:t>
      </w:r>
    </w:p>
    <w:p>
      <w:pPr>
        <w:spacing w:after="0" w:line="293"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capital contributions from us to FibroGen Beijing must be approved by the Ministry of Commerce in China, and failure to obtain such approval may materially and adversely affect the liquidity position of FibroGen Beijing.</w:t>
      </w:r>
    </w:p>
    <w:p>
      <w:pPr>
        <w:spacing w:after="0" w:line="5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Ministry of Commerce in China or its local counterpart must approve the amount and use of any capital contributions from us to FibroGen Beijing, and there can be no assurance that we will be able to complete the necessary government registrations and obtain the necessary government approvals on a timely basis, or at all. If we fail to do so, we may not be able to contribute additional capital to fund our Chinese operations, and the liquidity and financial position of FibroGen Beijing may be materially and adversely affected.</w:t>
      </w:r>
    </w:p>
    <w:p>
      <w:pPr>
        <w:spacing w:after="0" w:line="284" w:lineRule="exact"/>
        <w:rPr>
          <w:sz w:val="20"/>
          <w:szCs w:val="20"/>
          <w:color w:val="auto"/>
        </w:rPr>
      </w:pPr>
    </w:p>
    <w:p>
      <w:pPr>
        <w:ind w:right="5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currency exchange rate fluctuations and currency exchange restrictions with respect to our operations in China, which could adversely affect our financial performance.</w:t>
      </w:r>
    </w:p>
    <w:p>
      <w:pPr>
        <w:spacing w:after="0" w:line="5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If roxadustat is approved for sale in China, most of our product sales will occur in local Chinese currency and our operating results will be subject to volatility from currency exchange rate fluctuations. To date, we have not hedged against the risks associated with fluctuations in exchange rates and, therefore, exchange rate fluctuations could have an adverse impact on our future operating results. Changes in value of the Renminbi against the U.S. dollar, Euro and other currencies is affected by, among other things, changes in China’s political and economic conditions. Currently, the Renminbi is permitted to fluctuate within a narrow and managed band against a basket of certain foreign currencies. Any significant currency exchange rate fluctuations may have a material adverse effect on our business and financial condition.</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8" w:name="page69"/>
    <w:bookmarkEnd w:id="6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In addition, the Chinese government imposes controls on the convertibility of the Renminbi into foreign currencies and the remittance of foreign currency out of China for certain transactions. Shortages in the availability of foreign currency may restrict the ability of FibroGen Beijing to remit sufficient foreign currency to pay dividends or other payments to us, or otherwise satisfy their foreign currency-denominated obligations. Under existing Chinese foreign exchange regulations, payments of current account items, including profit distributions, interest payments and balance of trade, can be made in foreign currencies without prior approval from the State Administration of Foreign Exchange (“SAFE”) by complying with certain procedural requirements. However, approval from SAFE or its local branch is required where Renminbi is to be converted into foreign currency and remitted out of China to pay capital expenses such as the repayment of loans denominated in foreign currencies. The Chinese government may also at its discretion restrict access in the future to foreign currencies for current account transactions. If the foreign exchange control system prevents us from obtaining sufficient foreign currency to satisfy our operational requirements, our liquidity and financial position may be materially and adversely affected.</w:t>
      </w:r>
    </w:p>
    <w:p>
      <w:pPr>
        <w:spacing w:after="0" w:line="293"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FibroGen Beijing’s funds are held in banks that do not provide insurance, the failure of any bank in which FibroGen Beijing deposits its funds could adversely affect our business.</w:t>
      </w:r>
    </w:p>
    <w:p>
      <w:pPr>
        <w:spacing w:after="0" w:line="5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Banks and other financial institutions in China do not provide insurance for funds held on deposit. As a result, in the event of a bank failure, FibroGen Beijing may not have access to funds on deposit. Depending upon the amount of money FibroGen Beijing maintains in a bank that fails, its inability to have access to cash could materially impair its operations.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tax inefficiencies associated with our offshore corporate structure.</w:t>
      </w:r>
    </w:p>
    <w:p>
      <w:pPr>
        <w:spacing w:after="0" w:line="12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tax regulations of the U.S. and other jurisdictions in which we operate are extremely complex and subject to change. New laws, new interpretations of existing laws, such as the Base Erosion Profit Shifting project initiated by the Organization for Economic Co-operation and Development, and any legislation proposed by the relevant taxing authorities, or limitations on our ability to structure our operations and intercompany transactions may lead to inefficient tax treatment of our revenue, profits, royalties, and distributions, if any are achieved.</w:t>
      </w:r>
    </w:p>
    <w:p>
      <w:pPr>
        <w:spacing w:after="0" w:line="180"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In addition, we and our foreign subsidiaries have various intercompany transactions. We may not be able to obtain certain benefits under relevant tax treaties to avoid double taxation on certain transactions among our subsidiaries. If we are not able to avail ourselves to the tax treaties, we could be subject to additional taxes, which could adversely affect our financial condition and results of operations.</w:t>
      </w:r>
    </w:p>
    <w:p>
      <w:pPr>
        <w:spacing w:after="0" w:line="176"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On December 22, 2017, the U.S. enacted the Tax Cuts and Jobs Act (“Tax Act”) that instituted fundamental changes to the taxation of multinational corporations. The Tax Act includes changes to the taxation of foreign earnings by implementing a dividend exemption system, expansion of the current anti-deferral rules, a minimum tax on low-taxed foreign earnings and new measures to deter base erosion. The Tax Act also includes a permanent reduction in the corporate tax rate to 21%, repeal of the corporate alternative minimum tax, expensing of capital investment, and limitation of the deduction for interest expense. Furthermore, as part of the transition to the new tax system, a one-time transition tax is imposed on a U.S. shareholder’s historical undistributed earnings of foreign affiliates. Although the Tax Act is generally effective January 1, 2018, GAAP requires recognition of the tax effects of new legislation during the reporting period that includes the enactment date, which was December 22, 2017.</w:t>
      </w:r>
    </w:p>
    <w:p>
      <w:pPr>
        <w:spacing w:after="0" w:line="18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As a result of the impacts of the Tax Act, the SEC provided guidance that allows us to record provisional amounts for those impacts, with the requirement that the accounting be completed in a period not to exceed one year from the date of enactment. As of December 31, 2018, we completed our analysis of the accounting for the tax effects of the Tax Act and no material adjustments were recognized as of December 31, 2018. The primary impact of the Tax Act relates to the re-measurement of deferred tax assets and liabilities resulting from the change in the corporate tax rate (“Corporate Tax Rate Change”), which was recorded as of December 2017. Developing interpretations of the provisions of the Tax Act, changes to U.S. Treasury regulations, administrative interpretations, or court decisions interpreting the Tax Act in the future periods may require further adjustments to our analysis.</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69" w:name="page70"/>
    <w:bookmarkEnd w:id="6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foreign operations, particularly those in China, are subject to significant risks involving the protection of intellectual property.</w:t>
      </w:r>
    </w:p>
    <w:p>
      <w:pPr>
        <w:spacing w:after="0" w:line="121"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We seek to protect the products and technology that we consider important to our business by pursuing patent applications in China and other countries, relying on trade secrets or pharmaceutical regulatory protection or employing a combination of these methods. We note that the filing of a patent application does not mean that we will be granted a patent, or that any patent eventually granted will be as broad as requested in the patent application or will be sufficient to protect our technology. There are a number of factors that could cause our patents, if granted, to become invalid or unenforceable or that could cause our patent applications not to be granted, including known or unknown prior art, deficiencies in the patent application, or lack of originality of the technology. Furthermore, the terms of our patents are limited. The patents we hold and the patents that may be granted from our currently pending patent applications have, absent any patent term adjustment or extension, a twenty-year protection period starting from the date of application.</w:t>
      </w:r>
    </w:p>
    <w:p>
      <w:pPr>
        <w:spacing w:after="0" w:line="189"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Intellectual property rights and confidentiality protections in China may not be as effective as those in the U.S. or other countries for many reasons, including lack of procedural rules for discovery and evidence, low damage awards, and lack of judicial independence. Implementation and enforcement of China intellectual property laws have historically been deficient and ineffective and may be hampered by corruption and local protectionism. Policing unauthorized use of proprietary technology is difficult and expensive, and we may need to resort to litigation to enforce or defend patents issued to us or to determine the enforceability and validity of our proprietary rights or those of others. The experience and capabilities of China courts in handling intellectual property litigation varies and outcomes are unpredictable. An adverse determination in any such litigation could materially impair our intellectual property rights and may harm our business.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laws and regulations governing corruption, which will require us to develop, maintain, and implement costly compliance programs.</w:t>
      </w:r>
    </w:p>
    <w:p>
      <w:pPr>
        <w:spacing w:after="0" w:line="121"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We must comply with a wide range of laws and regulations to prevent corruption, bribery, and other unethical business practices, including the FCPA, anti-bribery and anti-corruption laws in other countries, particularly China. The creation and implementation of international business practices compliance programs is costly and such programs are difficult to enforce, particularly where reliance on third parties is required.</w:t>
      </w:r>
    </w:p>
    <w:p>
      <w:pPr>
        <w:spacing w:after="0" w:line="176"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Anti-bribery laws prohibit us, our employees, and some of our agents or representatives from offering or providing any personal benefit to covered government officials to influence their performance of their duties or induce them to serve interests other than the missions of the public organizations in which they serve. Certain commercial bribery rules also prohibit offering or providing any personal benefit to employees and representatives of commercial companies to influence their performance of their duties or induce them to serve interests other than their employers. The FCPA also obligates companies whose securities are listed in the U.S. to comply with certain accounting provisions requiring us to maintain books and records that accurately and fairly reflect all transactions of the corporation, including international subsidiaries, and devise and maintain an adequate system of internal accounting controls for international operations. The anti-bribery provisions of the FCPA are enforced primarily by the Department of Justice. The SEC is involved with enforcement of the books and records provisions of the FCPA.</w:t>
      </w:r>
    </w:p>
    <w:p>
      <w:pPr>
        <w:spacing w:after="0" w:line="18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Compliance with these anti-bribery laws is expensive and difficult, particularly in countries in which corruption is a recognized problem. In addition, the anti-bribery laws present particular challenges in the pharmaceutical industry because in many countries including China, hospitals are state-owned or operated by the government, and doctors and other hospital employees are considered foreign government officials. Furthermore, in certain countries (China in particular), hospitals and clinics are permitted to sell pharmaceuticals to their patients and are primary or significant distributors of pharmaceuticals. Certain payments to hospitals in connection with clinical studies, procurement of pharmaceuticals and other work have been deemed to be improper payments to government officials that have led to vigorous anti-bribery law enforcement actions and heavy fines in multiple jurisdictions, particularly in the U.S. and China.</w:t>
      </w:r>
    </w:p>
    <w:p>
      <w:pPr>
        <w:spacing w:after="0" w:line="188" w:lineRule="exact"/>
        <w:rPr>
          <w:sz w:val="20"/>
          <w:szCs w:val="20"/>
          <w:color w:val="auto"/>
        </w:rPr>
      </w:pPr>
    </w:p>
    <w:p>
      <w:pPr>
        <w:jc w:val="both"/>
        <w:ind w:right="360"/>
        <w:spacing w:after="0" w:line="266" w:lineRule="auto"/>
        <w:rPr>
          <w:sz w:val="20"/>
          <w:szCs w:val="20"/>
          <w:color w:val="auto"/>
        </w:rPr>
      </w:pPr>
      <w:r>
        <w:rPr>
          <w:rFonts w:ascii="Times New Roman" w:cs="Times New Roman" w:eastAsia="Times New Roman" w:hAnsi="Times New Roman"/>
          <w:sz w:val="18"/>
          <w:szCs w:val="18"/>
          <w:color w:val="auto"/>
        </w:rPr>
        <w:t>It is not always possible to identify and deter violations,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0" w:name="page71"/>
    <w:bookmarkEnd w:id="7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the pharmaceutical industry, corrupt practices include, among others, acceptance of kickbacks, bribes or other illegal gains or benefits by the hospitals and medical practitioners from pharmaceutical manufacturers, distributors or their third party agents in connection with the prescription of certain pharmaceuticals. If our employees, affiliates, distributors or third party marketing firms violate these laws or otherwise engage in illegal practices with respect to their sales or marketing of our products or other activities involving our products, we could be required to pay damages or heavy fines by multiple jurisdictions where we operate, which could materially and adversely affect our financial condition and results of operations. The Chinese government has also sponsored anti-corruption campaigns from time to time, which could have a chilling effect on any future marketing efforts by us to new hospital customers. There have been recent occurrences in which certain hospitals have denied access to sales representatives from pharmaceutical companies because the hospitals wanted to avoid the perception of corruption. If this attitude becomes widespread among our potential customers, our ability to promote our products to hospitals may be adversely affected.</w:t>
      </w:r>
    </w:p>
    <w:p>
      <w:pPr>
        <w:spacing w:after="0" w:line="18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As we expand our operations in China and other jurisdictions internationally, we will need to increase the scope of our compliance programs to address the risks relating to the potential for violations of the FCPA and other anti-bribery and anti-corruption laws. Our compliance programs will need to include policies addressing not only the FCPA, but also the provisions of a variety of anti-bribery and anti-corruption laws in multiple foreign jurisdictions, including China, provisions relating to books and records that apply to us as a public company, and include effective training for our personnel throughout our organization. The creation and implementation of anti-corruption compliance programs is costly and such programs are difficult to enforce, particularly where reliance on third parties is required. Violation of the FCPA and other anti-corruption laws can result in significant administrative and criminal penalties for us and our employees, including substantial fines, suspension or debarment from government contracting, prison sentences, or even the death penalty in extremely serious cases in certain countries. The SEC also may suspend or bar us from trading securities on U.S. exchanges for violation of the FCPA’s accounting provisions. Even if we are not ultimately punished by government authorities, the costs of investigation and review, distraction of our personnel, legal defense costs, and harm to our reputation could be substantial and could limit our profitability or our ability to develop or commercialize our product candidates. In addition, if any of our competitors are not subject to the FCPA, they may engage in practices that will lead to their receipt of preferential treatment from foreign hospitals and enable them to secure business from foreign hospitals in ways that are unavailable to us.</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Uncertainties with respect to the China legal system could have a material adverse effect on us.</w:t>
      </w:r>
    </w:p>
    <w:p>
      <w:pPr>
        <w:spacing w:after="0" w:line="12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legal system of China is a civil law system primarily based on written statutes. Unlike in a common law system, prior court decisions may be cited for reference but are not binding. Because the China legal system continues to rapidly evolve, the interpretations of many laws, regulations and rules are not always uniform and enforcement of these laws, regulations and rules involve uncertainties, which may limit legal protections available to us. Moreover, decision makers in the China judicial system have significant discretion in interpreting and implementing statutory and contractual terms, which may render it difficult for FibroGen Beijing to enforce the contracts it has entered into with our business partners, customers and suppliers. Different government departments may have different interpretations of certain laws and regulations, and licenses and permits issued or granted by one government authority may be revoked by a higher government authority at a later time. Navigating the uncertainty and change in the China legal system will require the devotion of significant resources and time, and there can be no assurance that our contractual and other rights will ultimately be enforced.</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China’s economic, political or social conditions or government policies could have a material adverse effect on our business and operations.*</w:t>
      </w:r>
    </w:p>
    <w:p>
      <w:pPr>
        <w:spacing w:after="0" w:line="12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Chinese society and the Chinese economy continue to undergo significant change. Changes in the political structure, regulations, and economic policies of the Chinese government could have a material adverse effect on the overall economic growth of China, which could adversely affect our ability to conduct business in China. The Chinese government continues to adjust economic policies to promote economic growth. Some of these measures benefit the overall Chinese economy, but may also have a negative effect on us. For example, our financial condition and results of operations in China may be adversely affected by government control over capital investments or changes in tax regulations. As the Chinese pharmaceutical industry grows and evolves, the Chinese government may also implement measures to change the regulatory structure and structure of foreign investment in this industry. We are unable to predict the frequency and scope of such policy changes and structural changes, any of which could materially and adversely affect FibroGen Beijing’s development and commercialization timelines, liquidity, access to capital, and its ability to conduct business in China. Any failure on our part to comply with changing government regulations and policies could result in the loss of our ability to develop and commercialize our product candidates in China. In addition, the changing government regulations and policies could result in delays and cost increases to our development, manufacturing, approval, and commercialization timelines in China.</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1" w:name="page72"/>
    <w:bookmarkEnd w:id="7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operations in China subject us to various Chinese labor and social insurance laws, and our failure to comply with such laws may materially and adversely affect our business, financial condition and results of operations.</w:t>
      </w:r>
    </w:p>
    <w:p>
      <w:pPr>
        <w:spacing w:after="0" w:line="51"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We are subject to China Labor Contract Law, which provides strong protections for employees and imposes many obligations on employers. The Labor Contract Law places certain restrictions on the circumstances under which employers may terminate labor contracts and require economic compensation to employees upon termination of employment, among other things. In addition, companies operating in China are generally required to contribute to labor union funds and the mandatory social insurance and housing funds. Any failure by us to comply with Chinese labor and social insurance laws may subject us to late fees, fines and penalties, or cause the suspension or termination of our ability to conduct business in China, any of which could have a material and adverse effect on business, results of operations and prospects.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developments relating to the United Kingdom’s referendum vote in favor of leaving the EU could adversely affect us.</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United Kingdom held a referendum on June 23, 2016 in which a majority voted for the United Kingdom’s withdrawal from the EU, commonly referred to as “Brexit”. As a result of this vote, negotiations are expected to commence to determine the terms of the United Kingdom’s withdrawal from the EU as well as its relationship with the EU going forward, including the terms of trade between the United Kingdom and the EU. The effects of the United Kingdom’s withdrawal from the EU, and the perceptions as to its impact, are expected to be far-reaching and may adversely affect business activity and economic conditions in Europe and globally and could continue to contribute to instability in global financial markets, including foreign exchange markets. The United Kingdom’s withdrawal from the EU could also have the effect of disrupting the free movement of goods, services and people between the United Kingdom and the EU and could also lead to legal uncertainty and potentially divergent national laws and regulations as the United Kingdom determines which EU laws to replace or replicate, including laws that could impact our ability, or our collaborator’s ability in the case of roxadustat, to obtain approval of our products or sell our products in the United Kingdom. However, the full effects of such withdrawal are uncertain and will depend on any agreements the United Kingdom may make to retain access to EU markets. Lastly, as a result of the United Kingdom’s withdrawal from the EU, other European countries may seek to conduct referenda with respect to their continuing membership with the EU. Given these possibilities and others we may not anticipate, as well as the lack of comparable precedent, the full extent to which our business, results of operations and financial condition could be adversely affected by the United Kingdom’s withdrawal from the EU is uncertain.</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Operation of Our Business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encounter difficulties in managing our growth and expanding our operations successfully.</w:t>
      </w:r>
    </w:p>
    <w:p>
      <w:pPr>
        <w:spacing w:after="0" w:line="12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As we seek to advance our product candidates through clinical trials and commercialization, we will need to expand our development, regulatory, manufacturing, commercialization and administration capabilities or contract with third parties to provide these capabilities for us. As our operations expand and we continue to undertake the efforts and expense to operate as a public reporting company, we expect that we will need to increase the responsibilities on members of management in order to manage any future growth effectively. Our failure to accomplish any of these steps could prevent us from successfully implementing our strategy and maintaining the confidence of investors in our company.</w:t>
      </w:r>
    </w:p>
    <w:p>
      <w:pPr>
        <w:spacing w:after="0" w:line="288"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attract and keep senior management and key personnel, in particular our chief executive officer, we may be unable to successfully develop our product candidates, conduct our clinical trials and commercialize our product candidates.</w:t>
      </w:r>
    </w:p>
    <w:p>
      <w:pPr>
        <w:spacing w:after="0" w:line="51" w:lineRule="exact"/>
        <w:rPr>
          <w:sz w:val="20"/>
          <w:szCs w:val="20"/>
          <w:color w:val="auto"/>
        </w:rPr>
      </w:pPr>
    </w:p>
    <w:p>
      <w:pPr>
        <w:ind w:right="420"/>
        <w:spacing w:after="0" w:line="266" w:lineRule="auto"/>
        <w:rPr>
          <w:sz w:val="20"/>
          <w:szCs w:val="20"/>
          <w:color w:val="auto"/>
        </w:rPr>
      </w:pPr>
      <w:r>
        <w:rPr>
          <w:rFonts w:ascii="Times New Roman" w:cs="Times New Roman" w:eastAsia="Times New Roman" w:hAnsi="Times New Roman"/>
          <w:sz w:val="18"/>
          <w:szCs w:val="18"/>
          <w:color w:val="auto"/>
        </w:rPr>
        <w:t>We are highly dependent on our chief executive officer, Thomas B. Neff, and other members of our senior management team. The loss of the services of Mr. Neff or any of these other individuals would be expected to significantly negatively impact the development and commercialization of our product candidates, our existing collaborative relationships and our ability to successfully implement our business strategy.</w:t>
      </w:r>
    </w:p>
    <w:p>
      <w:pPr>
        <w:spacing w:after="0" w:line="17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Recruiting and retaining qualified commercial, development, scientific, clinical, and manufacturing personnel are and will continue to be critical to our success, particularly as we expand our commercialization operations. Furthermore, replacing executive officers and key employees may be difficult and may take an extended period of time because of the limited number of individuals in our industry with the breadth of skills and experience required to successfully develop, gain regulatory approval of and commercialize product candidates. We may be unable to hire, train, retain or motivate these key personnel on acceptable terms given the intense competition among numerous biopharmaceutical companies for similar personnel.</w:t>
      </w:r>
    </w:p>
    <w:p>
      <w:pPr>
        <w:spacing w:after="0" w:line="184"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There is also significant competition, in particular in the San Francisco Bay Area, for the hiring of experienced and qualified personnel, which increases the importance of retention of our existing personnel. If we are unable to continue to attract and retain personnel with the quality and experience applicable to our product candidates, our ability to pursue our strategy will be limited and our business and operations would be adversely affected.</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72" w:name="page73"/>
    <w:bookmarkEnd w:id="7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product liability lawsuits are brought against us, we may incur substantial liabilities and may be required to limit commercialization of our product candidates.</w:t>
      </w:r>
    </w:p>
    <w:p>
      <w:pPr>
        <w:spacing w:after="0" w:line="51"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We face an inherent risk of product liability as a result of the clinical testing, manufacturing and commercialization of our product candidates. Any such product liability claims may include allegations of defects in manufacturing, defects in design, a failure to warn of dangers inherent in a product, negligence, strict liability or breach of warranty. Claims could also be asserted under state consumer protection acts. If we are unable to obtain insurance coverage at levels that are appropriate to maintain our business and operations, or if we are unable to successfully defend ourselves against product liability claims, we may incur substantial liabilities or otherwise cease operations. Product liability claims may result in:</w:t>
      </w:r>
    </w:p>
    <w:p>
      <w:pPr>
        <w:spacing w:after="0" w:line="76" w:lineRule="exact"/>
        <w:rPr>
          <w:sz w:val="20"/>
          <w:szCs w:val="20"/>
          <w:color w:val="auto"/>
        </w:rPr>
      </w:pPr>
    </w:p>
    <w:p>
      <w:pPr>
        <w:ind w:left="1040" w:hanging="519"/>
        <w:spacing w:after="0"/>
        <w:tabs>
          <w:tab w:leader="none" w:pos="10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of further development of unapproved product candidates or significantly reduced demand for any approved products;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costs and expenses to defend the related litigation;</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diversion of time and resources across the entire organization, including our executive management;</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recalls, withdrawals or labeling restrictions;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of our collaboration relationships or disputes with our collaboration partners; and</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reputational damage negatively impacting our other product candidates in development.</w:t>
      </w:r>
    </w:p>
    <w:p>
      <w:pPr>
        <w:spacing w:after="0" w:line="225" w:lineRule="exact"/>
        <w:rPr>
          <w:sz w:val="20"/>
          <w:szCs w:val="20"/>
          <w:color w:val="auto"/>
        </w:rPr>
      </w:pPr>
    </w:p>
    <w:p>
      <w:pPr>
        <w:ind w:right="100"/>
        <w:spacing w:after="0" w:line="274" w:lineRule="auto"/>
        <w:rPr>
          <w:sz w:val="20"/>
          <w:szCs w:val="20"/>
          <w:color w:val="auto"/>
        </w:rPr>
      </w:pPr>
      <w:r>
        <w:rPr>
          <w:rFonts w:ascii="Times New Roman" w:cs="Times New Roman" w:eastAsia="Times New Roman" w:hAnsi="Times New Roman"/>
          <w:sz w:val="17"/>
          <w:szCs w:val="17"/>
          <w:color w:val="auto"/>
        </w:rPr>
        <w:t>If we fail to obtain and retain sufficient product liability insurance at an acceptable cost to protect against potential product liability claims, we may not be able to continue to develop our product candidates. We maintain product liability insurance in a customary amount for the stage of development of our product candidates. Although we believe that we have sufficient coverage based on the advice of our third party advisors, there can be no assurance that such levels will be sufficient for our needs. Moreover, our insurance policies have various exclusions, and we may be in a dispute with our carrier as to the extent and nature of our coverage, including whether we are covered under the applicable product liability policy. If we are not able to ensure coverage or are required to pay substantial amounts to settle or otherwise contest the claims for product liability, our business and operations would be negatively affected.</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and operations would suffer in the event of computer system failures.</w:t>
      </w:r>
    </w:p>
    <w:p>
      <w:pPr>
        <w:spacing w:after="0" w:line="12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Despite the implementation of security measures, our internal computer systems, and those of our CROs, collaboration partners, and other third parties on which we rely, are vulnerable to damage from computer viruses, unauthorized access, natural disasters, fire, terrorism, war and telecommunication and electrical failures. We upgraded our disaster and data recovery capabilities in June 2017, however, to the extent that any disruption or security breach, in particular with our partners’ operations, results in a loss of, or damage to, our data or applications, or inappropriate disclosure of confidential or proprietary information, we could incur liability and it could result in a material disruption and delay of our drug development programs. For example, the loss of clinical trial data from completed, ongoing or planned clinical trials could result in delays in our regulatory approval efforts and significantly increase our costs to recover or reproduce the data.</w:t>
      </w:r>
    </w:p>
    <w:p>
      <w:pPr>
        <w:spacing w:after="0" w:line="293"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sophisticated information technology systems to operate our business and a cyber-attack or other breach of these systems could have a material adverse effect on our business.</w:t>
      </w:r>
    </w:p>
    <w:p>
      <w:pPr>
        <w:spacing w:after="0" w:line="5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rely on information technology systems to process, transmit and store electronic information in our day-to-day operations. The size and complexity of our information technology systems makes them vulnerable to a cyber-attack, malicious intrusion, breakdown, destruction, loss of data privacy or other significant disruption. While we have recently upgraded our disaster data recovery program, a successful attack could result in the theft or destruction of intellectual property, data, or other misappropriation of assets, or otherwise compromise our confidential or proprietary information and disrupt our operations. Cyber-attacks are becoming more sophisticated and frequent. We have invested in our systems and the protection and recoverability of our data to reduce the risk of an intrusion or interruption, and we monitor and test our systems on an ongoing basis for any current or potential threats. There can be no assurance that these measures and efforts will prevent future interruptions or breakdowns. If we fail to maintain or protect our information technology systems and data integrity effectively or fail to anticipate, plan for or manage significant disruptions to these systems, we could have difficulty preventing, detecting and controlling such cyber-attacks and any such attacks could result in losses described above as well as disputes with physicians, patients and our partners, regulatory sanctions or penalties, increases in operating expenses, expenses or lost revenues or other adverse consequences, any of which could have a material adverse effect on our business, results of operations, financial condition, prospects and cash flows.</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3" w:name="page74"/>
    <w:bookmarkEnd w:id="7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headquarters and data storage facilities are located near known earthquake fault zones. The occurrence of an earthquake, fire or any other catastrophic event could disrupt our operations or the operations of third parties who provide vital support functions to us, which could have a material adverse effect on our business, results of operations and financial condition.</w:t>
      </w:r>
    </w:p>
    <w:p>
      <w:pPr>
        <w:spacing w:after="0" w:line="67"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We and some of the third party service providers on which we depend for various support functions, such as data storage, are vulnerable to damage from catastrophic events, such as power loss, natural disasters, terrorism and similar unforeseen events beyond our control. Our corporate headquarters and other facilities are located in the San Francisco Bay Area, which in the past has experienced severe earthquakes and fires.</w:t>
      </w:r>
    </w:p>
    <w:p>
      <w:pPr>
        <w:spacing w:after="0" w:line="176"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We do not carry earthquake insurance. Earthquakes or other natural disasters could severely disrupt our operations, and have a material adverse effect on our business, results of operations, financial condition and prospects.</w:t>
      </w:r>
    </w:p>
    <w:p>
      <w:pPr>
        <w:spacing w:after="0" w:line="162"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If a natural disaster, power outage or other event occurred that prevented us from using all or a significant portion of our headquarters, damaged critical infrastructure, or otherwise disrupted operations, it may be difficult or, in certain cases, impossible for us to continue our business for a substantial period of time. The disaster recovery and business continuity plans we have in place are unlikely to provide adequate protection in the event of a serious disaster or similar event. We may incur substantial expenses as a result of the limited nature of our disaster recovery and business continuity plans, which, particularly when taken together with our lack of earthquake insurance, could have a material adverse effect on our business.</w:t>
      </w:r>
    </w:p>
    <w:p>
      <w:pPr>
        <w:spacing w:after="0" w:line="18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Furthermore, integral parties in our supply chain are operating from single sites, increasing their vulnerability to natural disasters or other sudden, unforeseen and severe adverse events. If such an event were to affect our supply chain, it could have a material adverse effect on our business.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of our common stock may be highly volatile, and you may not be able to resell your shares at or above your purchase price.</w:t>
      </w:r>
    </w:p>
    <w:p>
      <w:pPr>
        <w:spacing w:after="0" w:line="12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In general, pharmaceutical, biotechnology and other life sciences company stocks have been highly volatile in the current market. The volatility of pharmaceutical, biotechnology and other life sciences company stocks is sometimes unrelated to the operating performance of particular companies and biotechnology and life science companies stocks often respond to trends and perceptions rather than financial performance. In particular, the market price of shares of our common stock could be subject to wide fluctuations in response to the following factors:</w:t>
      </w:r>
    </w:p>
    <w:p>
      <w:pPr>
        <w:spacing w:after="0" w:line="72" w:lineRule="exact"/>
        <w:rPr>
          <w:sz w:val="20"/>
          <w:szCs w:val="20"/>
          <w:color w:val="auto"/>
        </w:rPr>
      </w:pPr>
    </w:p>
    <w:p>
      <w:pPr>
        <w:ind w:left="1040" w:hanging="519"/>
        <w:spacing w:after="0"/>
        <w:tabs>
          <w:tab w:leader="none" w:pos="10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clinical trials of our product candidates, including roxadustat and pamrevlumab;</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the release of results of and regulatory updates regarding our clinical trials;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expenses related to any of our product candidates or clinical development programs;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clinical trials of our competitors’ products;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safety issues with respect to our product candidates or our competitors’ products;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actions with respect to our product candidates and any approved products or our competitors’ products;</w:t>
      </w:r>
    </w:p>
    <w:p>
      <w:pPr>
        <w:spacing w:after="0" w:line="117" w:lineRule="exact"/>
        <w:rPr>
          <w:rFonts w:ascii="Times New Roman" w:cs="Times New Roman" w:eastAsia="Times New Roman" w:hAnsi="Times New Roman"/>
          <w:sz w:val="18"/>
          <w:szCs w:val="18"/>
          <w:color w:val="auto"/>
        </w:rPr>
      </w:pPr>
    </w:p>
    <w:p>
      <w:pPr>
        <w:ind w:left="1040" w:right="40" w:hanging="519"/>
        <w:spacing w:after="0" w:line="282" w:lineRule="auto"/>
        <w:tabs>
          <w:tab w:leader="none" w:pos="10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our financial condition and operating results, which will be significantly affected by the manner in which we recognize revenue from the achievement of milestones under our collaboration agreements;</w:t>
      </w:r>
    </w:p>
    <w:p>
      <w:pPr>
        <w:spacing w:after="0" w:line="53"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developments concerning our collaborations and our manufacturers;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termination of a collaboration or the inability to establish additional collaborations;</w:t>
      </w:r>
    </w:p>
    <w:p>
      <w:pPr>
        <w:spacing w:after="0" w:line="117" w:lineRule="exact"/>
        <w:rPr>
          <w:rFonts w:ascii="Times New Roman" w:cs="Times New Roman" w:eastAsia="Times New Roman" w:hAnsi="Times New Roman"/>
          <w:sz w:val="18"/>
          <w:szCs w:val="18"/>
          <w:color w:val="auto"/>
        </w:rPr>
      </w:pPr>
    </w:p>
    <w:p>
      <w:pPr>
        <w:ind w:left="1040" w:right="760" w:hanging="519"/>
        <w:spacing w:after="0" w:line="282" w:lineRule="auto"/>
        <w:tabs>
          <w:tab w:leader="none" w:pos="10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publication of research reports by securities analysts about us or our competitors or our industry or negative recommendations or withdrawal of research coverage by securities analysts;</w:t>
      </w:r>
    </w:p>
    <w:p>
      <w:pPr>
        <w:spacing w:after="0" w:line="53"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obtain adequate product supply for any approved drug product or inability to do so at acceptable prices;</w:t>
      </w:r>
    </w:p>
    <w:p>
      <w:pPr>
        <w:spacing w:after="0" w:line="117" w:lineRule="exact"/>
        <w:rPr>
          <w:rFonts w:ascii="Times New Roman" w:cs="Times New Roman" w:eastAsia="Times New Roman" w:hAnsi="Times New Roman"/>
          <w:sz w:val="18"/>
          <w:szCs w:val="18"/>
          <w:color w:val="auto"/>
        </w:rPr>
      </w:pPr>
    </w:p>
    <w:p>
      <w:pPr>
        <w:ind w:left="1040" w:right="60" w:hanging="519"/>
        <w:spacing w:after="0" w:line="282" w:lineRule="auto"/>
        <w:tabs>
          <w:tab w:leader="none" w:pos="10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or other developments relating to proprietary rights, including patents, litigation matters and our ability to obtain patent protection for our technologies;</w:t>
      </w:r>
    </w:p>
    <w:p>
      <w:pPr>
        <w:spacing w:after="0" w:line="53"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ineffectiveness of our internal controls;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or the failure of our competitors to meet analysts’ projections or guidance that we or our competitors may give to the market;</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121" w:right="319" w:bottom="1440" w:gutter="0" w:footer="0" w:header="0"/>
        </w:sectPr>
      </w:pPr>
    </w:p>
    <w:bookmarkStart w:id="74" w:name="page75"/>
    <w:bookmarkEnd w:id="7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47" w:lineRule="exact"/>
        <w:rPr>
          <w:sz w:val="20"/>
          <w:szCs w:val="20"/>
          <w:color w:val="auto"/>
        </w:rPr>
      </w:pPr>
    </w:p>
    <w:p>
      <w:pPr>
        <w:ind w:left="1040" w:hanging="519"/>
        <w:spacing w:after="0"/>
        <w:tabs>
          <w:tab w:leader="none" w:pos="10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and departures of key personnel;</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announced strategic decisions by us or our competitors;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legislation or other regulatory developments affecting our product candidates or our industry;</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valuation of the biotechnology industry and particular companies perceived by investors to be comparable to us;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common stock by us, our insiders or our other stockholders;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speculation in the press or investment community;</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 or expectation of additional financing efforts;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investigations or regulatory scrutiny of our operations or lawsuits filed against us;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principles;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activities of the government of China, including those related to the pharmaceutical industry as well as industrial policy generally;</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of other U.S. publicly traded companies with significant operations in China;</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terrorist acts, acts of war or periods of widespread civil unrest;</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such as earthquakes and other calamities;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market conditions for biopharmaceutical stocks;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general market and economic conditions; and</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factors described in this “Risk Factors” section.</w:t>
      </w:r>
    </w:p>
    <w:p>
      <w:pPr>
        <w:spacing w:after="0" w:line="22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As a result of fluctuations caused by these and other factors, comparisons of our operating results across different periods may not be accurate indicators of our future performance. Any fluctuations that we report in the future may differ from the expectations of market analysts and investors, which could cause the price of our common stock to fluctuate significantly. Moreover, securities class action litigation has often been initiated against companies following periods of volatility in their stock price. This type of litigation could result in substantial costs and divert our management’s attention and resources, and could also require us to make substantial payments to satisfy judgments or to settle litigation.</w:t>
      </w:r>
    </w:p>
    <w:p>
      <w:pPr>
        <w:spacing w:after="0" w:line="288"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broad discretion in the use of the net proceeds from our underwritten public offerings of common stock completed on April 11, 2017 (the “April 2017 Offering”) and August 24, 2017 (the “August 2017 Offering”) and may not use them effectively.</w:t>
      </w:r>
    </w:p>
    <w:p>
      <w:pPr>
        <w:spacing w:after="0" w:line="5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net proceeds from the April 2017 Offering is intended to be used to fund the expansion of product development in China, including developing roxadustat in additional indications beyond CKD, manufacturing and commercialization activities, as well as for general corporate purposes. The net proceeds from the August 2017 Offering is intended to be used to fund the expansion of product development, including our development of pamrevlumab beyond current Phase 2 programs, manufacturing and commercialization activities, as well as for general corporate purposes. These general corporate purposes, may include, among other things, funding research and development, clinical trials, vendor payables, potential regulatory submissions, hiring additional personnel and capital expenditures. However, we have no current commitments or obligations to use the net proceeds in the manner described above. Our management has broad discretion in the application of the balance of the net proceeds from the April 2017 Offering and the August 2017 Offering, and could spend the proceeds in ways our stockholders may not agree with or that fails to improve our business or enhance the value of our common stock. The failure by our management to use these funds effectively could result in financial losses that could harm our business, cause the price of our common stock to decline and delay the development of our product candidates.</w:t>
      </w:r>
    </w:p>
    <w:p>
      <w:pPr>
        <w:spacing w:after="0" w:line="290"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continue to publish research or reports about our business, or if they change their recommendations regarding our stock adversely, our stock price and trading volume could decline.</w:t>
      </w:r>
    </w:p>
    <w:p>
      <w:pPr>
        <w:spacing w:after="0" w:line="5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trading market for our common stock will be influenced by the research and reports that industry or securities analysts publish about us or our business. If one or more of the analysts who cover us downgrade our stock, our stock price would likely decline. If one or more of these analysts cease coverage of our company or fail to regularly publish reports on us, we could lose visibility in the financial markets, which in turn could cause our stock price or trading volume to decline.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5" w:name="page76"/>
    <w:bookmarkEnd w:id="7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principal stockholders and management own a significant percentage of our stock and will be able to exercise significant influence over matters subject to stockholder approval.*</w:t>
      </w:r>
    </w:p>
    <w:p>
      <w:pPr>
        <w:spacing w:after="0" w:line="51"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As of April 30, 2019, our executive officers, directors and principal stockholders, together with their respective affiliates, owned approximately 39.40% of our common stock, including shares subject to outstanding options that are exercisable within 60 days after such date and shares issuable upon settlement of restricted stock units that will vest within 60 days after such date. This percentage is based upon information supplied by officers, directors and principal stockholders and Schedules 13D and 13G, if any, filed with the SEC, which information may not be accurate as of April 30, 2019. Accordingly, these stockholders will be able to exert a significant degree of influence over our management and affairs and over matters requiring stockholder approval, including the election of our board of directors and approval of significant corporate transactions. The interests of this group may differ from those of other stockholders and they may vote their shares in a way that is contrary to the way other stockholders vote their shares. This concentration of ownership could have the effect of entrenching our management and/or the board of directors, delaying or preventing a change in our control or otherwise discouraging a potential acquirer from attempting to obtain control of us, which in turn could have a material and adverse effect on the fair market value of our common stock.</w:t>
      </w:r>
    </w:p>
    <w:p>
      <w:pPr>
        <w:spacing w:after="0" w:line="290"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Additional remedial measures that may be imposed in the proceedings instituted by the SEC against five China based accounting firms, including the Chinese affiliate of our independent registered public accounting firm, could result in our consolidated financial statements being determined to not be in compliance with the requirements of the Exchange Act.</w:t>
      </w:r>
    </w:p>
    <w:p>
      <w:pPr>
        <w:spacing w:after="0" w:line="67"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In late 2012, the SEC commenced administrative proceedings under Rule 102(e) of its Rules of Practice and also under the Sarbanes-Oxley Act of 2002 against the Chinese affiliates of the “big four” accounting firms, including PricewaterhouseCoopers Zhong Tian CPAs Limited, the Chinese affiliate of our independent registered public accounting firm. The Rule 102(e) proceedings initiated by the SEC relate to these firms’ failure to produce documents, including audit work papers, in response to the request of the SEC pursuant to Section 106 of the Sarbanes-Oxley Act of 2002, as the auditors located in China are not in a position lawfully to produce documents directly to the SEC because of restrictions under Chinese law and specific directives issued by the China Securities Regulatory Commission (“CSRC”). The issues raised by the proceedings are not specific to our auditors or to us.</w:t>
      </w:r>
    </w:p>
    <w:p>
      <w:pPr>
        <w:spacing w:after="0" w:line="188"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In January 2014, an administrative law judge reached an initial decision that the Chinese affiliates of the “big four” accounting firms should be barred from practicing before the SEC for a period of six months. In February 2015, the Chinese affiliates of the “big four” accounting firms each agreed to a censure and to pay a fine to the SEC to settle the dispute and avoid suspension of their ability to practice before the SEC and audit U.S.-listed companies. The settlement required the firms to follow detailed procedures and to seek to provide the SEC with access to Chinese firms’ audit documents via the CSRC. If future document productions fail to meet specified criteria, the SEC retains authority to impose a variety of additional remedial measures on the firms depending on the nature of the failure.</w:t>
      </w:r>
    </w:p>
    <w:p>
      <w:pPr>
        <w:spacing w:after="0" w:line="188" w:lineRule="exact"/>
        <w:rPr>
          <w:sz w:val="20"/>
          <w:szCs w:val="20"/>
          <w:color w:val="auto"/>
        </w:rPr>
      </w:pPr>
    </w:p>
    <w:p>
      <w:pPr>
        <w:ind w:right="40"/>
        <w:spacing w:after="0" w:line="274" w:lineRule="auto"/>
        <w:rPr>
          <w:sz w:val="20"/>
          <w:szCs w:val="20"/>
          <w:color w:val="auto"/>
        </w:rPr>
      </w:pPr>
      <w:r>
        <w:rPr>
          <w:rFonts w:ascii="Times New Roman" w:cs="Times New Roman" w:eastAsia="Times New Roman" w:hAnsi="Times New Roman"/>
          <w:sz w:val="17"/>
          <w:szCs w:val="17"/>
          <w:color w:val="auto"/>
        </w:rPr>
        <w:t>We cannot predict if the SEC will further review the four firms’ compliance with specified criteria or if such further review would result in the SEC imposing additional penalties such as suspensions or commencing any further administrative proceedings. Although it does not play a substantial role (as defined under PCAOB standards) in the audit of our consolidated financial statements, if PricewaterhouseCoopers Zhong Tian CPAs Limited were denied, temporarily, the ability to practice before the SEC, our ability to produce audited consolidated financial statements for our company could be affected and we could be determined not to be in compliance with the requirements of the Exchange Act. Such a determination could ultimately lead to the delisting of our shares from the Nasdaq Global Select Market or deregistration from the SEC, or both, which would substantially reduce or effectively terminate the trading of our stock.</w:t>
      </w:r>
    </w:p>
    <w:p>
      <w:pPr>
        <w:spacing w:after="0" w:line="278"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engage in future acquisitions that could disrupt our business, cause dilution to our stockholders and harm our business, results of operations, financial condition and cash flows and future prospects.</w:t>
      </w:r>
    </w:p>
    <w:p>
      <w:pPr>
        <w:spacing w:after="0" w:line="51"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While we currently have no specific plans to acquire any other businesses, we may, in the future, make acquisitions of, or investments in, companies that we believe have products or capabilities that are a strategic or commercial fit with our present or future product candidates and business or otherwise offer opportunities for our company. In connection with these acquisitions or investments, we may:</w:t>
      </w:r>
    </w:p>
    <w:p>
      <w:pPr>
        <w:spacing w:after="0" w:line="68" w:lineRule="exact"/>
        <w:rPr>
          <w:sz w:val="20"/>
          <w:szCs w:val="20"/>
          <w:color w:val="auto"/>
        </w:rPr>
      </w:pPr>
    </w:p>
    <w:p>
      <w:pPr>
        <w:ind w:left="1040" w:hanging="519"/>
        <w:spacing w:after="0"/>
        <w:tabs>
          <w:tab w:leader="none" w:pos="10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stock that would dilute our existing stockholders’ percentage of ownership;</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debt and assume liabilities; and</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amortization expenses related to intangible assets or incur large and immediate write-offs.</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76" w:name="page77"/>
    <w:bookmarkEnd w:id="7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We may not be able to complete acquisitions on favorable terms, if at all. If we do complete an acquisition, we cannot assure you that it will ultimately strengthen our competitive position or that it will be viewed positively by customers, financial markets or investors. Furthermore, future acquisitions could pose numerous additional risks to our operations, including:</w:t>
      </w:r>
    </w:p>
    <w:p>
      <w:pPr>
        <w:spacing w:after="0" w:line="68" w:lineRule="exact"/>
        <w:rPr>
          <w:sz w:val="20"/>
          <w:szCs w:val="20"/>
          <w:color w:val="auto"/>
        </w:rPr>
      </w:pPr>
    </w:p>
    <w:p>
      <w:pPr>
        <w:ind w:left="1040" w:hanging="519"/>
        <w:spacing w:after="0"/>
        <w:tabs>
          <w:tab w:leader="none" w:pos="10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problems integrating the purchased business, products or technologies, or employees or other assets of the acquisition target;</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to our expenses;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or undisclosed liabilities of the acquired asset or company;</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management’s attention from their day-to-day responsibilities;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reprioritization of our development programs and even cessation of development and commercialization of our current product candidates;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harm to our operating results or financial condition;</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entrance into markets in which we have limited or no prior experience; and</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loss of key employees, particularly those of the acquired entity.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may not be able to complete any acquisitions or effectively integrate the operations, products or personnel gained through any such acquisition.</w:t>
      </w:r>
    </w:p>
    <w:p>
      <w:pPr>
        <w:spacing w:after="0" w:line="329" w:lineRule="exact"/>
        <w:rPr>
          <w:sz w:val="20"/>
          <w:szCs w:val="20"/>
          <w:color w:val="auto"/>
        </w:rPr>
      </w:pPr>
    </w:p>
    <w:p>
      <w:pPr>
        <w:ind w:right="3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Provisions in our charter documents and Delaware law may have anti-takeover effects that could discourage an acquisition of us by others, even if an acquisition would be beneficial to our stockholders, and may prevent attempts by our stockholders to replace or remove our current directors or management.</w:t>
      </w:r>
    </w:p>
    <w:p>
      <w:pPr>
        <w:spacing w:after="0" w:line="67"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Provisions in our amended and restated certificate of incorporation and amended and restated bylaws contain provisions that may have the effect of discouraging, delaying or preventing a change in control of us or changes in our management. These provisions could also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w:t>
      </w:r>
    </w:p>
    <w:p>
      <w:pPr>
        <w:spacing w:after="0" w:line="80" w:lineRule="exact"/>
        <w:rPr>
          <w:sz w:val="20"/>
          <w:szCs w:val="20"/>
          <w:color w:val="auto"/>
        </w:rPr>
      </w:pPr>
    </w:p>
    <w:p>
      <w:pPr>
        <w:ind w:left="1040" w:right="60" w:hanging="519"/>
        <w:spacing w:after="0" w:line="282" w:lineRule="auto"/>
        <w:tabs>
          <w:tab w:leader="none" w:pos="10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“blank check” preferred stock, which could be issued by our board of directors without stockholder approval and may contain voting, liquidation, dividend and other rights superior to our common stock;</w:t>
      </w:r>
    </w:p>
    <w:p>
      <w:pPr>
        <w:spacing w:after="0" w:line="53"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a classified board of directors whose members serve staggered three-year terms;</w:t>
      </w:r>
    </w:p>
    <w:p>
      <w:pPr>
        <w:spacing w:after="0" w:line="117" w:lineRule="exact"/>
        <w:rPr>
          <w:rFonts w:ascii="Times New Roman" w:cs="Times New Roman" w:eastAsia="Times New Roman" w:hAnsi="Times New Roman"/>
          <w:sz w:val="18"/>
          <w:szCs w:val="18"/>
          <w:color w:val="auto"/>
        </w:rPr>
      </w:pPr>
    </w:p>
    <w:p>
      <w:pPr>
        <w:ind w:left="1040" w:right="140" w:hanging="519"/>
        <w:spacing w:after="0" w:line="282" w:lineRule="auto"/>
        <w:tabs>
          <w:tab w:leader="none" w:pos="10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specify that special meetings of our stockholders can be called only by our board of directors pursuant to a resolution adopted by a majority of the total number of directors;</w:t>
      </w:r>
    </w:p>
    <w:p>
      <w:pPr>
        <w:spacing w:after="0" w:line="53"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stockholder action by written consent;</w:t>
      </w:r>
    </w:p>
    <w:p>
      <w:pPr>
        <w:spacing w:after="0" w:line="117" w:lineRule="exact"/>
        <w:rPr>
          <w:rFonts w:ascii="Times New Roman" w:cs="Times New Roman" w:eastAsia="Times New Roman" w:hAnsi="Times New Roman"/>
          <w:sz w:val="18"/>
          <w:szCs w:val="18"/>
          <w:color w:val="auto"/>
        </w:rPr>
      </w:pPr>
    </w:p>
    <w:p>
      <w:pPr>
        <w:ind w:left="1040" w:right="700" w:hanging="519"/>
        <w:spacing w:after="0" w:line="282" w:lineRule="auto"/>
        <w:tabs>
          <w:tab w:leader="none" w:pos="10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an advance notice procedure for stockholder approvals to be brought before an annual meeting of our stockholders, including proposed nominations of persons for election to our board of directors;</w:t>
      </w:r>
    </w:p>
    <w:p>
      <w:pPr>
        <w:spacing w:after="0" w:line="53"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our directors may be removed prior to the end of their term only for cause;</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vacancies on our board of directors may be filled only by a majority of directors then in office, even though less than a quorum;</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a supermajority vote of the holders of our common stock or the majority vote of our board of directors to amend our bylaws; and</w:t>
      </w:r>
    </w:p>
    <w:p>
      <w:pPr>
        <w:spacing w:after="0" w:line="117" w:lineRule="exact"/>
        <w:rPr>
          <w:rFonts w:ascii="Times New Roman" w:cs="Times New Roman" w:eastAsia="Times New Roman" w:hAnsi="Times New Roman"/>
          <w:sz w:val="18"/>
          <w:szCs w:val="18"/>
          <w:color w:val="auto"/>
        </w:rPr>
      </w:pPr>
    </w:p>
    <w:p>
      <w:pPr>
        <w:ind w:left="1040" w:right="200" w:hanging="519"/>
        <w:spacing w:after="0" w:line="282" w:lineRule="auto"/>
        <w:tabs>
          <w:tab w:leader="none" w:pos="10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a supermajority vote of the holders of our common stock to amend the classification of our board of directors into three classes and to amend certain other provisions of our certificate of incorporation.</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These provisions, alone or together, could delay or prevent hostile takeovers and changes in control or changes in our management by making it more difficult for stockholders to replace members of our board of directors, which is responsible for appointing the members of our management.</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7" w:name="page78"/>
    <w:bookmarkEnd w:id="7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Moreover, because we are incorporated in Delaware, we are governed by certain anti-takeover provisions under Delaware law which may discourage, delay or prevent someone from acquiring us or merging with us whether or not it is desired by or beneficial to our stockholders. We are subject to the provisions of Section 203 of the Delaware General Corporation Law,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w:t>
      </w:r>
    </w:p>
    <w:p>
      <w:pPr>
        <w:spacing w:after="0" w:line="184"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Any provision of our amended and restated certificate of incorporation, our amended and restated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our tax provision or exposure to additional tax liabilities could adversely affect our earnings and financial condition.</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As a multinational corporation, we are subject to income taxes in the U.S. and various foreign jurisdictions. Significant judgment is required in determining our global provision for income taxes and other tax liabilities. In the ordinary course of a global business, there are intercompany transactions and calculations where the ultimate tax determination is uncertain. Our income tax returns are subject to audits by tax authorities. Although we regularly assess the likelihood of adverse outcomes resulting from these examinations to determine our tax estimates, a final determination of tax audits or tax disputes could have an adverse effect on our results of operations and financial condition.</w:t>
      </w:r>
    </w:p>
    <w:p>
      <w:pPr>
        <w:spacing w:after="0" w:line="184"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We are also subject to non-income taxes, such as payroll, sales, use, value-added, net worth, property, gross receipts, and goods and services taxes in the U.S., state and local, and various foreign jurisdictions. We are subject to audit and assessments by tax authorities with respect to these non-income taxes and may have exposure to additional non-income tax liabilities, which could have an adverse effect on our results of operations and financial condition.</w:t>
      </w:r>
    </w:p>
    <w:p>
      <w:pPr>
        <w:spacing w:after="0" w:line="176"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On December 22, 2017, the U.S. enacted the Tax Act that instituted fundamental changes to the taxation of multinational corporations. The Tax Act includes changes to the taxation of foreign earnings by implementing a dividend exemption system, expansion of the current anti-deferral rules, a minimum tax on low-taxed foreign earnings and new measures to deter base erosion. The Tax Act also includes a permanent reduction in the corporate tax rate to 21%, repeal of the corporate alternative minimum tax, expensing of capital investment, and limitation of the deduction for interest expense. Furthermore, as part of the transition to the new tax system, a one-time transition tax is imposed on a U.S. shareholder’s historical undistributed earnings of foreign affiliates. Although the Tax Act is generally effective January 1, 2018, GAAP requires recognition of the tax effects of new legislation during the reporting period that includes the enactment date, which was December 22, 2017.</w:t>
      </w:r>
    </w:p>
    <w:p>
      <w:pPr>
        <w:spacing w:after="0" w:line="203" w:lineRule="exact"/>
        <w:rPr>
          <w:sz w:val="20"/>
          <w:szCs w:val="20"/>
          <w:color w:val="auto"/>
        </w:rPr>
      </w:pPr>
    </w:p>
    <w:p>
      <w:pPr>
        <w:ind w:right="340"/>
        <w:spacing w:after="0" w:line="256" w:lineRule="auto"/>
        <w:rPr>
          <w:sz w:val="20"/>
          <w:szCs w:val="20"/>
          <w:color w:val="auto"/>
        </w:rPr>
      </w:pPr>
      <w:r>
        <w:rPr>
          <w:rFonts w:ascii="Times New Roman" w:cs="Times New Roman" w:eastAsia="Times New Roman" w:hAnsi="Times New Roman"/>
          <w:sz w:val="18"/>
          <w:szCs w:val="18"/>
          <w:color w:val="auto"/>
        </w:rPr>
        <w:t>As a result of the impact of the Tax Act, the SEC provided guidance that allows us to record provisional amounts for those affected items, with the requirement that the accounting be completed in a period not to exceed one year from the date of enactment. As of December 31, 2018, we completed our analysis of the accounting for the tax effects of the Tax Act and no material adjustments were recognized at year end. The primary impact of the Tax Act relates to the re-measurement of deferred tax assets and liabilities resulting from the Corporate Tax Rate Change, which was recorded as of December 31, 2017. Developing interpretations of the provisions of the Tax Act, changes to U.S. Treasury regulations, administrative interpretations or court decisions interpreting the Tax Act in the future periods may require further adjustments to our analysis.</w:t>
      </w:r>
    </w:p>
    <w:p>
      <w:pPr>
        <w:spacing w:after="0" w:line="292" w:lineRule="exact"/>
        <w:rPr>
          <w:sz w:val="20"/>
          <w:szCs w:val="20"/>
          <w:color w:val="auto"/>
        </w:rPr>
      </w:pPr>
    </w:p>
    <w:p>
      <w:pPr>
        <w:ind w:right="3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certificate of incorporation designates the state or federal courts located in the State of Delaware as the sole and exclusive forum for certain types of actions and proceedings that may be initiated by our stockholders, which could limit our stockholders’ ability to obtain a favorable judicial forum for disputes with us or our directors, officers or employees.</w:t>
      </w:r>
    </w:p>
    <w:p>
      <w:pPr>
        <w:spacing w:after="0" w:line="67"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subject to limited exceptions, the state and federal courts located in the State of Delaware will be the sole and exclusive forum for (1) any derivative action or proceeding brought on our behalf, (2) any action asserting a claim of breach of a fiduciary duty owed by any of our directors, officers or other employees to us or our stockholders, (3) any action asserting a claim against us arising pursuant to any provision of the Delaware General Corporation Law, our amended and restated certificate of incorporation or our amended and restated by-laws, or (4) any other action asserting a claim against us that is governed by the internal affairs doctrine. Any person or entity purchasing or otherwise acquiring any interest in shares of our capital stock shall be deemed to have notice of and to have consented to the provisions of our amended and restated certificate of incorporation described above. This choice of forum provision may limit a stockholder’s ability to bring a claim in a judicial forum that it finds favorable for disputes with us or our directors, officers or other employees, which may discourage such lawsuits against us and our directors, officers and employees. Alternatively, if a court were to find these provisions of our amended and restated certificate of incorporation inapplicable to, or unenforceable in respect of, one or more of the specified types of actions or proceedings, we may incur additional costs associated with resolving such matters in other jurisdictions, which could adversely affect our business and financial condition.</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8" w:name="page79"/>
    <w:bookmarkEnd w:id="7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we do not anticipate paying any cash dividends on our capital stock in the foreseeable future, capital appreciation, if any, will be your sole source of gain and you may never receive a return on your investment.</w:t>
      </w:r>
    </w:p>
    <w:p>
      <w:pPr>
        <w:spacing w:after="0" w:line="5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You should not rely on an investment in our common stock to provide dividend income. We do not anticipate that we will pay any cash dividends to holders of our common stock in the foreseeable future and investors seeking cash dividends should not purchase our common stock. We plan to retain any earnings to invest in our product candidates and maintain and expand our operations. Therefore, capital appreciation, or an increase in your stock price, which may never occur, may be the only way to realize any return on your investment.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Proceeds from Initial Public Offering of Common Stock</w:t>
      </w:r>
    </w:p>
    <w:p>
      <w:pPr>
        <w:spacing w:after="0" w:line="121"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On November 13, 2014, our Registration Statement on Form S-1, as amended (Reg. Nos. 333-199069 and 333-200189) was declared effective in connection with the initial public offering of our common stock. There has been no material change in the planned use of proceeds from our initial public offering as described in our final prospectus filed with the SEC pursuant to Rule 424(b) under the Securities Act on November 14, 2014.</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79" w:name="page80"/>
    <w:bookmarkEnd w:id="7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14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8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73"/>
        </w:trPr>
        <w:tc>
          <w:tcPr>
            <w:tcW w:w="14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8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20" w:type="dxa"/>
            <w:vAlign w:val="bottom"/>
            <w:gridSpan w:val="20"/>
          </w:tcPr>
          <w:p>
            <w:pPr>
              <w:ind w:left="600"/>
              <w:spacing w:after="0"/>
              <w:rPr>
                <w:sz w:val="20"/>
                <w:szCs w:val="20"/>
                <w:color w:val="auto"/>
              </w:rPr>
            </w:pPr>
            <w:r>
              <w:rPr>
                <w:rFonts w:ascii="Times New Roman" w:cs="Times New Roman" w:eastAsia="Times New Roman" w:hAnsi="Times New Roman"/>
                <w:sz w:val="14"/>
                <w:szCs w:val="14"/>
                <w:b w:val="1"/>
                <w:bCs w:val="1"/>
                <w:color w:val="auto"/>
              </w:rPr>
              <w:t>Exhibit Description</w:t>
            </w:r>
          </w:p>
        </w:tc>
      </w:tr>
      <w:tr>
        <w:trPr>
          <w:trHeight w:val="318"/>
        </w:trPr>
        <w:tc>
          <w:tcPr>
            <w:tcW w:w="13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24"/>
                <w:szCs w:val="24"/>
                <w:color w:val="auto"/>
              </w:rPr>
            </w:pPr>
          </w:p>
        </w:tc>
        <w:tc>
          <w:tcPr>
            <w:tcW w:w="5220" w:type="dxa"/>
            <w:vAlign w:val="bottom"/>
            <w:tcBorders>
              <w:top w:val="single" w:sz="8" w:color="auto"/>
            </w:tcBorders>
            <w:gridSpan w:val="23"/>
          </w:tcPr>
          <w:p>
            <w:pPr>
              <w:spacing w:after="0"/>
              <w:rPr>
                <w:rFonts w:ascii="Times New Roman" w:cs="Times New Roman" w:eastAsia="Times New Roman" w:hAnsi="Times New Roman"/>
                <w:sz w:val="18"/>
                <w:szCs w:val="18"/>
                <w:color w:val="0000EE"/>
              </w:rPr>
            </w:pPr>
            <w:hyperlink r:id="rId106">
              <w:r>
                <w:rPr>
                  <w:rFonts w:ascii="Times New Roman" w:cs="Times New Roman" w:eastAsia="Times New Roman" w:hAnsi="Times New Roman"/>
                  <w:sz w:val="18"/>
                  <w:szCs w:val="18"/>
                  <w:color w:val="0000EE"/>
                </w:rPr>
                <w:t>Amended and Restated Certificate of Incorporation of FibroGen, Inc.</w:t>
              </w:r>
            </w:hyperlink>
          </w:p>
        </w:tc>
      </w:tr>
      <w:tr>
        <w:trPr>
          <w:trHeight w:val="345"/>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24"/>
                <w:szCs w:val="24"/>
                <w:color w:val="auto"/>
              </w:rPr>
            </w:pPr>
          </w:p>
        </w:tc>
        <w:tc>
          <w:tcPr>
            <w:tcW w:w="3560" w:type="dxa"/>
            <w:vAlign w:val="bottom"/>
            <w:tcBorders>
              <w:top w:val="single" w:sz="8" w:color="0000EE"/>
              <w:bottom w:val="single" w:sz="8" w:color="0000EE"/>
            </w:tcBorders>
            <w:gridSpan w:val="8"/>
          </w:tcPr>
          <w:p>
            <w:pPr>
              <w:spacing w:after="0"/>
              <w:rPr>
                <w:rFonts w:ascii="Times New Roman" w:cs="Times New Roman" w:eastAsia="Times New Roman" w:hAnsi="Times New Roman"/>
                <w:sz w:val="18"/>
                <w:szCs w:val="18"/>
                <w:color w:val="0000EE"/>
                <w:w w:val="99"/>
              </w:rPr>
            </w:pPr>
            <w:hyperlink r:id="rId107">
              <w:r>
                <w:rPr>
                  <w:rFonts w:ascii="Times New Roman" w:cs="Times New Roman" w:eastAsia="Times New Roman" w:hAnsi="Times New Roman"/>
                  <w:sz w:val="18"/>
                  <w:szCs w:val="18"/>
                  <w:color w:val="0000EE"/>
                  <w:w w:val="99"/>
                </w:rPr>
                <w:t>Amended and Restated Bylaws of FibroGen, Inc.</w:t>
              </w:r>
            </w:hyperlink>
          </w:p>
        </w:tc>
        <w:tc>
          <w:tcPr>
            <w:tcW w:w="1420" w:type="dxa"/>
            <w:vAlign w:val="bottom"/>
            <w:tcBorders>
              <w:top w:val="single" w:sz="8" w:color="0000EE"/>
            </w:tcBorders>
            <w:gridSpan w:val="9"/>
          </w:tcPr>
          <w:p>
            <w:pPr>
              <w:spacing w:after="0"/>
              <w:rPr>
                <w:sz w:val="24"/>
                <w:szCs w:val="24"/>
                <w:color w:val="auto"/>
              </w:rPr>
            </w:pPr>
          </w:p>
        </w:tc>
        <w:tc>
          <w:tcPr>
            <w:tcW w:w="240" w:type="dxa"/>
            <w:vAlign w:val="bottom"/>
            <w:gridSpan w:val="6"/>
          </w:tcPr>
          <w:p>
            <w:pPr>
              <w:spacing w:after="0"/>
              <w:rPr>
                <w:sz w:val="24"/>
                <w:szCs w:val="24"/>
                <w:color w:val="auto"/>
              </w:rPr>
            </w:pPr>
          </w:p>
        </w:tc>
      </w:tr>
      <w:tr>
        <w:trPr>
          <w:trHeight w:val="345"/>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24"/>
                <w:szCs w:val="24"/>
                <w:color w:val="auto"/>
              </w:rPr>
            </w:pPr>
          </w:p>
        </w:tc>
        <w:tc>
          <w:tcPr>
            <w:tcW w:w="5220" w:type="dxa"/>
            <w:vAlign w:val="bottom"/>
            <w:gridSpan w:val="23"/>
          </w:tcPr>
          <w:p>
            <w:pPr>
              <w:spacing w:after="0"/>
              <w:rPr>
                <w:rFonts w:ascii="Times New Roman" w:cs="Times New Roman" w:eastAsia="Times New Roman" w:hAnsi="Times New Roman"/>
                <w:sz w:val="18"/>
                <w:szCs w:val="18"/>
                <w:color w:val="0000EE"/>
              </w:rPr>
            </w:pPr>
            <w:hyperlink r:id="rId108">
              <w:r>
                <w:rPr>
                  <w:rFonts w:ascii="Times New Roman" w:cs="Times New Roman" w:eastAsia="Times New Roman" w:hAnsi="Times New Roman"/>
                  <w:sz w:val="18"/>
                  <w:szCs w:val="18"/>
                  <w:color w:val="0000EE"/>
                </w:rPr>
                <w:t>Form of Common Stock Certificate.</w:t>
              </w:r>
            </w:hyperlink>
          </w:p>
        </w:tc>
      </w:tr>
      <w:tr>
        <w:trPr>
          <w:trHeight w:val="20"/>
        </w:trPr>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45"/>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Pr>
          <w:p>
            <w:pPr>
              <w:spacing w:after="0"/>
              <w:rPr>
                <w:sz w:val="24"/>
                <w:szCs w:val="24"/>
                <w:color w:val="auto"/>
              </w:rPr>
            </w:pPr>
          </w:p>
        </w:tc>
        <w:tc>
          <w:tcPr>
            <w:tcW w:w="5220" w:type="dxa"/>
            <w:vAlign w:val="bottom"/>
            <w:gridSpan w:val="23"/>
          </w:tcPr>
          <w:p>
            <w:pPr>
              <w:spacing w:after="0"/>
              <w:rPr>
                <w:rFonts w:ascii="Times New Roman" w:cs="Times New Roman" w:eastAsia="Times New Roman" w:hAnsi="Times New Roman"/>
                <w:sz w:val="18"/>
                <w:szCs w:val="18"/>
                <w:color w:val="0000EE"/>
              </w:rPr>
            </w:pPr>
            <w:hyperlink r:id="rId109">
              <w:r>
                <w:rPr>
                  <w:rFonts w:ascii="Times New Roman" w:cs="Times New Roman" w:eastAsia="Times New Roman" w:hAnsi="Times New Roman"/>
                  <w:sz w:val="18"/>
                  <w:szCs w:val="18"/>
                  <w:color w:val="0000EE"/>
                </w:rPr>
                <w:t>Investor Rights Agreement by and among FibroGen, Inc. and certain of</w:t>
              </w:r>
            </w:hyperlink>
          </w:p>
        </w:tc>
      </w:tr>
      <w:tr>
        <w:trPr>
          <w:trHeight w:val="196"/>
        </w:trPr>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140" w:type="dxa"/>
            <w:vAlign w:val="bottom"/>
            <w:tcBorders>
              <w:top w:val="single" w:sz="8" w:color="0000EE"/>
            </w:tcBorders>
            <w:gridSpan w:val="21"/>
          </w:tcPr>
          <w:p>
            <w:pPr>
              <w:spacing w:after="0" w:line="196" w:lineRule="exact"/>
              <w:rPr>
                <w:rFonts w:ascii="Times New Roman" w:cs="Times New Roman" w:eastAsia="Times New Roman" w:hAnsi="Times New Roman"/>
                <w:sz w:val="18"/>
                <w:szCs w:val="18"/>
                <w:color w:val="0000EE"/>
              </w:rPr>
            </w:pPr>
            <w:hyperlink r:id="rId109">
              <w:r>
                <w:rPr>
                  <w:rFonts w:ascii="Times New Roman" w:cs="Times New Roman" w:eastAsia="Times New Roman" w:hAnsi="Times New Roman"/>
                  <w:sz w:val="18"/>
                  <w:szCs w:val="18"/>
                  <w:color w:val="0000EE"/>
                </w:rPr>
                <w:t>its stockholders, dated as of December 1995.</w:t>
              </w:r>
            </w:hyperlink>
          </w:p>
        </w:tc>
        <w:tc>
          <w:tcPr>
            <w:tcW w:w="80" w:type="dxa"/>
            <w:vAlign w:val="bottom"/>
            <w:gridSpan w:val="2"/>
          </w:tcPr>
          <w:p>
            <w:pPr>
              <w:spacing w:after="0"/>
              <w:rPr>
                <w:sz w:val="17"/>
                <w:szCs w:val="17"/>
                <w:color w:val="auto"/>
              </w:rPr>
            </w:pPr>
          </w:p>
        </w:tc>
      </w:tr>
      <w:tr>
        <w:trPr>
          <w:trHeight w:val="20"/>
        </w:trPr>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2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45"/>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tcPr>
          <w:p>
            <w:pPr>
              <w:spacing w:after="0"/>
              <w:rPr>
                <w:sz w:val="24"/>
                <w:szCs w:val="24"/>
                <w:color w:val="auto"/>
              </w:rPr>
            </w:pPr>
          </w:p>
        </w:tc>
        <w:tc>
          <w:tcPr>
            <w:tcW w:w="5220" w:type="dxa"/>
            <w:vAlign w:val="bottom"/>
            <w:gridSpan w:val="23"/>
          </w:tcPr>
          <w:p>
            <w:pPr>
              <w:spacing w:after="0"/>
              <w:rPr>
                <w:rFonts w:ascii="Times New Roman" w:cs="Times New Roman" w:eastAsia="Times New Roman" w:hAnsi="Times New Roman"/>
                <w:sz w:val="18"/>
                <w:szCs w:val="18"/>
                <w:color w:val="0000EE"/>
              </w:rPr>
            </w:pPr>
            <w:hyperlink r:id="rId110">
              <w:r>
                <w:rPr>
                  <w:rFonts w:ascii="Times New Roman" w:cs="Times New Roman" w:eastAsia="Times New Roman" w:hAnsi="Times New Roman"/>
                  <w:sz w:val="18"/>
                  <w:szCs w:val="18"/>
                  <w:color w:val="0000EE"/>
                </w:rPr>
                <w:t>Investor Rights Agreement by and among FibroGen, Inc. and certain of</w:t>
              </w:r>
            </w:hyperlink>
          </w:p>
        </w:tc>
      </w:tr>
      <w:tr>
        <w:trPr>
          <w:trHeight w:val="196"/>
        </w:trPr>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540" w:type="dxa"/>
            <w:vAlign w:val="bottom"/>
            <w:tcBorders>
              <w:top w:val="single" w:sz="8" w:color="0000EE"/>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110">
              <w:r>
                <w:rPr>
                  <w:rFonts w:ascii="Times New Roman" w:cs="Times New Roman" w:eastAsia="Times New Roman" w:hAnsi="Times New Roman"/>
                  <w:sz w:val="18"/>
                  <w:szCs w:val="18"/>
                  <w:color w:val="0000EE"/>
                  <w:w w:val="99"/>
                </w:rPr>
                <w:t>its warrant holders, dated as of February 8, 2000.</w:t>
              </w:r>
            </w:hyperlink>
          </w:p>
        </w:tc>
        <w:tc>
          <w:tcPr>
            <w:tcW w:w="1600" w:type="dxa"/>
            <w:vAlign w:val="bottom"/>
            <w:tcBorders>
              <w:top w:val="single" w:sz="8" w:color="0000EE"/>
            </w:tcBorders>
            <w:gridSpan w:val="14"/>
          </w:tcPr>
          <w:p>
            <w:pPr>
              <w:spacing w:after="0"/>
              <w:rPr>
                <w:sz w:val="17"/>
                <w:szCs w:val="17"/>
                <w:color w:val="auto"/>
              </w:rPr>
            </w:pPr>
          </w:p>
        </w:tc>
        <w:tc>
          <w:tcPr>
            <w:tcW w:w="80" w:type="dxa"/>
            <w:vAlign w:val="bottom"/>
            <w:gridSpan w:val="2"/>
          </w:tcPr>
          <w:p>
            <w:pPr>
              <w:spacing w:after="0"/>
              <w:rPr>
                <w:sz w:val="17"/>
                <w:szCs w:val="17"/>
                <w:color w:val="auto"/>
              </w:rPr>
            </w:pPr>
          </w:p>
        </w:tc>
      </w:tr>
      <w:tr>
        <w:trPr>
          <w:trHeight w:val="345"/>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tcPr>
          <w:p>
            <w:pPr>
              <w:spacing w:after="0"/>
              <w:rPr>
                <w:sz w:val="24"/>
                <w:szCs w:val="24"/>
                <w:color w:val="auto"/>
              </w:rPr>
            </w:pPr>
          </w:p>
        </w:tc>
        <w:tc>
          <w:tcPr>
            <w:tcW w:w="5180" w:type="dxa"/>
            <w:vAlign w:val="bottom"/>
            <w:tcBorders>
              <w:bottom w:val="single" w:sz="8" w:color="0000EE"/>
            </w:tcBorders>
            <w:gridSpan w:val="22"/>
          </w:tcPr>
          <w:p>
            <w:pPr>
              <w:spacing w:after="0"/>
              <w:rPr>
                <w:rFonts w:ascii="Times New Roman" w:cs="Times New Roman" w:eastAsia="Times New Roman" w:hAnsi="Times New Roman"/>
                <w:sz w:val="18"/>
                <w:szCs w:val="18"/>
                <w:color w:val="0000EE"/>
                <w:w w:val="99"/>
              </w:rPr>
            </w:pPr>
            <w:hyperlink r:id="rId111">
              <w:r>
                <w:rPr>
                  <w:rFonts w:ascii="Times New Roman" w:cs="Times New Roman" w:eastAsia="Times New Roman" w:hAnsi="Times New Roman"/>
                  <w:sz w:val="18"/>
                  <w:szCs w:val="18"/>
                  <w:color w:val="0000EE"/>
                  <w:w w:val="99"/>
                </w:rPr>
                <w:t>Warrant to Purchase 11,076 Shares of Common Stock issued to Bristow</w:t>
              </w:r>
            </w:hyperlink>
          </w:p>
        </w:tc>
        <w:tc>
          <w:tcPr>
            <w:tcW w:w="40" w:type="dxa"/>
            <w:vAlign w:val="bottom"/>
          </w:tcPr>
          <w:p>
            <w:pPr>
              <w:spacing w:after="0"/>
              <w:rPr>
                <w:sz w:val="24"/>
                <w:szCs w:val="24"/>
                <w:color w:val="auto"/>
              </w:rPr>
            </w:pPr>
          </w:p>
        </w:tc>
      </w:tr>
      <w:tr>
        <w:trPr>
          <w:trHeight w:val="196"/>
        </w:trPr>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20" w:type="dxa"/>
            <w:vAlign w:val="bottom"/>
            <w:gridSpan w:val="23"/>
          </w:tcPr>
          <w:p>
            <w:pPr>
              <w:spacing w:after="0" w:line="196" w:lineRule="exact"/>
              <w:rPr>
                <w:rFonts w:ascii="Times New Roman" w:cs="Times New Roman" w:eastAsia="Times New Roman" w:hAnsi="Times New Roman"/>
                <w:sz w:val="18"/>
                <w:szCs w:val="18"/>
                <w:color w:val="0000EE"/>
              </w:rPr>
            </w:pPr>
            <w:hyperlink r:id="rId111">
              <w:r>
                <w:rPr>
                  <w:rFonts w:ascii="Times New Roman" w:cs="Times New Roman" w:eastAsia="Times New Roman" w:hAnsi="Times New Roman"/>
                  <w:sz w:val="18"/>
                  <w:szCs w:val="18"/>
                  <w:color w:val="0000EE"/>
                </w:rPr>
                <w:t>Investments, L.P, dated as of February 8, 2000.</w:t>
              </w:r>
            </w:hyperlink>
          </w:p>
        </w:tc>
      </w:tr>
      <w:tr>
        <w:trPr>
          <w:trHeight w:val="20"/>
        </w:trPr>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980" w:type="dxa"/>
            <w:vAlign w:val="bottom"/>
            <w:gridSpan w:val="3"/>
            <w:shd w:val="clear" w:color="auto" w:fill="0000EE"/>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r>
      <w:tr>
        <w:trPr>
          <w:trHeight w:val="345"/>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tcPr>
          <w:p>
            <w:pPr>
              <w:spacing w:after="0"/>
              <w:rPr>
                <w:sz w:val="24"/>
                <w:szCs w:val="24"/>
                <w:color w:val="auto"/>
              </w:rPr>
            </w:pPr>
          </w:p>
        </w:tc>
        <w:tc>
          <w:tcPr>
            <w:tcW w:w="494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w w:val="99"/>
              </w:rPr>
            </w:pPr>
            <w:hyperlink r:id="rId112">
              <w:r>
                <w:rPr>
                  <w:rFonts w:ascii="Times New Roman" w:cs="Times New Roman" w:eastAsia="Times New Roman" w:hAnsi="Times New Roman"/>
                  <w:sz w:val="18"/>
                  <w:szCs w:val="18"/>
                  <w:color w:val="0000EE"/>
                  <w:w w:val="99"/>
                </w:rPr>
                <w:t>Common Stock Purchase Agreement by and between FibroGen, Inc.</w:t>
              </w:r>
            </w:hyperlink>
          </w:p>
        </w:tc>
        <w:tc>
          <w:tcPr>
            <w:tcW w:w="280" w:type="dxa"/>
            <w:vAlign w:val="bottom"/>
            <w:gridSpan w:val="8"/>
          </w:tcPr>
          <w:p>
            <w:pPr>
              <w:spacing w:after="0"/>
              <w:rPr>
                <w:sz w:val="24"/>
                <w:szCs w:val="24"/>
                <w:color w:val="auto"/>
              </w:rPr>
            </w:pPr>
          </w:p>
        </w:tc>
      </w:tr>
      <w:tr>
        <w:trPr>
          <w:trHeight w:val="196"/>
        </w:trPr>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20" w:type="dxa"/>
            <w:vAlign w:val="bottom"/>
            <w:gridSpan w:val="23"/>
          </w:tcPr>
          <w:p>
            <w:pPr>
              <w:spacing w:after="0" w:line="196" w:lineRule="exact"/>
              <w:rPr>
                <w:rFonts w:ascii="Times New Roman" w:cs="Times New Roman" w:eastAsia="Times New Roman" w:hAnsi="Times New Roman"/>
                <w:sz w:val="18"/>
                <w:szCs w:val="18"/>
                <w:color w:val="0000EE"/>
              </w:rPr>
            </w:pPr>
            <w:hyperlink r:id="rId112">
              <w:r>
                <w:rPr>
                  <w:rFonts w:ascii="Times New Roman" w:cs="Times New Roman" w:eastAsia="Times New Roman" w:hAnsi="Times New Roman"/>
                  <w:sz w:val="18"/>
                  <w:szCs w:val="18"/>
                  <w:color w:val="0000EE"/>
                </w:rPr>
                <w:t>and AstraZeneca AB, dated as of October 20, 2014.</w:t>
              </w:r>
            </w:hyperlink>
          </w:p>
        </w:tc>
      </w:tr>
      <w:tr>
        <w:trPr>
          <w:trHeight w:val="20"/>
        </w:trPr>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320" w:type="dxa"/>
            <w:vAlign w:val="bottom"/>
            <w:gridSpan w:val="6"/>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r>
      <w:tr>
        <w:trPr>
          <w:trHeight w:val="345"/>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tcPr>
          <w:p>
            <w:pPr>
              <w:spacing w:after="0"/>
              <w:rPr>
                <w:sz w:val="24"/>
                <w:szCs w:val="24"/>
                <w:color w:val="auto"/>
              </w:rPr>
            </w:pPr>
          </w:p>
        </w:tc>
        <w:tc>
          <w:tcPr>
            <w:tcW w:w="5220" w:type="dxa"/>
            <w:vAlign w:val="bottom"/>
            <w:gridSpan w:val="23"/>
          </w:tcPr>
          <w:p>
            <w:pPr>
              <w:spacing w:after="0"/>
              <w:rPr>
                <w:rFonts w:ascii="Times New Roman" w:cs="Times New Roman" w:eastAsia="Times New Roman" w:hAnsi="Times New Roman"/>
                <w:sz w:val="18"/>
                <w:szCs w:val="18"/>
                <w:color w:val="0000EE"/>
              </w:rPr>
            </w:pPr>
            <w:hyperlink r:id="rId113">
              <w:r>
                <w:rPr>
                  <w:rFonts w:ascii="Times New Roman" w:cs="Times New Roman" w:eastAsia="Times New Roman" w:hAnsi="Times New Roman"/>
                  <w:sz w:val="18"/>
                  <w:szCs w:val="18"/>
                  <w:color w:val="0000EE"/>
                </w:rPr>
                <w:t>Shareholders’ Agreement by and among FibroGen International</w:t>
              </w:r>
            </w:hyperlink>
          </w:p>
        </w:tc>
      </w:tr>
      <w:tr>
        <w:trPr>
          <w:trHeight w:val="196"/>
        </w:trPr>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0" w:type="dxa"/>
            <w:vAlign w:val="bottom"/>
            <w:tcBorders>
              <w:top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113">
              <w:r>
                <w:rPr>
                  <w:rFonts w:ascii="Times New Roman" w:cs="Times New Roman" w:eastAsia="Times New Roman" w:hAnsi="Times New Roman"/>
                  <w:sz w:val="18"/>
                  <w:szCs w:val="18"/>
                  <w:color w:val="0000EE"/>
                </w:rPr>
                <w:t>(Cayman) Limited and certain of its shareholders, dated as of</w:t>
              </w:r>
            </w:hyperlink>
          </w:p>
        </w:tc>
        <w:tc>
          <w:tcPr>
            <w:tcW w:w="620" w:type="dxa"/>
            <w:vAlign w:val="bottom"/>
            <w:gridSpan w:val="11"/>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Borders>
              <w:top w:val="single" w:sz="8" w:color="0000EE"/>
              <w:bottom w:val="single" w:sz="8" w:color="0000EE"/>
            </w:tcBorders>
            <w:gridSpan w:val="3"/>
          </w:tcPr>
          <w:p>
            <w:pPr>
              <w:spacing w:after="0" w:line="196" w:lineRule="exact"/>
              <w:rPr>
                <w:rFonts w:ascii="Times New Roman" w:cs="Times New Roman" w:eastAsia="Times New Roman" w:hAnsi="Times New Roman"/>
                <w:sz w:val="18"/>
                <w:szCs w:val="18"/>
                <w:color w:val="0000EE"/>
                <w:w w:val="98"/>
              </w:rPr>
            </w:pPr>
            <w:hyperlink r:id="rId113">
              <w:r>
                <w:rPr>
                  <w:rFonts w:ascii="Times New Roman" w:cs="Times New Roman" w:eastAsia="Times New Roman" w:hAnsi="Times New Roman"/>
                  <w:sz w:val="18"/>
                  <w:szCs w:val="18"/>
                  <w:color w:val="0000EE"/>
                  <w:w w:val="98"/>
                </w:rPr>
                <w:t>September 8, 2017.</w:t>
              </w:r>
            </w:hyperlink>
          </w:p>
        </w:tc>
        <w:tc>
          <w:tcPr>
            <w:tcW w:w="3000" w:type="dxa"/>
            <w:vAlign w:val="bottom"/>
            <w:tcBorders>
              <w:top w:val="single" w:sz="8" w:color="0000EE"/>
            </w:tcBorders>
            <w:gridSpan w:val="8"/>
          </w:tcPr>
          <w:p>
            <w:pPr>
              <w:spacing w:after="0"/>
              <w:rPr>
                <w:sz w:val="17"/>
                <w:szCs w:val="17"/>
                <w:color w:val="auto"/>
              </w:rPr>
            </w:pPr>
          </w:p>
        </w:tc>
        <w:tc>
          <w:tcPr>
            <w:tcW w:w="820" w:type="dxa"/>
            <w:vAlign w:val="bottom"/>
            <w:gridSpan w:val="12"/>
          </w:tcPr>
          <w:p>
            <w:pPr>
              <w:spacing w:after="0"/>
              <w:rPr>
                <w:sz w:val="17"/>
                <w:szCs w:val="17"/>
                <w:color w:val="auto"/>
              </w:rPr>
            </w:pPr>
          </w:p>
        </w:tc>
      </w:tr>
      <w:tr>
        <w:trPr>
          <w:trHeight w:val="345"/>
        </w:trPr>
        <w:tc>
          <w:tcPr>
            <w:tcW w:w="1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10.26(xxxvi)*†</w:t>
            </w:r>
          </w:p>
        </w:tc>
        <w:tc>
          <w:tcPr>
            <w:tcW w:w="496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w w:val="99"/>
              </w:rPr>
            </w:pPr>
            <w:hyperlink w:anchor="page82">
              <w:r>
                <w:rPr>
                  <w:rFonts w:ascii="Times New Roman" w:cs="Times New Roman" w:eastAsia="Times New Roman" w:hAnsi="Times New Roman"/>
                  <w:sz w:val="18"/>
                  <w:szCs w:val="18"/>
                  <w:color w:val="0000EE"/>
                  <w:w w:val="99"/>
                </w:rPr>
                <w:t>Amendment No. 33 to the Process Development and Clinical Supply</w:t>
              </w:r>
            </w:hyperlink>
          </w:p>
        </w:tc>
        <w:tc>
          <w:tcPr>
            <w:tcW w:w="260" w:type="dxa"/>
            <w:vAlign w:val="bottom"/>
            <w:gridSpan w:val="7"/>
          </w:tcPr>
          <w:p>
            <w:pPr>
              <w:spacing w:after="0"/>
              <w:rPr>
                <w:sz w:val="24"/>
                <w:szCs w:val="24"/>
                <w:color w:val="auto"/>
              </w:rPr>
            </w:pPr>
          </w:p>
        </w:tc>
      </w:tr>
      <w:tr>
        <w:trPr>
          <w:trHeight w:val="196"/>
        </w:trPr>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6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w w:val="99"/>
              </w:rPr>
            </w:pPr>
            <w:hyperlink w:anchor="page82">
              <w:r>
                <w:rPr>
                  <w:rFonts w:ascii="Times New Roman" w:cs="Times New Roman" w:eastAsia="Times New Roman" w:hAnsi="Times New Roman"/>
                  <w:sz w:val="18"/>
                  <w:szCs w:val="18"/>
                  <w:color w:val="0000EE"/>
                  <w:w w:val="99"/>
                </w:rPr>
                <w:t>Agreement, by and between FibroGen, Inc. and Boehringer Ingelheim</w:t>
              </w:r>
            </w:hyperlink>
          </w:p>
        </w:tc>
        <w:tc>
          <w:tcPr>
            <w:tcW w:w="160" w:type="dxa"/>
            <w:vAlign w:val="bottom"/>
            <w:gridSpan w:val="4"/>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20" w:type="dxa"/>
            <w:vAlign w:val="bottom"/>
            <w:gridSpan w:val="23"/>
          </w:tcPr>
          <w:p>
            <w:pPr>
              <w:spacing w:after="0" w:line="196" w:lineRule="exact"/>
              <w:rPr>
                <w:rFonts w:ascii="Times New Roman" w:cs="Times New Roman" w:eastAsia="Times New Roman" w:hAnsi="Times New Roman"/>
                <w:sz w:val="18"/>
                <w:szCs w:val="18"/>
                <w:color w:val="0000EE"/>
              </w:rPr>
            </w:pPr>
            <w:hyperlink w:anchor="page82">
              <w:r>
                <w:rPr>
                  <w:rFonts w:ascii="Times New Roman" w:cs="Times New Roman" w:eastAsia="Times New Roman" w:hAnsi="Times New Roman"/>
                  <w:sz w:val="18"/>
                  <w:szCs w:val="18"/>
                  <w:color w:val="0000EE"/>
                </w:rPr>
                <w:t>Biopharmaceuticals GmbH, effective as of January 4, 2019</w:t>
              </w:r>
            </w:hyperlink>
          </w:p>
        </w:tc>
      </w:tr>
      <w:tr>
        <w:trPr>
          <w:trHeight w:val="20"/>
        </w:trPr>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920" w:type="dxa"/>
            <w:vAlign w:val="bottom"/>
            <w:gridSpan w:val="8"/>
            <w:shd w:val="clear" w:color="auto" w:fill="0000EE"/>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r>
      <w:tr>
        <w:trPr>
          <w:trHeight w:val="480"/>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120" w:type="dxa"/>
            <w:vAlign w:val="bottom"/>
          </w:tcPr>
          <w:p>
            <w:pPr>
              <w:spacing w:after="0"/>
              <w:rPr>
                <w:sz w:val="24"/>
                <w:szCs w:val="24"/>
                <w:color w:val="auto"/>
              </w:rPr>
            </w:pPr>
          </w:p>
        </w:tc>
        <w:tc>
          <w:tcPr>
            <w:tcW w:w="5220" w:type="dxa"/>
            <w:vAlign w:val="bottom"/>
            <w:gridSpan w:val="23"/>
          </w:tcPr>
          <w:p>
            <w:pPr>
              <w:spacing w:after="0"/>
              <w:rPr>
                <w:rFonts w:ascii="Times New Roman" w:cs="Times New Roman" w:eastAsia="Times New Roman" w:hAnsi="Times New Roman"/>
                <w:sz w:val="18"/>
                <w:szCs w:val="18"/>
                <w:color w:val="0000EE"/>
              </w:rPr>
            </w:pPr>
            <w:hyperlink w:anchor="page85">
              <w:r>
                <w:rPr>
                  <w:rFonts w:ascii="Times New Roman" w:cs="Times New Roman" w:eastAsia="Times New Roman" w:hAnsi="Times New Roman"/>
                  <w:sz w:val="18"/>
                  <w:szCs w:val="18"/>
                  <w:color w:val="0000EE"/>
                </w:rPr>
                <w:t>Certification of Chief Executive Officer, as required by Rule 13a-14(a)</w:t>
              </w:r>
            </w:hyperlink>
          </w:p>
        </w:tc>
      </w:tr>
      <w:tr>
        <w:trPr>
          <w:trHeight w:val="196"/>
        </w:trPr>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8"/>
              </w:rPr>
            </w:pPr>
            <w:hyperlink w:anchor="page85">
              <w:r>
                <w:rPr>
                  <w:rFonts w:ascii="Times New Roman" w:cs="Times New Roman" w:eastAsia="Times New Roman" w:hAnsi="Times New Roman"/>
                  <w:sz w:val="18"/>
                  <w:szCs w:val="18"/>
                  <w:color w:val="0000EE"/>
                  <w:w w:val="98"/>
                </w:rPr>
                <w:t>or Rule 15d-14(a).</w:t>
              </w:r>
            </w:hyperlink>
          </w:p>
        </w:tc>
        <w:tc>
          <w:tcPr>
            <w:tcW w:w="3760" w:type="dxa"/>
            <w:vAlign w:val="bottom"/>
            <w:tcBorders>
              <w:top w:val="single" w:sz="8" w:color="0000EE"/>
            </w:tcBorders>
            <w:gridSpan w:val="18"/>
          </w:tcPr>
          <w:p>
            <w:pPr>
              <w:spacing w:after="0"/>
              <w:rPr>
                <w:sz w:val="17"/>
                <w:szCs w:val="17"/>
                <w:color w:val="auto"/>
              </w:rPr>
            </w:pPr>
          </w:p>
        </w:tc>
        <w:tc>
          <w:tcPr>
            <w:tcW w:w="120" w:type="dxa"/>
            <w:vAlign w:val="bottom"/>
            <w:gridSpan w:val="3"/>
          </w:tcPr>
          <w:p>
            <w:pPr>
              <w:spacing w:after="0"/>
              <w:rPr>
                <w:sz w:val="17"/>
                <w:szCs w:val="17"/>
                <w:color w:val="auto"/>
              </w:rPr>
            </w:pPr>
          </w:p>
        </w:tc>
      </w:tr>
      <w:tr>
        <w:trPr>
          <w:trHeight w:val="345"/>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120" w:type="dxa"/>
            <w:vAlign w:val="bottom"/>
          </w:tcPr>
          <w:p>
            <w:pPr>
              <w:spacing w:after="0"/>
              <w:rPr>
                <w:sz w:val="24"/>
                <w:szCs w:val="24"/>
                <w:color w:val="auto"/>
              </w:rPr>
            </w:pPr>
          </w:p>
        </w:tc>
        <w:tc>
          <w:tcPr>
            <w:tcW w:w="5060" w:type="dxa"/>
            <w:vAlign w:val="bottom"/>
            <w:tcBorders>
              <w:bottom w:val="single" w:sz="8" w:color="0000EE"/>
            </w:tcBorders>
            <w:gridSpan w:val="19"/>
          </w:tcPr>
          <w:p>
            <w:pPr>
              <w:spacing w:after="0"/>
              <w:rPr>
                <w:rFonts w:ascii="Times New Roman" w:cs="Times New Roman" w:eastAsia="Times New Roman" w:hAnsi="Times New Roman"/>
                <w:sz w:val="18"/>
                <w:szCs w:val="18"/>
                <w:color w:val="0000EE"/>
                <w:w w:val="99"/>
              </w:rPr>
            </w:pPr>
            <w:hyperlink w:anchor="page86">
              <w:r>
                <w:rPr>
                  <w:rFonts w:ascii="Times New Roman" w:cs="Times New Roman" w:eastAsia="Times New Roman" w:hAnsi="Times New Roman"/>
                  <w:sz w:val="18"/>
                  <w:szCs w:val="18"/>
                  <w:color w:val="0000EE"/>
                  <w:w w:val="99"/>
                </w:rPr>
                <w:t>Certification of Chief Financial Officer, as required by Rule 13a-14(a)</w:t>
              </w:r>
            </w:hyperlink>
          </w:p>
        </w:tc>
        <w:tc>
          <w:tcPr>
            <w:tcW w:w="160" w:type="dxa"/>
            <w:vAlign w:val="bottom"/>
            <w:gridSpan w:val="4"/>
          </w:tcPr>
          <w:p>
            <w:pPr>
              <w:spacing w:after="0"/>
              <w:rPr>
                <w:sz w:val="24"/>
                <w:szCs w:val="24"/>
                <w:color w:val="auto"/>
              </w:rPr>
            </w:pPr>
          </w:p>
        </w:tc>
      </w:tr>
      <w:tr>
        <w:trPr>
          <w:trHeight w:val="196"/>
        </w:trPr>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8"/>
              </w:rPr>
            </w:pPr>
            <w:hyperlink w:anchor="page86">
              <w:r>
                <w:rPr>
                  <w:rFonts w:ascii="Times New Roman" w:cs="Times New Roman" w:eastAsia="Times New Roman" w:hAnsi="Times New Roman"/>
                  <w:sz w:val="18"/>
                  <w:szCs w:val="18"/>
                  <w:color w:val="0000EE"/>
                  <w:w w:val="98"/>
                </w:rPr>
                <w:t>or Rule 15d-14(a).</w:t>
              </w:r>
            </w:hyperlink>
          </w:p>
        </w:tc>
        <w:tc>
          <w:tcPr>
            <w:tcW w:w="3880" w:type="dxa"/>
            <w:vAlign w:val="bottom"/>
            <w:gridSpan w:val="21"/>
          </w:tcPr>
          <w:p>
            <w:pPr>
              <w:spacing w:after="0"/>
              <w:rPr>
                <w:sz w:val="17"/>
                <w:szCs w:val="17"/>
                <w:color w:val="auto"/>
              </w:rPr>
            </w:pPr>
          </w:p>
        </w:tc>
      </w:tr>
      <w:tr>
        <w:trPr>
          <w:trHeight w:val="345"/>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120" w:type="dxa"/>
            <w:vAlign w:val="bottom"/>
          </w:tcPr>
          <w:p>
            <w:pPr>
              <w:spacing w:after="0"/>
              <w:rPr>
                <w:sz w:val="24"/>
                <w:szCs w:val="24"/>
                <w:color w:val="auto"/>
              </w:rPr>
            </w:pPr>
          </w:p>
        </w:tc>
        <w:tc>
          <w:tcPr>
            <w:tcW w:w="5220" w:type="dxa"/>
            <w:vAlign w:val="bottom"/>
            <w:gridSpan w:val="23"/>
          </w:tcPr>
          <w:p>
            <w:pPr>
              <w:spacing w:after="0"/>
              <w:rPr>
                <w:rFonts w:ascii="Times New Roman" w:cs="Times New Roman" w:eastAsia="Times New Roman" w:hAnsi="Times New Roman"/>
                <w:sz w:val="18"/>
                <w:szCs w:val="18"/>
                <w:color w:val="0000EE"/>
              </w:rPr>
            </w:pPr>
            <w:hyperlink w:anchor="page87">
              <w:r>
                <w:rPr>
                  <w:rFonts w:ascii="Times New Roman" w:cs="Times New Roman" w:eastAsia="Times New Roman" w:hAnsi="Times New Roman"/>
                  <w:sz w:val="18"/>
                  <w:szCs w:val="18"/>
                  <w:color w:val="0000EE"/>
                </w:rPr>
                <w:t>Certification of Principal Executive Officer and Principal Financial</w:t>
              </w:r>
            </w:hyperlink>
          </w:p>
        </w:tc>
      </w:tr>
      <w:tr>
        <w:trPr>
          <w:trHeight w:val="20"/>
        </w:trPr>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4020" w:type="dxa"/>
            <w:vAlign w:val="bottom"/>
            <w:gridSpan w:val="1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r>
      <w:tr>
        <w:trPr>
          <w:trHeight w:val="196"/>
        </w:trPr>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w w:val="99"/>
              </w:rPr>
            </w:pPr>
            <w:hyperlink w:anchor="page87">
              <w:r>
                <w:rPr>
                  <w:rFonts w:ascii="Times New Roman" w:cs="Times New Roman" w:eastAsia="Times New Roman" w:hAnsi="Times New Roman"/>
                  <w:sz w:val="18"/>
                  <w:szCs w:val="18"/>
                  <w:color w:val="0000EE"/>
                  <w:w w:val="99"/>
                </w:rPr>
                <w:t>Officer, as required by Rule 13a-14(b) or Rule 15d-14(b) and Section</w:t>
              </w:r>
            </w:hyperlink>
          </w:p>
        </w:tc>
        <w:tc>
          <w:tcPr>
            <w:tcW w:w="220" w:type="dxa"/>
            <w:vAlign w:val="bottom"/>
            <w:gridSpan w:val="5"/>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20" w:type="dxa"/>
            <w:vAlign w:val="bottom"/>
            <w:gridSpan w:val="23"/>
          </w:tcPr>
          <w:p>
            <w:pPr>
              <w:spacing w:after="0" w:line="196" w:lineRule="exact"/>
              <w:rPr>
                <w:rFonts w:ascii="Times New Roman" w:cs="Times New Roman" w:eastAsia="Times New Roman" w:hAnsi="Times New Roman"/>
                <w:sz w:val="18"/>
                <w:szCs w:val="18"/>
                <w:color w:val="0000EE"/>
              </w:rPr>
            </w:pPr>
            <w:hyperlink w:anchor="page87">
              <w:r>
                <w:rPr>
                  <w:rFonts w:ascii="Times New Roman" w:cs="Times New Roman" w:eastAsia="Times New Roman" w:hAnsi="Times New Roman"/>
                  <w:sz w:val="18"/>
                  <w:szCs w:val="18"/>
                  <w:color w:val="0000EE"/>
                </w:rPr>
                <w:t>1350 of Chapter 63 of Title 18 of the United States Code (18 U.S.C.</w:t>
              </w:r>
            </w:hyperlink>
          </w:p>
        </w:tc>
      </w:tr>
      <w:tr>
        <w:trPr>
          <w:trHeight w:val="196"/>
        </w:trPr>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6"/>
              </w:rPr>
            </w:pPr>
            <w:hyperlink w:anchor="page87">
              <w:r>
                <w:rPr>
                  <w:rFonts w:ascii="Times New Roman" w:cs="Times New Roman" w:eastAsia="Times New Roman" w:hAnsi="Times New Roman"/>
                  <w:sz w:val="18"/>
                  <w:szCs w:val="18"/>
                  <w:color w:val="0000EE"/>
                  <w:w w:val="96"/>
                </w:rPr>
                <w:t>§1350)(1)).</w:t>
              </w:r>
            </w:hyperlink>
          </w:p>
        </w:tc>
        <w:tc>
          <w:tcPr>
            <w:tcW w:w="5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200" w:type="dxa"/>
            <w:vAlign w:val="bottom"/>
            <w:tcBorders>
              <w:top w:val="single" w:sz="8" w:color="0000EE"/>
            </w:tcBorders>
          </w:tcPr>
          <w:p>
            <w:pPr>
              <w:spacing w:after="0"/>
              <w:rPr>
                <w:sz w:val="17"/>
                <w:szCs w:val="17"/>
                <w:color w:val="auto"/>
              </w:rPr>
            </w:pPr>
          </w:p>
        </w:tc>
        <w:tc>
          <w:tcPr>
            <w:tcW w:w="6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367"/>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24"/>
                <w:szCs w:val="24"/>
                <w:color w:val="auto"/>
              </w:rPr>
            </w:pPr>
          </w:p>
        </w:tc>
        <w:tc>
          <w:tcPr>
            <w:tcW w:w="522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Financial statements from the quarterly report on Form 10-Q of the</w:t>
            </w:r>
          </w:p>
        </w:tc>
      </w:tr>
      <w:tr>
        <w:trPr>
          <w:trHeight w:val="234"/>
        </w:trPr>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2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Company for the quarter ended March 31, 2019, formatted in XBRL:</w:t>
            </w:r>
          </w:p>
        </w:tc>
      </w:tr>
    </w:tbl>
    <w:p>
      <w:pPr>
        <w:ind w:left="1480" w:right="300"/>
        <w:spacing w:after="0" w:line="253" w:lineRule="auto"/>
        <w:tabs>
          <w:tab w:leader="none" w:pos="1695"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Condensed Consolidated Balance Sheets, (ii) the Condensed Consolidated Statements of Operations (iii) the Condensed Consolidated Statement of Comprehensive Loss, (iv) the Condensed Consolidated Statements of Cash Flows and (v) the Notes to the Condensed Consolidated Financial Statements.</w:t>
      </w:r>
    </w:p>
    <w:p>
      <w:pPr>
        <w:spacing w:after="0" w:line="11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7"/>
          <w:szCs w:val="17"/>
          <w:color w:val="auto"/>
        </w:rPr>
        <w:t>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68580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4">
                      <a:extLst>
                        <a:ext uri="{28A0092B-C50C-407E-A947-70E740481C1C}"/>
                      </a:extLst>
                    </a:blip>
                    <a:srcRect/>
                    <a:stretch>
                      <a:fillRect/>
                    </a:stretch>
                  </pic:blipFill>
                  <pic:spPr bwMode="auto">
                    <a:xfrm>
                      <a:off x="0" y="0"/>
                      <a:ext cx="685800" cy="8890"/>
                    </a:xfrm>
                    <a:prstGeom prst="rect">
                      <a:avLst/>
                    </a:prstGeom>
                    <a:noFill/>
                  </pic:spPr>
                </pic:pic>
              </a:graphicData>
            </a:graphic>
          </wp:anchor>
        </w:drawing>
      </w:r>
    </w:p>
    <w:p>
      <w:pPr>
        <w:spacing w:after="0" w:line="7" w:lineRule="exact"/>
        <w:rPr>
          <w:sz w:val="20"/>
          <w:szCs w:val="20"/>
          <w:color w:val="auto"/>
        </w:rPr>
      </w:pPr>
    </w:p>
    <w:p>
      <w:pPr>
        <w:ind w:left="520" w:hanging="512"/>
        <w:spacing w:after="0"/>
        <w:tabs>
          <w:tab w:leader="none" w:pos="5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Confidential treatment requested</w:t>
      </w:r>
    </w:p>
    <w:p>
      <w:pPr>
        <w:spacing w:after="0" w:line="200" w:lineRule="exact"/>
        <w:rPr>
          <w:sz w:val="20"/>
          <w:szCs w:val="20"/>
          <w:color w:val="auto"/>
        </w:rPr>
      </w:pPr>
    </w:p>
    <w:p>
      <w:pPr>
        <w:spacing w:after="0" w:line="20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Incorporation By Reference</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1080" w:type="dxa"/>
            <w:vAlign w:val="bottom"/>
            <w:tcBorders>
              <w:top w:val="single" w:sz="8" w:color="auto"/>
              <w:bottom w:val="single" w:sz="8" w:color="auto"/>
            </w:tcBorders>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rPr>
              <w:t>Form</w:t>
            </w:r>
          </w:p>
        </w:tc>
        <w:tc>
          <w:tcPr>
            <w:tcW w:w="120" w:type="dxa"/>
            <w:vAlign w:val="bottom"/>
            <w:tcBorders>
              <w:top w:val="single" w:sz="8" w:color="auto"/>
            </w:tcBorders>
          </w:tcPr>
          <w:p>
            <w:pPr>
              <w:spacing w:after="0"/>
              <w:rPr>
                <w:sz w:val="13"/>
                <w:szCs w:val="13"/>
                <w:color w:val="auto"/>
              </w:rPr>
            </w:pPr>
          </w:p>
        </w:tc>
        <w:tc>
          <w:tcPr>
            <w:tcW w:w="1100" w:type="dxa"/>
            <w:vAlign w:val="bottom"/>
            <w:tcBorders>
              <w:top w:val="single" w:sz="8" w:color="auto"/>
              <w:bottom w:val="single" w:sz="8" w:color="auto"/>
            </w:tcBorders>
          </w:tcPr>
          <w:p>
            <w:pPr>
              <w:ind w:left="140"/>
              <w:spacing w:after="0" w:line="155" w:lineRule="exact"/>
              <w:rPr>
                <w:sz w:val="20"/>
                <w:szCs w:val="20"/>
                <w:color w:val="auto"/>
              </w:rPr>
            </w:pPr>
            <w:r>
              <w:rPr>
                <w:rFonts w:ascii="Times New Roman" w:cs="Times New Roman" w:eastAsia="Times New Roman" w:hAnsi="Times New Roman"/>
                <w:sz w:val="14"/>
                <w:szCs w:val="14"/>
                <w:b w:val="1"/>
                <w:bCs w:val="1"/>
                <w:color w:val="auto"/>
              </w:rPr>
              <w:t>SEC File No.</w:t>
            </w:r>
          </w:p>
        </w:tc>
        <w:tc>
          <w:tcPr>
            <w:tcW w:w="100" w:type="dxa"/>
            <w:vAlign w:val="bottom"/>
            <w:tcBorders>
              <w:top w:val="single" w:sz="8" w:color="auto"/>
            </w:tcBorders>
          </w:tcPr>
          <w:p>
            <w:pPr>
              <w:spacing w:after="0"/>
              <w:rPr>
                <w:sz w:val="13"/>
                <w:szCs w:val="13"/>
                <w:color w:val="auto"/>
              </w:rPr>
            </w:pPr>
          </w:p>
        </w:tc>
        <w:tc>
          <w:tcPr>
            <w:tcW w:w="1100" w:type="dxa"/>
            <w:vAlign w:val="bottom"/>
            <w:tcBorders>
              <w:top w:val="single" w:sz="8" w:color="auto"/>
              <w:bottom w:val="single" w:sz="8" w:color="auto"/>
            </w:tcBorders>
          </w:tcPr>
          <w:p>
            <w:pPr>
              <w:ind w:left="320"/>
              <w:spacing w:after="0" w:line="155" w:lineRule="exact"/>
              <w:rPr>
                <w:sz w:val="20"/>
                <w:szCs w:val="20"/>
                <w:color w:val="auto"/>
              </w:rPr>
            </w:pPr>
            <w:r>
              <w:rPr>
                <w:rFonts w:ascii="Times New Roman" w:cs="Times New Roman" w:eastAsia="Times New Roman" w:hAnsi="Times New Roman"/>
                <w:sz w:val="14"/>
                <w:szCs w:val="14"/>
                <w:b w:val="1"/>
                <w:bCs w:val="1"/>
                <w:color w:val="auto"/>
              </w:rPr>
              <w:t>Exhibit</w:t>
            </w:r>
          </w:p>
        </w:tc>
        <w:tc>
          <w:tcPr>
            <w:tcW w:w="100" w:type="dxa"/>
            <w:vAlign w:val="bottom"/>
            <w:tcBorders>
              <w:top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ind w:left="160"/>
              <w:spacing w:after="0" w:line="155" w:lineRule="exact"/>
              <w:rPr>
                <w:sz w:val="20"/>
                <w:szCs w:val="20"/>
                <w:color w:val="auto"/>
              </w:rPr>
            </w:pPr>
            <w:r>
              <w:rPr>
                <w:rFonts w:ascii="Times New Roman" w:cs="Times New Roman" w:eastAsia="Times New Roman" w:hAnsi="Times New Roman"/>
                <w:sz w:val="14"/>
                <w:szCs w:val="14"/>
                <w:b w:val="1"/>
                <w:bCs w:val="1"/>
                <w:color w:val="auto"/>
              </w:rPr>
              <w:t>Filing Date</w:t>
            </w:r>
          </w:p>
        </w:tc>
      </w:tr>
      <w:tr>
        <w:trPr>
          <w:trHeight w:val="358"/>
        </w:trPr>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8-K</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001-36740</w:t>
            </w:r>
          </w:p>
        </w:tc>
        <w:tc>
          <w:tcPr>
            <w:tcW w:w="1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11/21/2014</w:t>
            </w:r>
          </w:p>
        </w:tc>
      </w:tr>
      <w:tr>
        <w:trPr>
          <w:trHeight w:val="365"/>
        </w:trPr>
        <w:tc>
          <w:tcPr>
            <w:tcW w:w="12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7"/>
              </w:rPr>
              <w:t>S-1/A</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333-199069</w:t>
            </w:r>
          </w:p>
        </w:tc>
        <w:tc>
          <w:tcPr>
            <w:tcW w:w="1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10/23/2014</w:t>
            </w:r>
          </w:p>
        </w:tc>
      </w:tr>
      <w:tr>
        <w:trPr>
          <w:trHeight w:val="365"/>
        </w:trPr>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8-K</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001-36740</w:t>
            </w:r>
          </w:p>
        </w:tc>
        <w:tc>
          <w:tcPr>
            <w:tcW w:w="1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11/21/2014</w:t>
            </w:r>
          </w:p>
        </w:tc>
      </w:tr>
      <w:tr>
        <w:trPr>
          <w:trHeight w:val="365"/>
        </w:trPr>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5"/>
              </w:rPr>
              <w:t>S-1</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333-199069</w:t>
            </w:r>
          </w:p>
        </w:tc>
        <w:tc>
          <w:tcPr>
            <w:tcW w:w="1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10/01/2014</w:t>
            </w:r>
          </w:p>
        </w:tc>
      </w:tr>
      <w:tr>
        <w:trPr>
          <w:trHeight w:val="581"/>
        </w:trPr>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5"/>
              </w:rPr>
              <w:t>S-1</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333-199069</w:t>
            </w:r>
          </w:p>
        </w:tc>
        <w:tc>
          <w:tcPr>
            <w:tcW w:w="1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10/01/2014</w:t>
            </w:r>
          </w:p>
        </w:tc>
      </w:tr>
      <w:tr>
        <w:trPr>
          <w:trHeight w:val="581"/>
        </w:trPr>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5"/>
              </w:rPr>
              <w:t>S-1</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333-199069</w:t>
            </w:r>
          </w:p>
        </w:tc>
        <w:tc>
          <w:tcPr>
            <w:tcW w:w="1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4.12</w:t>
            </w:r>
          </w:p>
        </w:tc>
        <w:tc>
          <w:tcPr>
            <w:tcW w:w="1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10/01/2014</w:t>
            </w:r>
          </w:p>
        </w:tc>
      </w:tr>
      <w:tr>
        <w:trPr>
          <w:trHeight w:val="581"/>
        </w:trPr>
        <w:tc>
          <w:tcPr>
            <w:tcW w:w="12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7"/>
              </w:rPr>
              <w:t>S-1/A</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333-199069</w:t>
            </w:r>
          </w:p>
        </w:tc>
        <w:tc>
          <w:tcPr>
            <w:tcW w:w="1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4.17</w:t>
            </w:r>
          </w:p>
        </w:tc>
        <w:tc>
          <w:tcPr>
            <w:tcW w:w="1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10/24/2014</w:t>
            </w:r>
          </w:p>
        </w:tc>
      </w:tr>
      <w:tr>
        <w:trPr>
          <w:trHeight w:val="581"/>
        </w:trPr>
        <w:tc>
          <w:tcPr>
            <w:tcW w:w="12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10-Q</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001-36740</w:t>
            </w:r>
          </w:p>
        </w:tc>
        <w:tc>
          <w:tcPr>
            <w:tcW w:w="1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11/8/2017</w:t>
            </w:r>
          </w:p>
        </w:tc>
      </w:tr>
      <w:tr>
        <w:trPr>
          <w:trHeight w:val="797"/>
        </w:trPr>
        <w:tc>
          <w:tcPr>
            <w:tcW w:w="12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w:t>
            </w:r>
          </w:p>
        </w:tc>
        <w:tc>
          <w:tcPr>
            <w:tcW w:w="12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w:t>
            </w:r>
          </w:p>
        </w:tc>
        <w:tc>
          <w:tcPr>
            <w:tcW w:w="12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932"/>
        </w:trPr>
        <w:tc>
          <w:tcPr>
            <w:tcW w:w="12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w:t>
            </w:r>
          </w:p>
        </w:tc>
        <w:tc>
          <w:tcPr>
            <w:tcW w:w="12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w:t>
            </w:r>
          </w:p>
        </w:tc>
        <w:tc>
          <w:tcPr>
            <w:tcW w:w="12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581"/>
        </w:trPr>
        <w:tc>
          <w:tcPr>
            <w:tcW w:w="12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w:t>
            </w:r>
          </w:p>
        </w:tc>
        <w:tc>
          <w:tcPr>
            <w:tcW w:w="12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w:t>
            </w:r>
          </w:p>
        </w:tc>
        <w:tc>
          <w:tcPr>
            <w:tcW w:w="12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581"/>
        </w:trPr>
        <w:tc>
          <w:tcPr>
            <w:tcW w:w="12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w:t>
            </w:r>
          </w:p>
        </w:tc>
        <w:tc>
          <w:tcPr>
            <w:tcW w:w="12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w:t>
            </w:r>
          </w:p>
        </w:tc>
        <w:tc>
          <w:tcPr>
            <w:tcW w:w="12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1013"/>
        </w:trPr>
        <w:tc>
          <w:tcPr>
            <w:tcW w:w="12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w:t>
            </w:r>
          </w:p>
        </w:tc>
        <w:tc>
          <w:tcPr>
            <w:tcW w:w="12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w:t>
            </w:r>
          </w:p>
        </w:tc>
        <w:tc>
          <w:tcPr>
            <w:tcW w:w="12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bl>
    <w:p>
      <w:pPr>
        <w:sectPr>
          <w:pgSz w:w="11900" w:h="16838" w:orient="portrait"/>
          <w:cols w:equalWidth="0" w:num="2">
            <w:col w:w="6700" w:space="120"/>
            <w:col w:w="4600"/>
          </w:cols>
          <w:pgMar w:left="240" w:top="121" w:right="239" w:bottom="1440" w:gutter="0" w:footer="0" w:header="0"/>
        </w:sectPr>
      </w:pPr>
    </w:p>
    <w:bookmarkStart w:id="80" w:name="page81"/>
    <w:bookmarkEnd w:id="8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56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54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FibroGen, Inc.</w:t>
            </w:r>
          </w:p>
        </w:tc>
      </w:tr>
      <w:tr>
        <w:trPr>
          <w:trHeight w:val="20"/>
        </w:trPr>
        <w:tc>
          <w:tcPr>
            <w:tcW w:w="356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120" w:type="dxa"/>
            <w:vAlign w:val="bottom"/>
            <w:gridSpan w:val="2"/>
            <w:shd w:val="clear" w:color="auto" w:fill="000000"/>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r>
      <w:tr>
        <w:trPr>
          <w:trHeight w:val="480"/>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Dated: May 9, 2019</w:t>
            </w:r>
          </w:p>
        </w:tc>
        <w:tc>
          <w:tcPr>
            <w:tcW w:w="2400" w:type="dxa"/>
            <w:vAlign w:val="bottom"/>
          </w:tcPr>
          <w:p>
            <w:pPr>
              <w:spacing w:after="0"/>
              <w:rPr>
                <w:sz w:val="24"/>
                <w:szCs w:val="24"/>
                <w:color w:val="auto"/>
              </w:rPr>
            </w:pPr>
          </w:p>
        </w:tc>
        <w:tc>
          <w:tcPr>
            <w:tcW w:w="5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By: /s/ Thomas B. Neff</w:t>
            </w:r>
          </w:p>
        </w:tc>
      </w:tr>
      <w:tr>
        <w:trPr>
          <w:trHeight w:val="191"/>
        </w:trPr>
        <w:tc>
          <w:tcPr>
            <w:tcW w:w="356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140" w:type="dxa"/>
            <w:vAlign w:val="bottom"/>
            <w:tcBorders>
              <w:top w:val="single" w:sz="8" w:color="auto"/>
            </w:tcBorders>
            <w:gridSpan w:val="2"/>
          </w:tcPr>
          <w:p>
            <w:pPr>
              <w:spacing w:after="0" w:line="191" w:lineRule="exact"/>
              <w:rPr>
                <w:sz w:val="20"/>
                <w:szCs w:val="20"/>
                <w:color w:val="auto"/>
              </w:rPr>
            </w:pPr>
            <w:r>
              <w:rPr>
                <w:rFonts w:ascii="Times New Roman" w:cs="Times New Roman" w:eastAsia="Times New Roman" w:hAnsi="Times New Roman"/>
                <w:sz w:val="18"/>
                <w:szCs w:val="18"/>
                <w:color w:val="auto"/>
              </w:rPr>
              <w:t>Thomas B. Neff</w:t>
            </w:r>
          </w:p>
        </w:tc>
      </w:tr>
      <w:tr>
        <w:trPr>
          <w:trHeight w:val="214"/>
        </w:trPr>
        <w:tc>
          <w:tcPr>
            <w:tcW w:w="356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Chairman of the Board and Chief Executive Officer</w:t>
            </w:r>
          </w:p>
        </w:tc>
      </w:tr>
      <w:tr>
        <w:trPr>
          <w:trHeight w:val="236"/>
        </w:trPr>
        <w:tc>
          <w:tcPr>
            <w:tcW w:w="356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r>
      <w:tr>
        <w:trPr>
          <w:trHeight w:val="432"/>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Dated: May 9, 2019</w:t>
            </w:r>
          </w:p>
        </w:tc>
        <w:tc>
          <w:tcPr>
            <w:tcW w:w="2400" w:type="dxa"/>
            <w:vAlign w:val="bottom"/>
          </w:tcPr>
          <w:p>
            <w:pPr>
              <w:spacing w:after="0"/>
              <w:rPr>
                <w:sz w:val="24"/>
                <w:szCs w:val="24"/>
                <w:color w:val="auto"/>
              </w:rPr>
            </w:pPr>
          </w:p>
        </w:tc>
        <w:tc>
          <w:tcPr>
            <w:tcW w:w="5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By: /s/ Pat Cotroneo</w:t>
            </w:r>
          </w:p>
        </w:tc>
      </w:tr>
      <w:tr>
        <w:trPr>
          <w:trHeight w:val="191"/>
        </w:trPr>
        <w:tc>
          <w:tcPr>
            <w:tcW w:w="356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140" w:type="dxa"/>
            <w:vAlign w:val="bottom"/>
            <w:tcBorders>
              <w:top w:val="single" w:sz="8" w:color="auto"/>
            </w:tcBorders>
            <w:gridSpan w:val="2"/>
          </w:tcPr>
          <w:p>
            <w:pPr>
              <w:spacing w:after="0" w:line="191" w:lineRule="exact"/>
              <w:rPr>
                <w:sz w:val="20"/>
                <w:szCs w:val="20"/>
                <w:color w:val="auto"/>
              </w:rPr>
            </w:pPr>
            <w:r>
              <w:rPr>
                <w:rFonts w:ascii="Times New Roman" w:cs="Times New Roman" w:eastAsia="Times New Roman" w:hAnsi="Times New Roman"/>
                <w:sz w:val="18"/>
                <w:szCs w:val="18"/>
                <w:color w:val="auto"/>
              </w:rPr>
              <w:t>Pat Cotroneo</w:t>
            </w:r>
          </w:p>
        </w:tc>
      </w:tr>
      <w:tr>
        <w:trPr>
          <w:trHeight w:val="214"/>
        </w:trPr>
        <w:tc>
          <w:tcPr>
            <w:tcW w:w="356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Senior Vice President, Finance and Chief Financial Officer</w:t>
            </w:r>
          </w:p>
        </w:tc>
      </w:tr>
      <w:tr>
        <w:trPr>
          <w:trHeight w:val="236"/>
        </w:trPr>
        <w:tc>
          <w:tcPr>
            <w:tcW w:w="356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tc>
      </w:tr>
      <w:tr>
        <w:trPr>
          <w:trHeight w:val="864"/>
        </w:trPr>
        <w:tc>
          <w:tcPr>
            <w:tcW w:w="3560" w:type="dxa"/>
            <w:vAlign w:val="bottom"/>
          </w:tcPr>
          <w:p>
            <w:pPr>
              <w:spacing w:after="0"/>
              <w:rPr>
                <w:sz w:val="24"/>
                <w:szCs w:val="24"/>
                <w:color w:val="auto"/>
              </w:rPr>
            </w:pPr>
          </w:p>
        </w:tc>
        <w:tc>
          <w:tcPr>
            <w:tcW w:w="24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80</w:t>
            </w: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34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81" w:name="page82"/>
    <w:bookmarkEnd w:id="81"/>
    <w:p>
      <w:pPr>
        <w:ind w:firstLine="8"/>
        <w:spacing w:after="0" w:line="286" w:lineRule="auto"/>
        <w:tabs>
          <w:tab w:leader="none" w:pos="263"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Certain confidential information contained in this document, marked by brackets, has been omitted because it is both (i) not material and (ii) would likely cause competitive harm to the company if publicly disclosed.</w:t>
      </w:r>
    </w:p>
    <w:p>
      <w:pPr>
        <w:spacing w:after="0" w:line="4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10.26(xxxvi)</w:t>
      </w:r>
    </w:p>
    <w:p>
      <w:pPr>
        <w:spacing w:after="0" w:line="121" w:lineRule="exact"/>
        <w:rPr>
          <w:sz w:val="20"/>
          <w:szCs w:val="20"/>
          <w:color w:val="auto"/>
        </w:rPr>
      </w:pPr>
    </w:p>
    <w:p>
      <w:pPr>
        <w:spacing w:after="0"/>
        <w:tabs>
          <w:tab w:leader="none" w:pos="6480" w:val="left"/>
        </w:tabs>
        <w:rPr>
          <w:sz w:val="20"/>
          <w:szCs w:val="20"/>
          <w:color w:val="auto"/>
        </w:rPr>
      </w:pPr>
      <w:r>
        <w:rPr>
          <w:rFonts w:ascii="Times New Roman" w:cs="Times New Roman" w:eastAsia="Times New Roman" w:hAnsi="Times New Roman"/>
          <w:sz w:val="18"/>
          <w:szCs w:val="18"/>
          <w:color w:val="auto"/>
        </w:rPr>
        <w:t>Amendment No. 33 to the Process Development and Clinical Supply Agreement</w:t>
      </w:r>
      <w:r>
        <w:rPr>
          <w:sz w:val="20"/>
          <w:szCs w:val="20"/>
          <w:color w:val="auto"/>
        </w:rPr>
        <w:tab/>
      </w:r>
      <w:r>
        <w:rPr>
          <w:rFonts w:ascii="Times New Roman" w:cs="Times New Roman" w:eastAsia="Times New Roman" w:hAnsi="Times New Roman"/>
          <w:sz w:val="18"/>
          <w:szCs w:val="18"/>
          <w:color w:val="auto"/>
        </w:rPr>
        <w:t>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2"/>
          <w:szCs w:val="12"/>
          <w:b w:val="1"/>
          <w:bCs w:val="1"/>
          <w:color w:val="auto"/>
        </w:rPr>
        <w:t>MENDMENT</w:t>
      </w:r>
      <w:r>
        <w:rPr>
          <w:rFonts w:ascii="Times New Roman" w:cs="Times New Roman" w:eastAsia="Times New Roman" w:hAnsi="Times New Roman"/>
          <w:sz w:val="18"/>
          <w:szCs w:val="18"/>
          <w:b w:val="1"/>
          <w:bCs w:val="1"/>
          <w:color w:val="auto"/>
        </w:rPr>
        <w:t xml:space="preserve"> N</w:t>
      </w:r>
      <w:r>
        <w:rPr>
          <w:rFonts w:ascii="Times New Roman" w:cs="Times New Roman" w:eastAsia="Times New Roman" w:hAnsi="Times New Roman"/>
          <w:sz w:val="12"/>
          <w:szCs w:val="12"/>
          <w:b w:val="1"/>
          <w:bCs w:val="1"/>
          <w:color w:val="auto"/>
        </w:rPr>
        <w:t>O</w:t>
      </w:r>
      <w:r>
        <w:rPr>
          <w:rFonts w:ascii="Times New Roman" w:cs="Times New Roman" w:eastAsia="Times New Roman" w:hAnsi="Times New Roman"/>
          <w:sz w:val="18"/>
          <w:szCs w:val="18"/>
          <w:b w:val="1"/>
          <w:bCs w:val="1"/>
          <w:color w:val="auto"/>
        </w:rPr>
        <w:t xml:space="preserve">. 33 </w:t>
      </w:r>
      <w:r>
        <w:rPr>
          <w:rFonts w:ascii="Times New Roman" w:cs="Times New Roman" w:eastAsia="Times New Roman" w:hAnsi="Times New Roman"/>
          <w:sz w:val="12"/>
          <w:szCs w:val="12"/>
          <w:b w:val="1"/>
          <w:bCs w:val="1"/>
          <w:color w:val="auto"/>
        </w:rPr>
        <w:t>TO THE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ROCESS</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2"/>
          <w:szCs w:val="12"/>
          <w:b w:val="1"/>
          <w:bCs w:val="1"/>
          <w:color w:val="auto"/>
        </w:rPr>
        <w:t>EVELOPMENT AND</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LINICAL</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UPPLY</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GREEMENT</w:t>
      </w:r>
    </w:p>
    <w:p>
      <w:pPr>
        <w:spacing w:after="0" w:line="33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THIS AMENDMENT NO. 33 (“Amendment” No. 33), effective as of January 4, 2019 (“Amendment No. 33 Effective Date”) by and between Boehringer Ingelheim Biopharmaceuticals GmbH, Binger Str. 173, 55216 Ingelheim, Germany (“BI”) and FibroGen, Inc., 409 Illinois Street, San Francisco, CA 94158, USA (“FIBROGEN”), amends the Process Development and Clinical Supply Agreement entered into by and between Boehringer Ingelheim Pharma GmbH</w:t>
      </w:r>
    </w:p>
    <w:p>
      <w:pPr>
        <w:spacing w:after="0" w:line="2" w:lineRule="exact"/>
        <w:rPr>
          <w:sz w:val="20"/>
          <w:szCs w:val="20"/>
          <w:color w:val="auto"/>
        </w:rPr>
      </w:pPr>
    </w:p>
    <w:p>
      <w:pPr>
        <w:jc w:val="both"/>
        <w:ind w:firstLine="8"/>
        <w:spacing w:after="0" w:line="251" w:lineRule="auto"/>
        <w:tabs>
          <w:tab w:leader="none" w:pos="199"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 KG, Birkendorfer Str. 65, 88397 Biberach an der Riss, Germany (“BI Pharma”) and FIBROGEN on November 29, 2007 (“Supply Agreement”), as amended pursuant to the letter agreements entered into as of June 26, 2008 and August 18, 2008, Amendment No. 1, effective as of May 28, 2009, Amendment No. 3, effective as of November 5, 2010, Amendment No. 4, effective as of January 24, 2011, Amendment No. 5, effective as of April 15, 2011, Amendment No. 6, effective as of May 26, 2011, Amendment No. 7, effective as of January 01, 2012, Amendment No. 8, effective as of July 10, 2012, Amendment No. 9, effective as of November 26, 2012, Amendment No. 10, effective as of June 21, 2013, Amendment No. 11, effective as of July 9, 2013, Amendment No. 12, effective as of August 01, 2013 and subsequently assigned by BI Pharma to BI, Amendment No. 13, effective as of March 06, 2014, Amendment No. 14, effective as of February 05, 2014, Amendment No. 15, effective as of October 20, 2014, Amendment No. 16, effective as of December 08, 2014, Amendment No. 17, effective as of December 08, 2014, Amendment No. 18, effective as of February 15, 2015, Amendment No. 19, effective as of March 01, 2015, Amendment No. 20, effective as of June 01, 2015, Amendment No. 21, effective as of May 29, 2015, Amendment No. 22, effective as of April 14, 2016, Amendment No. 23, effective as of September 01, 2015, Amendment No. 24, effective as of September 15, 2015, Amendment No. 25, effective as of September 15, 2015, Amendment No. 26, effective as of June 30, 2016, Amendment No. 27, effective as of July 25, 2016, Amendment No. 28, effective as of September 22, 2016, Amendment No. 29, effective as of December 20, 2016, Amendment No. 30, effective as of December 20, 2016, Amendment No. 31, effective as of March 2, 2017 and Amendment No. 32, effective as of September 1, 2017 (hereinafter together the “Definitive Agreement”). BI and FIBROGEN shall be referred to individually herein as a “Party”, and collectively as the “Parties”.</w:t>
      </w:r>
    </w:p>
    <w:p>
      <w:pPr>
        <w:spacing w:after="0" w:line="188"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BI’s affiliate, BI Pharma, and FIBROGEN entered into the Mutual Confidentiality Agreement effective as of 04 August 2004, as amended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thereafter (“Confidentiality Agreement”);</w:t>
      </w:r>
    </w:p>
    <w:p>
      <w:pPr>
        <w:spacing w:after="0" w:line="155" w:lineRule="exact"/>
        <w:rPr>
          <w:sz w:val="20"/>
          <w:szCs w:val="20"/>
          <w:color w:val="auto"/>
        </w:rPr>
      </w:pPr>
    </w:p>
    <w:p>
      <w:pPr>
        <w:jc w:val="both"/>
        <w:ind w:right="200"/>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on May 15, 2006, through Amendment No. 1 to the Confidentiality Agreement (“Confidentiality Agreement Amendment No. 1”), BI Pharma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FIBROGEN amended the Confidentiality Agreement to add a provision allowing each party, with prior written notice to the other party, to disclose the other party’s confidential information to its consultants under limited circumstances as set forth in the Confidentiality Agreement Amendment No. 1;</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BI Pharma and FIBROGEN subsequently entered the Supply Agreement;</w:t>
      </w:r>
    </w:p>
    <w:p>
      <w:pPr>
        <w:spacing w:after="0" w:line="333"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Supply Agreement contains “Section 10. Confidentiality,” which section governs the exchange of confidential information and know-how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provides for associated rights and obligations by incorporating the Confidentiality Agreement, as amended by Confidentiality Agreement Amendment No. 1, into such section and prescribing that the Confidentiality Agreement’s terms shall apply to any such confidential information and know-how exchanged between the parties during the term of the Supply Agreement and for a period of [*] thereafter;</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1 /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82" w:name="page83"/>
    <w:bookmarkEnd w:id="82"/>
    <w:p>
      <w:pPr>
        <w:ind w:firstLine="8"/>
        <w:spacing w:after="0" w:line="286" w:lineRule="auto"/>
        <w:tabs>
          <w:tab w:leader="none" w:pos="263"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Certain confidential information contained in this document, marked by brackets, has been omitted because it is both (i) not material and (ii) would likely cause competitive harm to the company if publicly disclosed.</w:t>
      </w:r>
    </w:p>
    <w:p>
      <w:pPr>
        <w:spacing w:after="0" w:line="4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10.26(xxxvi)</w:t>
      </w:r>
    </w:p>
    <w:p>
      <w:pPr>
        <w:spacing w:after="0" w:line="121" w:lineRule="exact"/>
        <w:rPr>
          <w:sz w:val="20"/>
          <w:szCs w:val="20"/>
          <w:color w:val="auto"/>
        </w:rPr>
      </w:pPr>
    </w:p>
    <w:p>
      <w:pPr>
        <w:spacing w:after="0"/>
        <w:tabs>
          <w:tab w:leader="none" w:pos="6480" w:val="left"/>
        </w:tabs>
        <w:rPr>
          <w:sz w:val="20"/>
          <w:szCs w:val="20"/>
          <w:color w:val="auto"/>
        </w:rPr>
      </w:pPr>
      <w:r>
        <w:rPr>
          <w:rFonts w:ascii="Times New Roman" w:cs="Times New Roman" w:eastAsia="Times New Roman" w:hAnsi="Times New Roman"/>
          <w:sz w:val="18"/>
          <w:szCs w:val="18"/>
          <w:color w:val="auto"/>
        </w:rPr>
        <w:t>Amendment No. 33 to the Process Development and Clinical Supply Agreement</w:t>
      </w:r>
      <w:r>
        <w:rPr>
          <w:sz w:val="20"/>
          <w:szCs w:val="20"/>
          <w:color w:val="auto"/>
        </w:rPr>
        <w:tab/>
      </w:r>
      <w:r>
        <w:rPr>
          <w:rFonts w:ascii="Times New Roman" w:cs="Times New Roman" w:eastAsia="Times New Roman" w:hAnsi="Times New Roman"/>
          <w:sz w:val="18"/>
          <w:szCs w:val="18"/>
          <w:color w:val="auto"/>
        </w:rPr>
        <w:t>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8"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effective January 1, 2014, BI Pharma assigned all of its rights and obligations under the Supply Agreement to BI - such assignment including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rights and obligations set forth in, and arising under, the Confidentiality Agreement and which were incorporated by reference into the Supply Agreement pursuant to Section 10 thereof;</w:t>
      </w:r>
    </w:p>
    <w:p>
      <w:pPr>
        <w:spacing w:after="0" w:line="17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FIBROGEN now wishes to have consultants, with BI’s prior approval, attend joint meetings between BI and FIBROGEN wherein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consultants will receive BI Pharma Confidential Information and Know-How not only indirectly, through FIBROGEN, but also directly from BI or its affiliates;</w:t>
      </w:r>
    </w:p>
    <w:p>
      <w:pPr>
        <w:spacing w:after="0" w:line="17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Parties therefore wish to amend the Supply Agreement by including, directly into the Supply Agreement Section 10, the concept from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Confidentiality Agreement Amendment No. 1 and adding additional wording thereto to allow for, and govern, the receipt, and treatment thereafter, by one Party’s consultant(s) of the other Party’s confidential information (such as BI Pharma Confidential Information and Know-How received by FIBROGEN’s consultants from FIBROGEN, BI, or BI’s affiliates) in connection with the Supply Agreement.</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the Parties hereby agree as follows:</w:t>
      </w:r>
    </w:p>
    <w:p>
      <w:pPr>
        <w:spacing w:after="0" w:line="121" w:lineRule="exact"/>
        <w:rPr>
          <w:sz w:val="20"/>
          <w:szCs w:val="20"/>
          <w:color w:val="auto"/>
        </w:rPr>
      </w:pPr>
    </w:p>
    <w:p>
      <w:pPr>
        <w:ind w:left="1180" w:right="20" w:hanging="389"/>
        <w:spacing w:after="0" w:line="282" w:lineRule="auto"/>
        <w:tabs>
          <w:tab w:leader="none" w:pos="11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capitalized terms not defined or not otherwise defined in this Amendment No. 33 shall have the same meaning as those set forth in the Supply Agreement.</w:t>
      </w:r>
    </w:p>
    <w:p>
      <w:pPr>
        <w:spacing w:after="0" w:line="161" w:lineRule="exact"/>
        <w:rPr>
          <w:rFonts w:ascii="Times New Roman" w:cs="Times New Roman" w:eastAsia="Times New Roman" w:hAnsi="Times New Roman"/>
          <w:sz w:val="18"/>
          <w:szCs w:val="18"/>
          <w:color w:val="auto"/>
        </w:rPr>
      </w:pPr>
    </w:p>
    <w:p>
      <w:pPr>
        <w:ind w:left="1180" w:hanging="389"/>
        <w:spacing w:after="0"/>
        <w:tabs>
          <w:tab w:leader="none" w:pos="11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paragraph shall be added after the first paragraph of Section 10:</w:t>
      </w:r>
    </w:p>
    <w:p>
      <w:pPr>
        <w:spacing w:after="0" w:line="117" w:lineRule="exact"/>
        <w:rPr>
          <w:rFonts w:ascii="Times New Roman" w:cs="Times New Roman" w:eastAsia="Times New Roman" w:hAnsi="Times New Roman"/>
          <w:sz w:val="18"/>
          <w:szCs w:val="18"/>
          <w:color w:val="auto"/>
        </w:rPr>
      </w:pPr>
    </w:p>
    <w:p>
      <w:pPr>
        <w:jc w:val="both"/>
        <w:ind w:left="120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“Furthermore, and notwithstanding anything to the contrary in the Confidentiality Agreement (with the terms of this paragraph to control as to the subject matter herein in the case of any conflict with the Confidentiality Agreement), each Party may disclose, with prior written notice to the other Party, the other’s confidential information (either BI Pharma Confidential Information and Know-How or FibroGen Confidential Information and Know-How respectively) to its consultants to the extent such consultants have been bound up to the terms of this Agreement, including all incorporated terms of the Confidentiality Agreement, (or by substantially similar obligations of confidentiality) and such consultant has a ‘need to know’ for purposes within the scope of this Agreement. The disclosure of such confidential information to one Party’s consultant(s) may also occur, under the conditions as set forth in the preceding sentence, directly from the other Party to the consultant (e.g. via the inclusion of a consultant in a joint meeting of the Parties). Furthermore, the Party employing the consultant(s) shall always be responsible for such consultant(s) treatment and use of the confidential information and shall be liable to the other party for any act of said consultant(s) if such act would constitute a breach of this Agreement. It is understood that any disclosure or receipt of such confidential information subject to the terms of this Agreement may also be performed by a Party’s respective affiliates.</w:t>
      </w:r>
    </w:p>
    <w:p>
      <w:pPr>
        <w:spacing w:after="0" w:line="192" w:lineRule="exact"/>
        <w:rPr>
          <w:rFonts w:ascii="Times New Roman" w:cs="Times New Roman" w:eastAsia="Times New Roman" w:hAnsi="Times New Roman"/>
          <w:sz w:val="18"/>
          <w:szCs w:val="18"/>
          <w:color w:val="auto"/>
        </w:rPr>
      </w:pPr>
    </w:p>
    <w:p>
      <w:pPr>
        <w:ind w:left="1180" w:hanging="389"/>
        <w:spacing w:after="0" w:line="282" w:lineRule="auto"/>
        <w:tabs>
          <w:tab w:leader="none" w:pos="11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Amendment No. 33 shall take effect as of the Amendment No. 33 Effective Date and as far as not amended herein, the Supply Agreement shall remain in full force and effect.</w:t>
      </w:r>
    </w:p>
    <w:p>
      <w:pPr>
        <w:spacing w:after="0" w:line="161" w:lineRule="exact"/>
        <w:rPr>
          <w:rFonts w:ascii="Times New Roman" w:cs="Times New Roman" w:eastAsia="Times New Roman" w:hAnsi="Times New Roman"/>
          <w:sz w:val="18"/>
          <w:szCs w:val="18"/>
          <w:color w:val="auto"/>
        </w:rPr>
      </w:pPr>
    </w:p>
    <w:p>
      <w:pPr>
        <w:ind w:left="1180" w:hanging="389"/>
        <w:spacing w:after="0" w:line="282" w:lineRule="auto"/>
        <w:tabs>
          <w:tab w:leader="none" w:pos="11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there is a conflict between the terms of the Supply Agreement, the Confidentiality Agreement or this Amendment No. 33, this Amendment No. 33 shall prevail as to the subject matter contemplated herein.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2 /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83" w:name="page84"/>
    <w:bookmarkEnd w:id="83"/>
    <w:p>
      <w:pPr>
        <w:ind w:firstLine="8"/>
        <w:spacing w:after="0" w:line="286" w:lineRule="auto"/>
        <w:tabs>
          <w:tab w:leader="none" w:pos="263"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Certain confidential information contained in this document, marked by brackets, has been omitted because it is both (i) not material and (ii) would likely cause competitive harm to the company if publicly disclosed.</w:t>
      </w:r>
    </w:p>
    <w:p>
      <w:pPr>
        <w:spacing w:after="0" w:line="4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10.26(xxxvi)</w:t>
      </w:r>
    </w:p>
    <w:p>
      <w:pPr>
        <w:spacing w:after="0" w:line="121" w:lineRule="exact"/>
        <w:rPr>
          <w:sz w:val="20"/>
          <w:szCs w:val="20"/>
          <w:color w:val="auto"/>
        </w:rPr>
      </w:pPr>
    </w:p>
    <w:p>
      <w:pPr>
        <w:spacing w:after="0"/>
        <w:tabs>
          <w:tab w:leader="none" w:pos="6480" w:val="left"/>
        </w:tabs>
        <w:rPr>
          <w:sz w:val="20"/>
          <w:szCs w:val="20"/>
          <w:color w:val="auto"/>
        </w:rPr>
      </w:pPr>
      <w:r>
        <w:rPr>
          <w:rFonts w:ascii="Times New Roman" w:cs="Times New Roman" w:eastAsia="Times New Roman" w:hAnsi="Times New Roman"/>
          <w:sz w:val="18"/>
          <w:szCs w:val="18"/>
          <w:color w:val="auto"/>
        </w:rPr>
        <w:t>Amendment No. 33 to the Process Development and Clinical Supply Agreement</w:t>
      </w:r>
      <w:r>
        <w:rPr>
          <w:sz w:val="20"/>
          <w:szCs w:val="20"/>
          <w:color w:val="auto"/>
        </w:rPr>
        <w:tab/>
      </w:r>
      <w:r>
        <w:rPr>
          <w:rFonts w:ascii="Times New Roman" w:cs="Times New Roman" w:eastAsia="Times New Roman" w:hAnsi="Times New Roman"/>
          <w:sz w:val="18"/>
          <w:szCs w:val="18"/>
          <w:color w:val="auto"/>
        </w:rPr>
        <w:t>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Amendment No. 33 executed by authorised representatives of BI and FIBROGEN incorporates the terms and conditions of the Supply Agreement.</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Biberach, January 4, 2019</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w:t>
      </w:r>
      <w:r>
        <w:rPr>
          <w:rFonts w:ascii="Times New Roman" w:cs="Times New Roman" w:eastAsia="Times New Roman" w:hAnsi="Times New Roman"/>
          <w:sz w:val="12"/>
          <w:szCs w:val="12"/>
          <w:b w:val="1"/>
          <w:bCs w:val="1"/>
          <w:color w:val="auto"/>
        </w:rPr>
        <w:t>OEHRINGER</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2"/>
          <w:szCs w:val="12"/>
          <w:b w:val="1"/>
          <w:bCs w:val="1"/>
          <w:color w:val="auto"/>
        </w:rPr>
        <w:t>NGELHEIM</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2"/>
          <w:szCs w:val="12"/>
          <w:b w:val="1"/>
          <w:bCs w:val="1"/>
          <w:color w:val="auto"/>
        </w:rPr>
        <w:t>IOPHARMACEUTICALS</w:t>
      </w:r>
      <w:r>
        <w:rPr>
          <w:rFonts w:ascii="Times New Roman" w:cs="Times New Roman" w:eastAsia="Times New Roman" w:hAnsi="Times New Roman"/>
          <w:sz w:val="18"/>
          <w:szCs w:val="18"/>
          <w:b w:val="1"/>
          <w:bCs w:val="1"/>
          <w:color w:val="auto"/>
        </w:rPr>
        <w:t xml:space="preserve"> G</w:t>
      </w:r>
      <w:r>
        <w:rPr>
          <w:rFonts w:ascii="Times New Roman" w:cs="Times New Roman" w:eastAsia="Times New Roman" w:hAnsi="Times New Roman"/>
          <w:sz w:val="12"/>
          <w:szCs w:val="12"/>
          <w:b w:val="1"/>
          <w:bCs w:val="1"/>
          <w:color w:val="auto"/>
        </w:rPr>
        <w:t>MB</w:t>
      </w:r>
      <w:r>
        <w:rPr>
          <w:rFonts w:ascii="Times New Roman" w:cs="Times New Roman" w:eastAsia="Times New Roman" w:hAnsi="Times New Roman"/>
          <w:sz w:val="18"/>
          <w:szCs w:val="18"/>
          <w:b w:val="1"/>
          <w:bCs w:val="1"/>
          <w:color w:val="auto"/>
        </w:rPr>
        <w:t>H</w:t>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ppa.</w:t>
            </w:r>
          </w:p>
        </w:tc>
        <w:tc>
          <w:tcPr>
            <w:tcW w:w="112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iv.</w:t>
            </w:r>
          </w:p>
        </w:tc>
      </w:tr>
      <w:tr>
        <w:trPr>
          <w:trHeight w:val="540"/>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626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rPr>
              <w:t>[*]</w:t>
            </w:r>
          </w:p>
        </w:tc>
      </w:tr>
      <w:tr>
        <w:trPr>
          <w:trHeight w:val="191"/>
        </w:trPr>
        <w:tc>
          <w:tcPr>
            <w:tcW w:w="20" w:type="dxa"/>
            <w:vAlign w:val="bottom"/>
          </w:tcPr>
          <w:p>
            <w:pPr>
              <w:spacing w:after="0"/>
              <w:rPr>
                <w:sz w:val="16"/>
                <w:szCs w:val="16"/>
                <w:color w:val="auto"/>
              </w:rPr>
            </w:pPr>
          </w:p>
        </w:tc>
        <w:tc>
          <w:tcPr>
            <w:tcW w:w="51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spacing w:after="0"/>
              <w:rPr>
                <w:sz w:val="16"/>
                <w:szCs w:val="16"/>
                <w:color w:val="auto"/>
              </w:rPr>
            </w:pPr>
          </w:p>
        </w:tc>
        <w:tc>
          <w:tcPr>
            <w:tcW w:w="51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w:t>
            </w:r>
          </w:p>
        </w:tc>
      </w:tr>
      <w:tr>
        <w:trPr>
          <w:trHeight w:val="234"/>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VP Business &amp; Contracts</w:t>
            </w:r>
          </w:p>
        </w:tc>
        <w:tc>
          <w:tcPr>
            <w:tcW w:w="112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Legal Counsel</w:t>
            </w:r>
          </w:p>
        </w:tc>
      </w:tr>
      <w:tr>
        <w:trPr>
          <w:trHeight w:val="540"/>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San Francisco, January 14, 2019</w:t>
            </w:r>
          </w:p>
        </w:tc>
        <w:tc>
          <w:tcPr>
            <w:tcW w:w="1120" w:type="dxa"/>
            <w:vAlign w:val="bottom"/>
          </w:tcPr>
          <w:p>
            <w:pPr>
              <w:spacing w:after="0"/>
              <w:rPr>
                <w:sz w:val="24"/>
                <w:szCs w:val="24"/>
                <w:color w:val="auto"/>
              </w:rPr>
            </w:pPr>
          </w:p>
        </w:tc>
        <w:tc>
          <w:tcPr>
            <w:tcW w:w="5140" w:type="dxa"/>
            <w:vAlign w:val="bottom"/>
          </w:tcPr>
          <w:p>
            <w:pPr>
              <w:spacing w:after="0"/>
              <w:rPr>
                <w:sz w:val="24"/>
                <w:szCs w:val="24"/>
                <w:color w:val="auto"/>
              </w:rPr>
            </w:pPr>
          </w:p>
        </w:tc>
      </w:tr>
      <w:tr>
        <w:trPr>
          <w:trHeight w:val="432"/>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w:t>
            </w:r>
            <w:r>
              <w:rPr>
                <w:rFonts w:ascii="Times New Roman" w:cs="Times New Roman" w:eastAsia="Times New Roman" w:hAnsi="Times New Roman"/>
                <w:sz w:val="12"/>
                <w:szCs w:val="12"/>
                <w:b w:val="1"/>
                <w:bCs w:val="1"/>
                <w:color w:val="auto"/>
              </w:rPr>
              <w:t>IBRO</w:t>
            </w:r>
            <w:r>
              <w:rPr>
                <w:rFonts w:ascii="Times New Roman" w:cs="Times New Roman" w:eastAsia="Times New Roman" w:hAnsi="Times New Roman"/>
                <w:sz w:val="18"/>
                <w:szCs w:val="18"/>
                <w:b w:val="1"/>
                <w:bCs w:val="1"/>
                <w:color w:val="auto"/>
              </w:rPr>
              <w:t>G</w:t>
            </w:r>
            <w:r>
              <w:rPr>
                <w:rFonts w:ascii="Times New Roman" w:cs="Times New Roman" w:eastAsia="Times New Roman" w:hAnsi="Times New Roman"/>
                <w:sz w:val="12"/>
                <w:szCs w:val="12"/>
                <w:b w:val="1"/>
                <w:bCs w:val="1"/>
                <w:color w:val="auto"/>
              </w:rPr>
              <w:t>EN</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2"/>
                <w:szCs w:val="12"/>
                <w:b w:val="1"/>
                <w:bCs w:val="1"/>
                <w:color w:val="auto"/>
              </w:rPr>
              <w:t>NC</w:t>
            </w:r>
          </w:p>
        </w:tc>
        <w:tc>
          <w:tcPr>
            <w:tcW w:w="1120" w:type="dxa"/>
            <w:vAlign w:val="bottom"/>
          </w:tcPr>
          <w:p>
            <w:pPr>
              <w:spacing w:after="0"/>
              <w:rPr>
                <w:sz w:val="24"/>
                <w:szCs w:val="24"/>
                <w:color w:val="auto"/>
              </w:rPr>
            </w:pPr>
          </w:p>
        </w:tc>
        <w:tc>
          <w:tcPr>
            <w:tcW w:w="5140" w:type="dxa"/>
            <w:vAlign w:val="bottom"/>
          </w:tcPr>
          <w:p>
            <w:pPr>
              <w:spacing w:after="0"/>
              <w:rPr>
                <w:sz w:val="24"/>
                <w:szCs w:val="24"/>
                <w:color w:val="auto"/>
              </w:rPr>
            </w:pPr>
          </w:p>
        </w:tc>
      </w:tr>
      <w:tr>
        <w:trPr>
          <w:trHeight w:val="540"/>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Michael Lowenstein</w:t>
            </w:r>
          </w:p>
        </w:tc>
        <w:tc>
          <w:tcPr>
            <w:tcW w:w="1120" w:type="dxa"/>
            <w:vAlign w:val="bottom"/>
          </w:tcPr>
          <w:p>
            <w:pPr>
              <w:spacing w:after="0"/>
              <w:rPr>
                <w:sz w:val="24"/>
                <w:szCs w:val="24"/>
                <w:color w:val="auto"/>
              </w:rPr>
            </w:pPr>
          </w:p>
        </w:tc>
        <w:tc>
          <w:tcPr>
            <w:tcW w:w="5140" w:type="dxa"/>
            <w:vAlign w:val="bottom"/>
          </w:tcPr>
          <w:p>
            <w:pPr>
              <w:spacing w:after="0"/>
              <w:rPr>
                <w:sz w:val="24"/>
                <w:szCs w:val="24"/>
                <w:color w:val="auto"/>
              </w:rPr>
            </w:pPr>
          </w:p>
        </w:tc>
      </w:tr>
      <w:tr>
        <w:trPr>
          <w:trHeight w:val="191"/>
        </w:trPr>
        <w:tc>
          <w:tcPr>
            <w:tcW w:w="20" w:type="dxa"/>
            <w:vAlign w:val="bottom"/>
          </w:tcPr>
          <w:p>
            <w:pPr>
              <w:spacing w:after="0"/>
              <w:rPr>
                <w:sz w:val="16"/>
                <w:szCs w:val="16"/>
                <w:color w:val="auto"/>
              </w:rPr>
            </w:pPr>
          </w:p>
        </w:tc>
        <w:tc>
          <w:tcPr>
            <w:tcW w:w="51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 Michael Lowenstein</w:t>
            </w:r>
          </w:p>
        </w:tc>
        <w:tc>
          <w:tcPr>
            <w:tcW w:w="1120" w:type="dxa"/>
            <w:vAlign w:val="bottom"/>
          </w:tcPr>
          <w:p>
            <w:pPr>
              <w:spacing w:after="0"/>
              <w:rPr>
                <w:sz w:val="16"/>
                <w:szCs w:val="16"/>
                <w:color w:val="auto"/>
              </w:rPr>
            </w:pPr>
          </w:p>
        </w:tc>
        <w:tc>
          <w:tcPr>
            <w:tcW w:w="51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r>
      <w:tr>
        <w:trPr>
          <w:trHeight w:val="234"/>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 SVP &amp; Chief Legal Officer</w:t>
            </w:r>
          </w:p>
        </w:tc>
        <w:tc>
          <w:tcPr>
            <w:tcW w:w="112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r>
      <w:tr>
        <w:trPr>
          <w:trHeight w:val="648"/>
        </w:trPr>
        <w:tc>
          <w:tcPr>
            <w:tcW w:w="2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62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page 3 / 3</w:t>
            </w:r>
          </w:p>
        </w:tc>
      </w:tr>
    </w:tbl>
    <w:p>
      <w:pPr>
        <w:sectPr>
          <w:pgSz w:w="11900" w:h="16838" w:orient="portrait"/>
          <w:cols w:equalWidth="0" w:num="1">
            <w:col w:w="11420"/>
          </w:cols>
          <w:pgMar w:left="240" w:top="333" w:right="239" w:bottom="1440" w:gutter="0" w:footer="0" w:header="0"/>
        </w:sectPr>
      </w:pPr>
    </w:p>
    <w:bookmarkStart w:id="84" w:name="page85"/>
    <w:bookmarkEnd w:id="84"/>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Thomas B. Neff, certify that;</w:t>
      </w:r>
    </w:p>
    <w:p>
      <w:pPr>
        <w:spacing w:after="0" w:line="117" w:lineRule="exact"/>
        <w:rPr>
          <w:sz w:val="20"/>
          <w:szCs w:val="20"/>
          <w:color w:val="auto"/>
        </w:rPr>
      </w:pPr>
    </w:p>
    <w:p>
      <w:pPr>
        <w:ind w:left="180" w:hanging="172"/>
        <w:spacing w:after="0"/>
        <w:tabs>
          <w:tab w:leader="none" w:pos="1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Form 10-Q of FibroGen, Inc.;</w:t>
      </w:r>
    </w:p>
    <w:p>
      <w:pPr>
        <w:spacing w:after="0" w:line="117" w:lineRule="exact"/>
        <w:rPr>
          <w:rFonts w:ascii="Times New Roman" w:cs="Times New Roman" w:eastAsia="Times New Roman" w:hAnsi="Times New Roman"/>
          <w:sz w:val="18"/>
          <w:szCs w:val="18"/>
          <w:color w:val="auto"/>
        </w:rPr>
      </w:pPr>
    </w:p>
    <w:p>
      <w:pPr>
        <w:ind w:right="440" w:firstLine="8"/>
        <w:spacing w:after="0" w:line="282" w:lineRule="auto"/>
        <w:tabs>
          <w:tab w:leader="none" w:pos="1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3" w:lineRule="exact"/>
        <w:rPr>
          <w:rFonts w:ascii="Times New Roman" w:cs="Times New Roman" w:eastAsia="Times New Roman" w:hAnsi="Times New Roman"/>
          <w:sz w:val="18"/>
          <w:szCs w:val="18"/>
          <w:color w:val="auto"/>
        </w:rPr>
      </w:pPr>
    </w:p>
    <w:p>
      <w:pPr>
        <w:ind w:right="60" w:firstLine="8"/>
        <w:spacing w:after="0" w:line="282" w:lineRule="auto"/>
        <w:tabs>
          <w:tab w:leader="none" w:pos="1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right="20" w:firstLine="8"/>
        <w:spacing w:after="0" w:line="266" w:lineRule="auto"/>
        <w:tabs>
          <w:tab w:leader="none" w:pos="1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8" w:lineRule="exact"/>
        <w:rPr>
          <w:rFonts w:ascii="Times New Roman" w:cs="Times New Roman" w:eastAsia="Times New Roman" w:hAnsi="Times New Roman"/>
          <w:sz w:val="18"/>
          <w:szCs w:val="18"/>
          <w:color w:val="auto"/>
        </w:rPr>
      </w:pPr>
    </w:p>
    <w:p>
      <w:pPr>
        <w:ind w:right="440" w:firstLine="526"/>
        <w:spacing w:after="0" w:line="266" w:lineRule="auto"/>
        <w:tabs>
          <w:tab w:leader="none" w:pos="763"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8" w:lineRule="exact"/>
        <w:rPr>
          <w:rFonts w:ascii="Times New Roman" w:cs="Times New Roman" w:eastAsia="Times New Roman" w:hAnsi="Times New Roman"/>
          <w:sz w:val="18"/>
          <w:szCs w:val="18"/>
          <w:color w:val="auto"/>
        </w:rPr>
      </w:pPr>
    </w:p>
    <w:p>
      <w:pPr>
        <w:ind w:left="780" w:hanging="254"/>
        <w:spacing w:after="0"/>
        <w:tabs>
          <w:tab w:leader="none" w:pos="78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w:t>
      </w:r>
    </w:p>
    <w:p>
      <w:pPr>
        <w:spacing w:after="0" w:line="27" w:lineRule="exact"/>
        <w:rPr>
          <w:rFonts w:ascii="Times New Roman" w:cs="Times New Roman" w:eastAsia="Times New Roman" w:hAnsi="Times New Roman"/>
          <w:sz w:val="18"/>
          <w:szCs w:val="18"/>
          <w:color w:val="auto"/>
        </w:rPr>
      </w:pPr>
    </w:p>
    <w:p>
      <w:pPr>
        <w:ind w:right="2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71" w:lineRule="exact"/>
        <w:rPr>
          <w:rFonts w:ascii="Times New Roman" w:cs="Times New Roman" w:eastAsia="Times New Roman" w:hAnsi="Times New Roman"/>
          <w:sz w:val="18"/>
          <w:szCs w:val="18"/>
          <w:color w:val="auto"/>
        </w:rPr>
      </w:pPr>
    </w:p>
    <w:p>
      <w:pPr>
        <w:ind w:right="960" w:firstLine="526"/>
        <w:spacing w:after="0" w:line="282" w:lineRule="auto"/>
        <w:tabs>
          <w:tab w:leader="none" w:pos="763"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right="20" w:firstLine="526"/>
        <w:spacing w:after="0" w:line="266" w:lineRule="auto"/>
        <w:tabs>
          <w:tab w:leader="none" w:pos="773"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8" w:lineRule="exact"/>
        <w:rPr>
          <w:rFonts w:ascii="Times New Roman" w:cs="Times New Roman" w:eastAsia="Times New Roman" w:hAnsi="Times New Roman"/>
          <w:sz w:val="18"/>
          <w:szCs w:val="18"/>
          <w:color w:val="auto"/>
        </w:rPr>
      </w:pPr>
    </w:p>
    <w:p>
      <w:pPr>
        <w:ind w:right="480" w:firstLine="8"/>
        <w:spacing w:after="0" w:line="282" w:lineRule="auto"/>
        <w:tabs>
          <w:tab w:leader="none" w:pos="1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right="340" w:firstLine="526"/>
        <w:spacing w:after="0" w:line="282" w:lineRule="auto"/>
        <w:tabs>
          <w:tab w:leader="none" w:pos="763"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right="300" w:firstLine="526"/>
        <w:spacing w:after="0" w:line="282" w:lineRule="auto"/>
        <w:tabs>
          <w:tab w:leader="none" w:pos="773"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Date: May 9, 2019</w:t>
            </w:r>
          </w:p>
        </w:tc>
        <w:tc>
          <w:tcPr>
            <w:tcW w:w="4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Thomas B. Neff</w:t>
            </w:r>
          </w:p>
        </w:tc>
      </w:tr>
      <w:tr>
        <w:trPr>
          <w:trHeight w:val="191"/>
        </w:trPr>
        <w:tc>
          <w:tcPr>
            <w:tcW w:w="6860" w:type="dxa"/>
            <w:vAlign w:val="bottom"/>
          </w:tcPr>
          <w:p>
            <w:pPr>
              <w:spacing w:after="0"/>
              <w:rPr>
                <w:sz w:val="16"/>
                <w:szCs w:val="16"/>
                <w:color w:val="auto"/>
              </w:rPr>
            </w:pPr>
          </w:p>
        </w:tc>
        <w:tc>
          <w:tcPr>
            <w:tcW w:w="4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Thomas B. Neff</w:t>
            </w:r>
          </w:p>
        </w:tc>
      </w:tr>
      <w:tr>
        <w:trPr>
          <w:trHeight w:val="216"/>
        </w:trPr>
        <w:tc>
          <w:tcPr>
            <w:tcW w:w="686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Chairman of the Board and Chief Executive Officer</w:t>
            </w:r>
          </w:p>
        </w:tc>
      </w:tr>
      <w:tr>
        <w:trPr>
          <w:trHeight w:val="234"/>
        </w:trPr>
        <w:tc>
          <w:tcPr>
            <w:tcW w:w="686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ectPr>
          <w:pgSz w:w="11900" w:h="16838" w:orient="portrait"/>
          <w:cols w:equalWidth="0" w:num="1">
            <w:col w:w="11420"/>
          </w:cols>
          <w:pgMar w:left="240" w:top="117" w:right="239" w:bottom="1440" w:gutter="0" w:footer="0" w:header="0"/>
        </w:sectPr>
      </w:pPr>
    </w:p>
    <w:bookmarkStart w:id="85" w:name="page86"/>
    <w:bookmarkEnd w:id="85"/>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Pat Cotroneo, certify that;</w:t>
      </w:r>
    </w:p>
    <w:p>
      <w:pPr>
        <w:spacing w:after="0" w:line="117" w:lineRule="exact"/>
        <w:rPr>
          <w:sz w:val="20"/>
          <w:szCs w:val="20"/>
          <w:color w:val="auto"/>
        </w:rPr>
      </w:pPr>
    </w:p>
    <w:p>
      <w:pPr>
        <w:ind w:left="180" w:hanging="172"/>
        <w:spacing w:after="0"/>
        <w:tabs>
          <w:tab w:leader="none" w:pos="1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Form 10-Q of FibroGen, Inc.;</w:t>
      </w:r>
    </w:p>
    <w:p>
      <w:pPr>
        <w:spacing w:after="0" w:line="117" w:lineRule="exact"/>
        <w:rPr>
          <w:rFonts w:ascii="Times New Roman" w:cs="Times New Roman" w:eastAsia="Times New Roman" w:hAnsi="Times New Roman"/>
          <w:sz w:val="18"/>
          <w:szCs w:val="18"/>
          <w:color w:val="auto"/>
        </w:rPr>
      </w:pPr>
    </w:p>
    <w:p>
      <w:pPr>
        <w:ind w:right="440" w:firstLine="8"/>
        <w:spacing w:after="0" w:line="282" w:lineRule="auto"/>
        <w:tabs>
          <w:tab w:leader="none" w:pos="1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3" w:lineRule="exact"/>
        <w:rPr>
          <w:rFonts w:ascii="Times New Roman" w:cs="Times New Roman" w:eastAsia="Times New Roman" w:hAnsi="Times New Roman"/>
          <w:sz w:val="18"/>
          <w:szCs w:val="18"/>
          <w:color w:val="auto"/>
        </w:rPr>
      </w:pPr>
    </w:p>
    <w:p>
      <w:pPr>
        <w:ind w:right="60" w:firstLine="8"/>
        <w:spacing w:after="0" w:line="282" w:lineRule="auto"/>
        <w:tabs>
          <w:tab w:leader="none" w:pos="1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right="20" w:firstLine="8"/>
        <w:spacing w:after="0" w:line="266" w:lineRule="auto"/>
        <w:tabs>
          <w:tab w:leader="none" w:pos="1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8" w:lineRule="exact"/>
        <w:rPr>
          <w:rFonts w:ascii="Times New Roman" w:cs="Times New Roman" w:eastAsia="Times New Roman" w:hAnsi="Times New Roman"/>
          <w:sz w:val="18"/>
          <w:szCs w:val="18"/>
          <w:color w:val="auto"/>
        </w:rPr>
      </w:pPr>
    </w:p>
    <w:p>
      <w:pPr>
        <w:ind w:right="440" w:firstLine="526"/>
        <w:spacing w:after="0" w:line="266" w:lineRule="auto"/>
        <w:tabs>
          <w:tab w:leader="none" w:pos="763"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8" w:lineRule="exact"/>
        <w:rPr>
          <w:rFonts w:ascii="Times New Roman" w:cs="Times New Roman" w:eastAsia="Times New Roman" w:hAnsi="Times New Roman"/>
          <w:sz w:val="18"/>
          <w:szCs w:val="18"/>
          <w:color w:val="auto"/>
        </w:rPr>
      </w:pPr>
    </w:p>
    <w:p>
      <w:pPr>
        <w:ind w:left="780" w:hanging="254"/>
        <w:spacing w:after="0"/>
        <w:tabs>
          <w:tab w:leader="none" w:pos="78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w:t>
      </w:r>
    </w:p>
    <w:p>
      <w:pPr>
        <w:spacing w:after="0" w:line="27" w:lineRule="exact"/>
        <w:rPr>
          <w:rFonts w:ascii="Times New Roman" w:cs="Times New Roman" w:eastAsia="Times New Roman" w:hAnsi="Times New Roman"/>
          <w:sz w:val="18"/>
          <w:szCs w:val="18"/>
          <w:color w:val="auto"/>
        </w:rPr>
      </w:pPr>
    </w:p>
    <w:p>
      <w:pPr>
        <w:ind w:right="2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71" w:lineRule="exact"/>
        <w:rPr>
          <w:rFonts w:ascii="Times New Roman" w:cs="Times New Roman" w:eastAsia="Times New Roman" w:hAnsi="Times New Roman"/>
          <w:sz w:val="18"/>
          <w:szCs w:val="18"/>
          <w:color w:val="auto"/>
        </w:rPr>
      </w:pPr>
    </w:p>
    <w:p>
      <w:pPr>
        <w:ind w:right="960" w:firstLine="526"/>
        <w:spacing w:after="0" w:line="282" w:lineRule="auto"/>
        <w:tabs>
          <w:tab w:leader="none" w:pos="763"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right="20" w:firstLine="526"/>
        <w:spacing w:after="0" w:line="266" w:lineRule="auto"/>
        <w:tabs>
          <w:tab w:leader="none" w:pos="773"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8" w:lineRule="exact"/>
        <w:rPr>
          <w:rFonts w:ascii="Times New Roman" w:cs="Times New Roman" w:eastAsia="Times New Roman" w:hAnsi="Times New Roman"/>
          <w:sz w:val="18"/>
          <w:szCs w:val="18"/>
          <w:color w:val="auto"/>
        </w:rPr>
      </w:pPr>
    </w:p>
    <w:p>
      <w:pPr>
        <w:ind w:right="480" w:firstLine="8"/>
        <w:spacing w:after="0" w:line="282" w:lineRule="auto"/>
        <w:tabs>
          <w:tab w:leader="none" w:pos="1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right="340" w:firstLine="526"/>
        <w:spacing w:after="0" w:line="282" w:lineRule="auto"/>
        <w:tabs>
          <w:tab w:leader="none" w:pos="763"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right="300" w:firstLine="526"/>
        <w:spacing w:after="0" w:line="282" w:lineRule="auto"/>
        <w:tabs>
          <w:tab w:leader="none" w:pos="773"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Date: May 9, 2019</w:t>
            </w:r>
          </w:p>
        </w:tc>
        <w:tc>
          <w:tcPr>
            <w:tcW w:w="4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Pat Cotroneo</w:t>
            </w:r>
          </w:p>
        </w:tc>
      </w:tr>
      <w:tr>
        <w:trPr>
          <w:trHeight w:val="205"/>
        </w:trPr>
        <w:tc>
          <w:tcPr>
            <w:tcW w:w="6860" w:type="dxa"/>
            <w:vAlign w:val="bottom"/>
          </w:tcPr>
          <w:p>
            <w:pPr>
              <w:spacing w:after="0"/>
              <w:rPr>
                <w:sz w:val="17"/>
                <w:szCs w:val="17"/>
                <w:color w:val="auto"/>
              </w:rPr>
            </w:pPr>
          </w:p>
        </w:tc>
        <w:tc>
          <w:tcPr>
            <w:tcW w:w="45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Pat Cotroneo</w:t>
            </w:r>
          </w:p>
        </w:tc>
      </w:tr>
      <w:tr>
        <w:trPr>
          <w:trHeight w:val="216"/>
        </w:trPr>
        <w:tc>
          <w:tcPr>
            <w:tcW w:w="686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 Finance and Chief Financial Officer</w:t>
            </w:r>
          </w:p>
        </w:tc>
      </w:tr>
      <w:tr>
        <w:trPr>
          <w:trHeight w:val="234"/>
        </w:trPr>
        <w:tc>
          <w:tcPr>
            <w:tcW w:w="686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ectPr>
          <w:pgSz w:w="11900" w:h="16838" w:orient="portrait"/>
          <w:cols w:equalWidth="0" w:num="1">
            <w:col w:w="11420"/>
          </w:cols>
          <w:pgMar w:left="240" w:top="117" w:right="239" w:bottom="1440" w:gutter="0" w:footer="0" w:header="0"/>
        </w:sectPr>
      </w:pPr>
    </w:p>
    <w:bookmarkStart w:id="86" w:name="page87"/>
    <w:bookmarkEnd w:id="86"/>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Pursuant to the requirement set forth in Rule 13a-14(b) of the Securities Exchange Act of 1934, as amended (“Exchange Act”), and Section 1350 of Chapter 63 of Title 18 of the United States Code (18 U.S.C. §1350), Thomas B. Neff, Chief Executive Officer of FibroGen, Inc. (“the Company”), and Pat Cotroneo, Chief Financial Officer of the Company, each hereby certifies that, to the best of his knowledge:</w:t>
      </w:r>
    </w:p>
    <w:p>
      <w:pPr>
        <w:spacing w:after="0" w:line="176" w:lineRule="exact"/>
        <w:rPr>
          <w:sz w:val="20"/>
          <w:szCs w:val="20"/>
          <w:color w:val="auto"/>
        </w:rPr>
      </w:pPr>
    </w:p>
    <w:p>
      <w:pPr>
        <w:ind w:left="520" w:right="20" w:hanging="512"/>
        <w:spacing w:after="0" w:line="282" w:lineRule="auto"/>
        <w:tabs>
          <w:tab w:leader="none" w:pos="5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Quarterly Report on Form 10-Q for the period ended March 31, 2019, to which this Certification is attached as Exhibit 32.1 (“Periodic Report”) fully complies with the requirements of Section 13(a) or Section 15(d) of the Exchange Act, and</w:t>
      </w:r>
    </w:p>
    <w:p>
      <w:pPr>
        <w:spacing w:after="0" w:line="53" w:lineRule="exact"/>
        <w:rPr>
          <w:rFonts w:ascii="Times New Roman" w:cs="Times New Roman" w:eastAsia="Times New Roman" w:hAnsi="Times New Roman"/>
          <w:sz w:val="18"/>
          <w:szCs w:val="18"/>
          <w:color w:val="auto"/>
        </w:rPr>
      </w:pPr>
    </w:p>
    <w:p>
      <w:pPr>
        <w:ind w:left="520" w:right="580" w:hanging="512"/>
        <w:spacing w:after="0" w:line="282" w:lineRule="auto"/>
        <w:tabs>
          <w:tab w:leader="none" w:pos="5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Periodic Report fairly presents, in all material respects, the financial condition and results of operations of the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May 9, 2019</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N</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2"/>
          <w:szCs w:val="12"/>
          <w:b w:val="1"/>
          <w:bCs w:val="1"/>
          <w:color w:val="auto"/>
        </w:rPr>
        <w:t>ITNESS</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2"/>
          <w:szCs w:val="12"/>
          <w:b w:val="1"/>
          <w:bCs w:val="1"/>
          <w:color w:val="auto"/>
        </w:rPr>
        <w:t>HEREOF</w:t>
      </w:r>
      <w:r>
        <w:rPr>
          <w:rFonts w:ascii="Times New Roman" w:cs="Times New Roman" w:eastAsia="Times New Roman" w:hAnsi="Times New Roman"/>
          <w:sz w:val="18"/>
          <w:szCs w:val="18"/>
          <w:color w:val="auto"/>
        </w:rPr>
        <w:t>, the undersigned have set their hands hereto as of the 9</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day of May,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 Thomas B. Neff</w:t>
            </w:r>
          </w:p>
        </w:tc>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/s/ Pat Cotroneo</w:t>
            </w:r>
          </w:p>
        </w:tc>
      </w:tr>
      <w:tr>
        <w:trPr>
          <w:trHeight w:val="191"/>
        </w:trPr>
        <w:tc>
          <w:tcPr>
            <w:tcW w:w="20" w:type="dxa"/>
            <w:vAlign w:val="bottom"/>
          </w:tcPr>
          <w:p>
            <w:pPr>
              <w:spacing w:after="0"/>
              <w:rPr>
                <w:sz w:val="16"/>
                <w:szCs w:val="16"/>
                <w:color w:val="auto"/>
              </w:rPr>
            </w:pPr>
          </w:p>
        </w:tc>
        <w:tc>
          <w:tcPr>
            <w:tcW w:w="51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Thomas B. Neff</w:t>
            </w:r>
          </w:p>
        </w:tc>
        <w:tc>
          <w:tcPr>
            <w:tcW w:w="1120" w:type="dxa"/>
            <w:vAlign w:val="bottom"/>
          </w:tcPr>
          <w:p>
            <w:pPr>
              <w:spacing w:after="0"/>
              <w:rPr>
                <w:sz w:val="16"/>
                <w:szCs w:val="16"/>
                <w:color w:val="auto"/>
              </w:rPr>
            </w:pPr>
          </w:p>
        </w:tc>
        <w:tc>
          <w:tcPr>
            <w:tcW w:w="51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Pat Cotroneo</w:t>
            </w:r>
          </w:p>
        </w:tc>
      </w:tr>
      <w:tr>
        <w:trPr>
          <w:trHeight w:val="216"/>
        </w:trPr>
        <w:tc>
          <w:tcPr>
            <w:tcW w:w="6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Chairman of the Board and Chief Executive Officer</w:t>
            </w:r>
          </w:p>
        </w:tc>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 Finance and</w:t>
            </w:r>
          </w:p>
        </w:tc>
      </w:tr>
      <w:tr>
        <w:trPr>
          <w:trHeight w:val="234"/>
        </w:trPr>
        <w:tc>
          <w:tcPr>
            <w:tcW w:w="2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98"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This certification accompanies the Form 10-Q to which it relates, is not deemed filed with the Securities and Exchange Commission and is not to be incorporated by reference into any filing of FibroGen, Inc. under the Securities Act of 1933, as amended, or the Securities Exchange Act of 1934, as amended (whether made before or after the date of the Form 10-Q), irrespective of any general incorporation language contained in such filing.</w:t>
      </w:r>
    </w:p>
    <w:sectPr>
      <w:pgSz w:w="11900" w:h="16838" w:orient="portrait"/>
      <w:cols w:equalWidth="0" w:num="1">
        <w:col w:w="11420"/>
      </w:cols>
      <w:pgMar w:left="240" w:top="11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EDBDAB"/>
    <w:multiLevelType w:val="hybridMultilevel"/>
    <w:lvl w:ilvl="0">
      <w:lvlJc w:val="left"/>
      <w:lvlText w:val="☑"/>
      <w:numFmt w:val="bullet"/>
      <w:start w:val="1"/>
    </w:lvl>
  </w:abstractNum>
  <w:abstractNum w:abstractNumId="1">
    <w:nsid w:val="79838CB2"/>
    <w:multiLevelType w:val="hybridMultilevel"/>
    <w:lvl w:ilvl="0">
      <w:lvlJc w:val="left"/>
      <w:lvlText w:val="☐"/>
      <w:numFmt w:val="bullet"/>
      <w:start w:val="1"/>
    </w:lvl>
  </w:abstractNum>
  <w:abstractNum w:abstractNumId="2">
    <w:nsid w:val="4353D0CD"/>
    <w:multiLevelType w:val="hybridMultilevel"/>
    <w:lvl w:ilvl="0">
      <w:lvlJc w:val="left"/>
      <w:lvlText w:val="%1."/>
      <w:numFmt w:val="decimal"/>
      <w:start w:val="1"/>
    </w:lvl>
  </w:abstractNum>
  <w:abstractNum w:abstractNumId="3">
    <w:nsid w:val="B03E0C6"/>
    <w:multiLevelType w:val="hybridMultilevel"/>
    <w:lvl w:ilvl="0">
      <w:lvlJc w:val="left"/>
      <w:lvlText w:val="%1."/>
      <w:numFmt w:val="decimal"/>
      <w:start w:val="2"/>
    </w:lvl>
  </w:abstractNum>
  <w:abstractNum w:abstractNumId="4">
    <w:nsid w:val="189A769B"/>
    <w:multiLevelType w:val="hybridMultilevel"/>
    <w:lvl w:ilvl="0">
      <w:lvlJc w:val="left"/>
      <w:lvlText w:val="%1."/>
      <w:numFmt w:val="decimal"/>
      <w:start w:val="3"/>
    </w:lvl>
  </w:abstractNum>
  <w:abstractNum w:abstractNumId="5">
    <w:nsid w:val="54E49EB4"/>
    <w:multiLevelType w:val="hybridMultilevel"/>
    <w:lvl w:ilvl="0">
      <w:lvlJc w:val="left"/>
      <w:lvlText w:val="%1."/>
      <w:numFmt w:val="decimal"/>
      <w:start w:val="4"/>
    </w:lvl>
  </w:abstractNum>
  <w:abstractNum w:abstractNumId="6">
    <w:nsid w:val="71F32454"/>
    <w:multiLevelType w:val="hybridMultilevel"/>
    <w:lvl w:ilvl="0">
      <w:lvlJc w:val="left"/>
      <w:lvlText w:val="%1."/>
      <w:numFmt w:val="decimal"/>
      <w:start w:val="6"/>
    </w:lvl>
  </w:abstractNum>
  <w:abstractNum w:abstractNumId="7">
    <w:nsid w:val="2CA88611"/>
    <w:multiLevelType w:val="hybridMultilevel"/>
    <w:lvl w:ilvl="0">
      <w:lvlJc w:val="left"/>
      <w:lvlText w:val="%1."/>
      <w:numFmt w:val="decimal"/>
      <w:start w:val="7"/>
    </w:lvl>
  </w:abstractNum>
  <w:abstractNum w:abstractNumId="8">
    <w:nsid w:val="836C40E"/>
    <w:multiLevelType w:val="hybridMultilevel"/>
    <w:lvl w:ilvl="0">
      <w:lvlJc w:val="left"/>
      <w:lvlText w:val="%1."/>
      <w:numFmt w:val="decimal"/>
      <w:start w:val="8"/>
    </w:lvl>
  </w:abstractNum>
  <w:abstractNum w:abstractNumId="9">
    <w:nsid w:val="2901D82"/>
    <w:multiLevelType w:val="hybridMultilevel"/>
    <w:lvl w:ilvl="0">
      <w:lvlJc w:val="left"/>
      <w:lvlText w:val="•"/>
      <w:numFmt w:val="bullet"/>
      <w:start w:val="1"/>
    </w:lvl>
  </w:abstractNum>
  <w:abstractNum w:abstractNumId="10">
    <w:nsid w:val="3A95F874"/>
    <w:multiLevelType w:val="hybridMultilevel"/>
    <w:lvl w:ilvl="0">
      <w:lvlJc w:val="left"/>
      <w:lvlText w:val="•"/>
      <w:numFmt w:val="bullet"/>
      <w:start w:val="1"/>
    </w:lvl>
  </w:abstractNum>
  <w:abstractNum w:abstractNumId="11">
    <w:nsid w:val="8138641"/>
    <w:multiLevelType w:val="hybridMultilevel"/>
    <w:lvl w:ilvl="0">
      <w:lvlJc w:val="left"/>
      <w:lvlText w:val="•"/>
      <w:numFmt w:val="bullet"/>
      <w:start w:val="1"/>
    </w:lvl>
  </w:abstractNum>
  <w:abstractNum w:abstractNumId="12">
    <w:nsid w:val="1E7FF521"/>
    <w:multiLevelType w:val="hybridMultilevel"/>
    <w:lvl w:ilvl="0">
      <w:lvlJc w:val="left"/>
      <w:lvlText w:val="•"/>
      <w:numFmt w:val="bullet"/>
      <w:start w:val="1"/>
    </w:lvl>
  </w:abstractNum>
  <w:abstractNum w:abstractNumId="13">
    <w:nsid w:val="7C3DBD3D"/>
    <w:multiLevelType w:val="hybridMultilevel"/>
    <w:lvl w:ilvl="0">
      <w:lvlJc w:val="left"/>
      <w:lvlText w:val="•"/>
      <w:numFmt w:val="bullet"/>
      <w:start w:val="1"/>
    </w:lvl>
  </w:abstractNum>
  <w:abstractNum w:abstractNumId="14">
    <w:nsid w:val="737B8DDC"/>
    <w:multiLevelType w:val="hybridMultilevel"/>
    <w:lvl w:ilvl="0">
      <w:lvlJc w:val="left"/>
      <w:lvlText w:val="•"/>
      <w:numFmt w:val="bullet"/>
      <w:start w:val="1"/>
    </w:lvl>
  </w:abstractNum>
  <w:abstractNum w:abstractNumId="15">
    <w:nsid w:val="6CEAF087"/>
    <w:multiLevelType w:val="hybridMultilevel"/>
    <w:lvl w:ilvl="0">
      <w:lvlJc w:val="left"/>
      <w:lvlText w:val="•"/>
      <w:numFmt w:val="bullet"/>
      <w:start w:val="1"/>
    </w:lvl>
  </w:abstractNum>
  <w:abstractNum w:abstractNumId="16">
    <w:nsid w:val="22221A70"/>
    <w:multiLevelType w:val="hybridMultilevel"/>
    <w:lvl w:ilvl="0">
      <w:lvlJc w:val="left"/>
      <w:lvlText w:val="•"/>
      <w:numFmt w:val="bullet"/>
      <w:start w:val="1"/>
    </w:lvl>
  </w:abstractNum>
  <w:abstractNum w:abstractNumId="17">
    <w:nsid w:val="4516DDE9"/>
    <w:multiLevelType w:val="hybridMultilevel"/>
    <w:lvl w:ilvl="0">
      <w:lvlJc w:val="left"/>
      <w:lvlText w:val="•"/>
      <w:numFmt w:val="bullet"/>
      <w:start w:val="1"/>
    </w:lvl>
  </w:abstractNum>
  <w:abstractNum w:abstractNumId="18">
    <w:nsid w:val="3006C83E"/>
    <w:multiLevelType w:val="hybridMultilevel"/>
    <w:lvl w:ilvl="0">
      <w:lvlJc w:val="left"/>
      <w:lvlText w:val="•"/>
      <w:numFmt w:val="bullet"/>
      <w:start w:val="1"/>
    </w:lvl>
  </w:abstractNum>
  <w:abstractNum w:abstractNumId="19">
    <w:nsid w:val="614FD4A1"/>
    <w:multiLevelType w:val="hybridMultilevel"/>
    <w:lvl w:ilvl="0">
      <w:lvlJc w:val="left"/>
      <w:lvlText w:val="•"/>
      <w:numFmt w:val="bullet"/>
      <w:start w:val="1"/>
    </w:lvl>
  </w:abstractNum>
  <w:abstractNum w:abstractNumId="20">
    <w:nsid w:val="419AC241"/>
    <w:multiLevelType w:val="hybridMultilevel"/>
    <w:lvl w:ilvl="0">
      <w:lvlJc w:val="left"/>
      <w:lvlText w:val="•"/>
      <w:numFmt w:val="bullet"/>
      <w:start w:val="1"/>
    </w:lvl>
  </w:abstractNum>
  <w:abstractNum w:abstractNumId="21">
    <w:nsid w:val="5577F8E1"/>
    <w:multiLevelType w:val="hybridMultilevel"/>
    <w:lvl w:ilvl="0">
      <w:lvlJc w:val="left"/>
      <w:lvlText w:val="•"/>
      <w:numFmt w:val="bullet"/>
      <w:start w:val="1"/>
    </w:lvl>
  </w:abstractNum>
  <w:abstractNum w:abstractNumId="22">
    <w:nsid w:val="440BADFC"/>
    <w:multiLevelType w:val="hybridMultilevel"/>
    <w:lvl w:ilvl="0">
      <w:lvlJc w:val="left"/>
      <w:lvlText w:val="•"/>
      <w:numFmt w:val="bullet"/>
      <w:start w:val="1"/>
    </w:lvl>
  </w:abstractNum>
  <w:abstractNum w:abstractNumId="23">
    <w:nsid w:val="5072367"/>
    <w:multiLevelType w:val="hybridMultilevel"/>
    <w:lvl w:ilvl="0">
      <w:lvlJc w:val="left"/>
      <w:lvlText w:val="•"/>
      <w:numFmt w:val="bullet"/>
      <w:start w:val="1"/>
    </w:lvl>
  </w:abstractNum>
  <w:abstractNum w:abstractNumId="24">
    <w:nsid w:val="3804823E"/>
    <w:multiLevelType w:val="hybridMultilevel"/>
    <w:lvl w:ilvl="0">
      <w:lvlJc w:val="left"/>
      <w:lvlText w:val="•"/>
      <w:numFmt w:val="bullet"/>
      <w:start w:val="1"/>
    </w:lvl>
  </w:abstractNum>
  <w:abstractNum w:abstractNumId="25">
    <w:nsid w:val="77465F01"/>
    <w:multiLevelType w:val="hybridMultilevel"/>
    <w:lvl w:ilvl="0">
      <w:lvlJc w:val="left"/>
      <w:lvlText w:val="•"/>
      <w:numFmt w:val="bullet"/>
      <w:start w:val="1"/>
    </w:lvl>
  </w:abstractNum>
  <w:abstractNum w:abstractNumId="26">
    <w:nsid w:val="7724C67E"/>
    <w:multiLevelType w:val="hybridMultilevel"/>
    <w:lvl w:ilvl="0">
      <w:lvlJc w:val="left"/>
      <w:lvlText w:val="•"/>
      <w:numFmt w:val="bullet"/>
      <w:start w:val="1"/>
    </w:lvl>
  </w:abstractNum>
  <w:abstractNum w:abstractNumId="27">
    <w:nsid w:val="5C482A97"/>
    <w:multiLevelType w:val="hybridMultilevel"/>
    <w:lvl w:ilvl="0">
      <w:lvlJc w:val="left"/>
      <w:lvlText w:val="•"/>
      <w:numFmt w:val="bullet"/>
      <w:start w:val="1"/>
    </w:lvl>
  </w:abstractNum>
  <w:abstractNum w:abstractNumId="28">
    <w:nsid w:val="2463B9EA"/>
    <w:multiLevelType w:val="hybridMultilevel"/>
    <w:lvl w:ilvl="0">
      <w:lvlJc w:val="left"/>
      <w:lvlText w:val="•"/>
      <w:numFmt w:val="bullet"/>
      <w:start w:val="1"/>
    </w:lvl>
  </w:abstractNum>
  <w:abstractNum w:abstractNumId="29">
    <w:nsid w:val="5E884ADC"/>
    <w:multiLevelType w:val="hybridMultilevel"/>
    <w:lvl w:ilvl="0">
      <w:lvlJc w:val="left"/>
      <w:lvlText w:val="•"/>
      <w:numFmt w:val="bullet"/>
      <w:start w:val="1"/>
    </w:lvl>
  </w:abstractNum>
  <w:abstractNum w:abstractNumId="30">
    <w:nsid w:val="51EAD36B"/>
    <w:multiLevelType w:val="hybridMultilevel"/>
    <w:lvl w:ilvl="0">
      <w:lvlJc w:val="left"/>
      <w:lvlText w:val="•"/>
      <w:numFmt w:val="bullet"/>
      <w:start w:val="1"/>
    </w:lvl>
  </w:abstractNum>
  <w:abstractNum w:abstractNumId="31">
    <w:nsid w:val="2D517796"/>
    <w:multiLevelType w:val="hybridMultilevel"/>
    <w:lvl w:ilvl="0">
      <w:lvlJc w:val="left"/>
      <w:lvlText w:val="•"/>
      <w:numFmt w:val="bullet"/>
      <w:start w:val="1"/>
    </w:lvl>
  </w:abstractNum>
  <w:abstractNum w:abstractNumId="32">
    <w:nsid w:val="580BD78F"/>
    <w:multiLevelType w:val="hybridMultilevel"/>
    <w:lvl w:ilvl="0">
      <w:lvlJc w:val="left"/>
      <w:lvlText w:val="•"/>
      <w:numFmt w:val="bullet"/>
      <w:start w:val="1"/>
    </w:lvl>
  </w:abstractNum>
  <w:abstractNum w:abstractNumId="33">
    <w:nsid w:val="153EA438"/>
    <w:multiLevelType w:val="hybridMultilevel"/>
    <w:lvl w:ilvl="0">
      <w:lvlJc w:val="left"/>
      <w:lvlText w:val="•"/>
      <w:numFmt w:val="bullet"/>
      <w:start w:val="1"/>
    </w:lvl>
  </w:abstractNum>
  <w:abstractNum w:abstractNumId="34">
    <w:nsid w:val="3855585C"/>
    <w:multiLevelType w:val="hybridMultilevel"/>
    <w:lvl w:ilvl="0">
      <w:lvlJc w:val="left"/>
      <w:lvlText w:val="•"/>
      <w:numFmt w:val="bullet"/>
      <w:start w:val="1"/>
    </w:lvl>
  </w:abstractNum>
  <w:abstractNum w:abstractNumId="35">
    <w:nsid w:val="70A64E2A"/>
    <w:multiLevelType w:val="hybridMultilevel"/>
    <w:lvl w:ilvl="0">
      <w:lvlJc w:val="left"/>
      <w:lvlText w:val="•"/>
      <w:numFmt w:val="bullet"/>
      <w:start w:val="1"/>
    </w:lvl>
  </w:abstractNum>
  <w:abstractNum w:abstractNumId="36">
    <w:nsid w:val="6A2342EC"/>
    <w:multiLevelType w:val="hybridMultilevel"/>
    <w:lvl w:ilvl="0">
      <w:lvlJc w:val="left"/>
      <w:lvlText w:val="•"/>
      <w:numFmt w:val="bullet"/>
      <w:start w:val="1"/>
    </w:lvl>
  </w:abstractNum>
  <w:abstractNum w:abstractNumId="37">
    <w:nsid w:val="2A487CB0"/>
    <w:multiLevelType w:val="hybridMultilevel"/>
    <w:lvl w:ilvl="0">
      <w:lvlJc w:val="left"/>
      <w:lvlText w:val="•"/>
      <w:numFmt w:val="bullet"/>
      <w:start w:val="1"/>
    </w:lvl>
  </w:abstractNum>
  <w:abstractNum w:abstractNumId="38">
    <w:nsid w:val="1D4ED43B"/>
    <w:multiLevelType w:val="hybridMultilevel"/>
    <w:lvl w:ilvl="0">
      <w:lvlJc w:val="left"/>
      <w:lvlText w:val="*"/>
      <w:numFmt w:val="bullet"/>
      <w:start w:val="1"/>
    </w:lvl>
    <w:lvl w:ilvl="1">
      <w:lvlJc w:val="left"/>
      <w:lvlText w:val="(%2)"/>
      <w:numFmt w:val="lowerRoman"/>
      <w:start w:val="1"/>
    </w:lvl>
  </w:abstractNum>
  <w:abstractNum w:abstractNumId="39">
    <w:nsid w:val="725A06FB"/>
    <w:multiLevelType w:val="hybridMultilevel"/>
    <w:lvl w:ilvl="0">
      <w:lvlJc w:val="left"/>
      <w:lvlText w:val="†"/>
      <w:numFmt w:val="bullet"/>
      <w:start w:val="1"/>
    </w:lvl>
  </w:abstractNum>
  <w:abstractNum w:abstractNumId="40">
    <w:nsid w:val="2CD89A32"/>
    <w:multiLevelType w:val="hybridMultilevel"/>
    <w:lvl w:ilvl="0">
      <w:lvlJc w:val="left"/>
      <w:lvlText w:val="[*]"/>
      <w:numFmt w:val="bullet"/>
      <w:start w:val="1"/>
    </w:lvl>
  </w:abstractNum>
  <w:abstractNum w:abstractNumId="41">
    <w:nsid w:val="57E4CCAF"/>
    <w:multiLevelType w:val="hybridMultilevel"/>
    <w:lvl w:ilvl="0">
      <w:lvlJc w:val="left"/>
      <w:lvlText w:val="&amp;"/>
      <w:numFmt w:val="bullet"/>
      <w:start w:val="1"/>
    </w:lvl>
  </w:abstractNum>
  <w:abstractNum w:abstractNumId="42">
    <w:nsid w:val="7A6D8D3C"/>
    <w:multiLevelType w:val="hybridMultilevel"/>
    <w:lvl w:ilvl="0">
      <w:lvlJc w:val="left"/>
      <w:lvlText w:val="[*]"/>
      <w:numFmt w:val="bullet"/>
      <w:start w:val="1"/>
    </w:lvl>
  </w:abstractNum>
  <w:abstractNum w:abstractNumId="43">
    <w:nsid w:val="4B588F54"/>
    <w:multiLevelType w:val="hybridMultilevel"/>
    <w:lvl w:ilvl="0">
      <w:lvlJc w:val="left"/>
      <w:lvlText w:val="%1."/>
      <w:numFmt w:val="decimal"/>
      <w:start w:val="1"/>
    </w:lvl>
  </w:abstractNum>
  <w:abstractNum w:abstractNumId="44">
    <w:nsid w:val="542289EC"/>
    <w:multiLevelType w:val="hybridMultilevel"/>
    <w:lvl w:ilvl="0">
      <w:lvlJc w:val="left"/>
      <w:lvlText w:val="[*]"/>
      <w:numFmt w:val="bullet"/>
      <w:start w:val="1"/>
    </w:lvl>
  </w:abstractNum>
  <w:abstractNum w:abstractNumId="45">
    <w:nsid w:val="6DE91B18"/>
    <w:multiLevelType w:val="hybridMultilevel"/>
    <w:lvl w:ilvl="0">
      <w:lvlJc w:val="left"/>
      <w:lvlText w:val="%1."/>
      <w:numFmt w:val="decimal"/>
      <w:start w:val="1"/>
    </w:lvl>
    <w:lvl w:ilvl="1">
      <w:lvlJc w:val="left"/>
      <w:lvlText w:val="(%2)"/>
      <w:numFmt w:val="lowerLetter"/>
      <w:start w:val="1"/>
    </w:lvl>
  </w:abstractNum>
  <w:abstractNum w:abstractNumId="46">
    <w:nsid w:val="38437FDB"/>
    <w:multiLevelType w:val="hybridMultilevel"/>
    <w:lvl w:ilvl="0">
      <w:lvlJc w:val="left"/>
      <w:lvlText w:val="%1."/>
      <w:numFmt w:val="decimal"/>
      <w:start w:val="1"/>
    </w:lvl>
    <w:lvl w:ilvl="1">
      <w:lvlJc w:val="left"/>
      <w:lvlText w:val="(%2)"/>
      <w:numFmt w:val="lowerLetter"/>
      <w:start w:val="1"/>
    </w:lvl>
  </w:abstractNum>
  <w:abstractNum w:abstractNumId="47">
    <w:nsid w:val="7644A45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14" Type="http://schemas.openxmlformats.org/officeDocument/2006/relationships/image" Target="media/image99.png"/><Relationship Id="rId115" Type="http://schemas.openxmlformats.org/officeDocument/2006/relationships/image" Target="media/image100.png"/><Relationship Id="rId116" Type="http://schemas.openxmlformats.org/officeDocument/2006/relationships/image" Target="media/image101.png"/><Relationship Id="rId117" Type="http://schemas.openxmlformats.org/officeDocument/2006/relationships/image" Target="media/image102.png"/><Relationship Id="rId118" Type="http://schemas.openxmlformats.org/officeDocument/2006/relationships/image" Target="media/image103.png"/><Relationship Id="rId119" Type="http://schemas.openxmlformats.org/officeDocument/2006/relationships/image" Target="media/image104.png"/><Relationship Id="rId120" Type="http://schemas.openxmlformats.org/officeDocument/2006/relationships/image" Target="media/image105.png"/><Relationship Id="rId106" Type="http://schemas.openxmlformats.org/officeDocument/2006/relationships/hyperlink" Target="http://www.sec.gov/Archives/edgar/data/921299/000119312514420380/d824859dex31.htm" TargetMode="External"/><Relationship Id="rId107" Type="http://schemas.openxmlformats.org/officeDocument/2006/relationships/hyperlink" Target="http://www.sec.gov/Archives/edgar/data/921299/000119312514380087/d720189dex34.htm" TargetMode="External"/><Relationship Id="rId108" Type="http://schemas.openxmlformats.org/officeDocument/2006/relationships/hyperlink" Target="http://www.sec.gov/Archives/edgar/data/921299/000119312514420380/d824859dex41.htm" TargetMode="External"/><Relationship Id="rId109" Type="http://schemas.openxmlformats.org/officeDocument/2006/relationships/hyperlink" Target="http://www.sec.gov/Archives/edgar/data/921299/000119312514359619/d720189dex42.htm" TargetMode="External"/><Relationship Id="rId110" Type="http://schemas.openxmlformats.org/officeDocument/2006/relationships/hyperlink" Target="http://www.sec.gov/Archives/edgar/data/921299/000119312514359619/d720189dex47.htm" TargetMode="External"/><Relationship Id="rId111" Type="http://schemas.openxmlformats.org/officeDocument/2006/relationships/hyperlink" Target="http://www.sec.gov/Archives/edgar/data/921299/000119312514359619/d720189dex412.htm" TargetMode="External"/><Relationship Id="rId112" Type="http://schemas.openxmlformats.org/officeDocument/2006/relationships/hyperlink" Target="http://www.sec.gov/Archives/edgar/data/921299/000119312514381669/d720189dex417.htm" TargetMode="External"/><Relationship Id="rId113" Type="http://schemas.openxmlformats.org/officeDocument/2006/relationships/hyperlink" Target="http://www.sec.gov/Archives/edgar/data/921299/000156459017022738/fgen-ex46_9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2019-12-28T12:13:35Z</dcterms:created>
  <dcterms:modified xsi:type="dcterms:W3CDTF">2019-12-28T12:13:35Z</dcterms:modified>
</cp:coreProperties>
</file>