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940"/>
        <w:spacing w:after="0"/>
        <w:tabs>
          <w:tab w:leader="none" w:pos="678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-7620</wp:posOffset>
            </wp:positionV>
            <wp:extent cx="723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900" cy="8890"/>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1"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579"/>
              <w:spacing w:after="0"/>
              <w:rPr>
                <w:sz w:val="20"/>
                <w:szCs w:val="20"/>
                <w:color w:val="auto"/>
              </w:rPr>
            </w:pPr>
            <w:r>
              <w:rPr>
                <w:rFonts w:ascii="Arial" w:cs="Arial" w:eastAsia="Arial" w:hAnsi="Arial"/>
                <w:sz w:val="18"/>
                <w:szCs w:val="18"/>
                <w:b w:val="1"/>
                <w:bCs w:val="1"/>
                <w:color w:val="auto"/>
              </w:rPr>
              <w:t>77-0357827</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64"/>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0"/>
              </w:rPr>
              <w:t>409 Illinois Street</w:t>
            </w:r>
          </w:p>
        </w:tc>
        <w:tc>
          <w:tcPr>
            <w:tcW w:w="3620" w:type="dxa"/>
            <w:vAlign w:val="bottom"/>
          </w:tcPr>
          <w:p>
            <w:pPr>
              <w:spacing w:after="0"/>
              <w:rPr>
                <w:sz w:val="22"/>
                <w:szCs w:val="22"/>
                <w:color w:val="auto"/>
              </w:rPr>
            </w:pPr>
          </w:p>
        </w:tc>
      </w:t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89"/>
              </w:rPr>
              <w:t>San Francisco, CA</w:t>
            </w:r>
          </w:p>
        </w:tc>
        <w:tc>
          <w:tcPr>
            <w:tcW w:w="3620" w:type="dxa"/>
            <w:vAlign w:val="bottom"/>
          </w:tcPr>
          <w:p>
            <w:pPr>
              <w:jc w:val="right"/>
              <w:ind w:right="799"/>
              <w:spacing w:after="0"/>
              <w:rPr>
                <w:sz w:val="20"/>
                <w:szCs w:val="20"/>
                <w:color w:val="auto"/>
              </w:rPr>
            </w:pPr>
            <w:r>
              <w:rPr>
                <w:rFonts w:ascii="Arial" w:cs="Arial" w:eastAsia="Arial" w:hAnsi="Arial"/>
                <w:sz w:val="18"/>
                <w:szCs w:val="18"/>
                <w:b w:val="1"/>
                <w:bCs w:val="1"/>
                <w:color w:val="auto"/>
              </w:rPr>
              <w:t>94158</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1"/>
              </w:rPr>
              <w:t>(zip code)</w:t>
            </w:r>
          </w:p>
        </w:tc>
      </w:tr>
    </w:tbl>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978-1200</w:t>
      </w:r>
    </w:p>
    <w:p>
      <w:pPr>
        <w:spacing w:after="0" w:line="45"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520" w:type="dxa"/>
        <w:tblCellMar>
          <w:top w:w="0" w:type="dxa"/>
          <w:left w:w="0" w:type="dxa"/>
          <w:bottom w:w="0" w:type="dxa"/>
          <w:right w:w="0" w:type="dxa"/>
        </w:tblCellMar>
      </w:tblPr>
      <w:tr>
        <w:trPr>
          <w:trHeight w:val="211"/>
        </w:trPr>
        <w:tc>
          <w:tcPr>
            <w:tcW w:w="100" w:type="dxa"/>
            <w:vAlign w:val="bottom"/>
            <w:tcBorders>
              <w:right w:val="single" w:sz="8" w:color="auto"/>
            </w:tcBorders>
          </w:tcPr>
          <w:p>
            <w:pPr>
              <w:spacing w:after="0"/>
              <w:rPr>
                <w:sz w:val="18"/>
                <w:szCs w:val="18"/>
                <w:color w:val="auto"/>
              </w:rPr>
            </w:pPr>
          </w:p>
        </w:tc>
        <w:tc>
          <w:tcPr>
            <w:tcW w:w="262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rPr>
              <w:t>Title of each class</w:t>
            </w:r>
          </w:p>
        </w:tc>
        <w:tc>
          <w:tcPr>
            <w:tcW w:w="66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Trading Symbol</w:t>
            </w:r>
          </w:p>
        </w:tc>
        <w:tc>
          <w:tcPr>
            <w:tcW w:w="36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jc w:val="center"/>
              <w:ind w:right="137"/>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jc w:val="center"/>
              <w:ind w:right="157"/>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10"/>
        </w:trPr>
        <w:tc>
          <w:tcPr>
            <w:tcW w:w="100" w:type="dxa"/>
            <w:vAlign w:val="bottom"/>
            <w:tcBorders>
              <w:right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5"/>
              </w:rPr>
              <w:t>FGEN</w:t>
            </w:r>
          </w:p>
        </w:tc>
        <w:tc>
          <w:tcPr>
            <w:tcW w:w="3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jc w:val="center"/>
              <w:ind w:right="157"/>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740" w:type="dxa"/>
            <w:vAlign w:val="bottom"/>
            <w:gridSpan w:val="6"/>
          </w:tcPr>
          <w:p>
            <w:pPr>
              <w:jc w:val="center"/>
              <w:ind w:left="139"/>
              <w:spacing w:after="0"/>
              <w:rPr>
                <w:sz w:val="20"/>
                <w:szCs w:val="20"/>
                <w:color w:val="auto"/>
              </w:rPr>
            </w:pPr>
            <w:r>
              <w:rPr>
                <w:rFonts w:ascii="Arial" w:cs="Arial" w:eastAsia="Arial" w:hAnsi="Arial"/>
                <w:sz w:val="16"/>
                <w:szCs w:val="16"/>
                <w:b w:val="1"/>
                <w:bCs w:val="1"/>
                <w:color w:val="auto"/>
                <w:w w:val="89"/>
              </w:rPr>
              <w:t xml:space="preserve">Securities </w:t>
            </w:r>
            <w:r>
              <w:rPr>
                <w:rFonts w:ascii="Arial" w:cs="Arial" w:eastAsia="Arial" w:hAnsi="Arial"/>
                <w:sz w:val="18"/>
                <w:szCs w:val="18"/>
                <w:b w:val="1"/>
                <w:bCs w:val="1"/>
                <w:color w:val="auto"/>
                <w:w w:val="89"/>
              </w:rPr>
              <w:t>registered pursuant to Section 12(g) of the Act:</w:t>
            </w: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None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060" w:type="dxa"/>
            <w:vAlign w:val="bottom"/>
            <w:gridSpan w:val="4"/>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0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gridSpan w:val="2"/>
            <w:vMerge w:val="continue"/>
          </w:tcPr>
          <w:p>
            <w:pPr>
              <w:spacing w:after="0"/>
              <w:rPr>
                <w:sz w:val="20"/>
                <w:szCs w:val="20"/>
                <w:color w:val="auto"/>
              </w:rPr>
            </w:pPr>
          </w:p>
        </w:tc>
        <w:tc>
          <w:tcPr>
            <w:tcW w:w="3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00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2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8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6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66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72" w:lineRule="exact"/>
        <w:rPr>
          <w:sz w:val="24"/>
          <w:szCs w:val="24"/>
          <w:color w:val="auto"/>
        </w:rPr>
      </w:pPr>
    </w:p>
    <w:p>
      <w:pPr>
        <w:ind w:right="20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firstLine="518"/>
        <w:spacing w:after="0" w:line="234"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2019, was approximately $2,463.8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common stock outstanding as of January 31, 2020 was 87,999,804.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220" w:firstLine="518"/>
        <w:spacing w:after="0" w:line="238" w:lineRule="auto"/>
        <w:rPr>
          <w:sz w:val="20"/>
          <w:szCs w:val="20"/>
          <w:color w:val="auto"/>
        </w:rPr>
      </w:pPr>
      <w:r>
        <w:rPr>
          <w:rFonts w:ascii="Arial" w:cs="Arial" w:eastAsia="Arial" w:hAnsi="Arial"/>
          <w:sz w:val="14"/>
          <w:szCs w:val="14"/>
          <w:color w:val="auto"/>
        </w:rPr>
        <w:t>Items 10, 11, 12, 13 and 14 of Part III of this Annual Report on Form 10-K incorporate information by reference from the definitive proxy statement for the registrant’s 2020 Annual Meeting of Stockholders to be filed with the Securities and Exchange Commission pursuant to Regulation 14A not later than after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295275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8900" w:type="dxa"/>
            <w:vAlign w:val="bottom"/>
            <w:gridSpan w:val="16"/>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Unresolved Staff Comments</w:t>
              </w:r>
            </w:hyperlink>
          </w:p>
        </w:tc>
        <w:tc>
          <w:tcPr>
            <w:tcW w:w="7760" w:type="dxa"/>
            <w:vAlign w:val="bottom"/>
            <w:gridSpan w:val="11"/>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Properties</w:t>
              </w:r>
            </w:hyperlink>
          </w:p>
        </w:tc>
        <w:tc>
          <w:tcPr>
            <w:tcW w:w="9080" w:type="dxa"/>
            <w:vAlign w:val="bottom"/>
            <w:gridSpan w:val="18"/>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24"/>
                <w:szCs w:val="24"/>
                <w:color w:val="auto"/>
              </w:rPr>
            </w:pPr>
          </w:p>
        </w:tc>
        <w:tc>
          <w:tcPr>
            <w:tcW w:w="79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Selected Financial Data</w:t>
              </w:r>
            </w:hyperlink>
          </w:p>
        </w:tc>
        <w:tc>
          <w:tcPr>
            <w:tcW w:w="8100" w:type="dxa"/>
            <w:vAlign w:val="bottom"/>
            <w:gridSpan w:val="1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3"/>
          </w:tcPr>
          <w:p>
            <w:pPr>
              <w:spacing w:after="0"/>
              <w:rPr>
                <w:sz w:val="18"/>
                <w:szCs w:val="18"/>
                <w:color w:val="auto"/>
              </w:rPr>
            </w:pPr>
          </w:p>
        </w:tc>
        <w:tc>
          <w:tcPr>
            <w:tcW w:w="3360" w:type="dxa"/>
            <w:vAlign w:val="bottom"/>
            <w:gridSpan w:val="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Financial Statements and Supplementary Data</w:t>
              </w:r>
            </w:hyperlink>
          </w:p>
        </w:tc>
        <w:tc>
          <w:tcPr>
            <w:tcW w:w="5480" w:type="dxa"/>
            <w:vAlign w:val="bottom"/>
            <w:gridSpan w:val="6"/>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51">
              <w:r>
                <w:rPr>
                  <w:rFonts w:ascii="Arial" w:cs="Arial" w:eastAsia="Arial" w:hAnsi="Arial"/>
                  <w:sz w:val="18"/>
                  <w:szCs w:val="18"/>
                  <w:color w:val="0000EE"/>
                  <w:w w:val="90"/>
                </w:rPr>
                <w:t>Changes in and Disagreements with Accountants on Accounting and Financial Disclosures</w:t>
              </w:r>
            </w:hyperlink>
          </w:p>
        </w:tc>
        <w:tc>
          <w:tcPr>
            <w:tcW w:w="3260" w:type="dxa"/>
            <w:vAlign w:val="bottom"/>
            <w:gridSpan w:val="3"/>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51">
              <w:r>
                <w:rPr>
                  <w:rFonts w:ascii="Arial" w:cs="Arial" w:eastAsia="Arial" w:hAnsi="Arial"/>
                  <w:sz w:val="18"/>
                  <w:szCs w:val="18"/>
                  <w:color w:val="0000EE"/>
                  <w:w w:val="88"/>
                </w:rPr>
                <w:t>Controls and Procedures</w:t>
              </w:r>
            </w:hyperlink>
          </w:p>
        </w:tc>
        <w:tc>
          <w:tcPr>
            <w:tcW w:w="8040" w:type="dxa"/>
            <w:vAlign w:val="bottom"/>
            <w:gridSpan w:val="13"/>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20"/>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31"/>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PART III</w:t>
              </w:r>
            </w:hyperlink>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20"/>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5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720" w:type="dxa"/>
            <w:vAlign w:val="bottom"/>
            <w:gridSpan w:val="8"/>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20"/>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20"/>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45"/>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20" w:type="dxa"/>
            <w:vAlign w:val="bottom"/>
            <w:gridSpan w:val="2"/>
          </w:tcPr>
          <w:p>
            <w:pPr>
              <w:spacing w:after="0"/>
              <w:rPr>
                <w:sz w:val="24"/>
                <w:szCs w:val="24"/>
                <w:color w:val="auto"/>
              </w:rPr>
            </w:pPr>
          </w:p>
        </w:tc>
        <w:tc>
          <w:tcPr>
            <w:tcW w:w="9820" w:type="dxa"/>
            <w:vAlign w:val="bottom"/>
            <w:gridSpan w:val="20"/>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Signatures</w:t>
              </w:r>
            </w:hyperlink>
          </w:p>
        </w:tc>
        <w:tc>
          <w:tcPr>
            <w:tcW w:w="6660" w:type="dxa"/>
            <w:vAlign w:val="bottom"/>
            <w:gridSpan w:val="9"/>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669"/>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700" w:type="dxa"/>
            <w:vAlign w:val="bottom"/>
            <w:gridSpan w:val="12"/>
          </w:tcPr>
          <w:p>
            <w:pPr>
              <w:jc w:val="right"/>
              <w:ind w:right="74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the section of this Annual Report captioned “Risk Factors” and elsewhere in this Annual Report.</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leading biopharmaceutical company discovering, developing and commercializing a pipeline of first-in-class therapeutics. We apply our pioneering expertise in hypoxia-inducible factor (“HIF”) and connective tissue growth factor (“CTGF”) biology to advance innovative medicines for the treatment of anemia, fibrotic disease, and cancer.</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Roxadustat, our most advanced product, is an inhibitor of HIF prolyl hydroxylase (“HIF-PH”) that acts by stimulating the body’s natural pathway of erythropoiesis, or red blood cell production.</w:t>
      </w:r>
    </w:p>
    <w:p>
      <w:pPr>
        <w:spacing w:after="0" w:line="170"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 xml:space="preserve">In August 2019, roxadustat (China tradename: </w:t>
      </w:r>
      <w:r>
        <w:rPr>
          <w:rFonts w:ascii="Arial" w:cs="Arial" w:eastAsia="Arial" w:hAnsi="Arial"/>
          <w:sz w:val="27"/>
          <w:szCs w:val="27"/>
          <w:color w:val="auto"/>
          <w:vertAlign w:val="superscript"/>
        </w:rPr>
        <w:t>®</w:t>
      </w:r>
      <w:r>
        <w:rPr>
          <w:rFonts w:ascii="Arial" w:cs="Arial" w:eastAsia="Arial" w:hAnsi="Arial"/>
          <w:sz w:val="18"/>
          <w:szCs w:val="18"/>
          <w:color w:val="auto"/>
        </w:rPr>
        <w:t>) received marketing authorization in the People’s Republic of China (“China”) for the treatment of anemia caused by chronic kidney disease (“CKD”) in non-dialysis-dependent patients. Roxadustat was approved in China for the treatment of anemia caused by CKD in dialysis-dependent patients in December 2018.</w:t>
      </w:r>
    </w:p>
    <w:p>
      <w:pPr>
        <w:spacing w:after="0" w:line="203"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 xml:space="preserve">In September 2019, roxadustat (Evrenzo </w:t>
      </w:r>
      <w:r>
        <w:rPr>
          <w:rFonts w:ascii="Arial" w:cs="Arial" w:eastAsia="Arial" w:hAnsi="Arial"/>
          <w:sz w:val="27"/>
          <w:szCs w:val="27"/>
          <w:color w:val="auto"/>
          <w:vertAlign w:val="superscript"/>
        </w:rPr>
        <w:t>®</w:t>
      </w:r>
      <w:r>
        <w:rPr>
          <w:rFonts w:ascii="Arial" w:cs="Arial" w:eastAsia="Arial" w:hAnsi="Arial"/>
          <w:sz w:val="18"/>
          <w:szCs w:val="18"/>
          <w:color w:val="auto"/>
        </w:rPr>
        <w:t>) was approved in Japan for the treatment of anemia associated with CKD in dialysis-dependent patients, and in January 2020, Astellas Pharma Inc. (“Astellas”) submitted a supplemental New Drug Application (“NDA”) in Japan for the treatment of anemia in non-dialysis CKD patients.</w:t>
      </w:r>
    </w:p>
    <w:p>
      <w:pPr>
        <w:spacing w:after="0" w:line="2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conjunction with our collaboration partners, AstraZeneca AB (“AstraZeneca”) and Astellas, we have completed the Phase 3 trials of roxadustat intended to support our NDA in the United States (“U.S.”) and Marketing Authorization Application (“MAA”) in the European Union and the United Kingdom (“Europe”) for the treatment of anemia in CKD. Our NDA filing for roxadustat for the treatment of anemia in patients with dialysis-dependent CKD and in patients with non-dialysis-dependent CKD was accepted by the U.S. Food and Drug Administration (“FDA”) in February, 2020. Astellas is in the process of preparing an MAA for submission to the European Medicines Agency (“EMA”) in the second quarter of 2020 for the same indications. In addition, AstraZeneca has submitted applications for marketing approval of roxadustat in CKD anemia in Canada, Mexico, Taiwan, Philippines, and Singapore.</w:t>
      </w:r>
    </w:p>
    <w:p>
      <w:pPr>
        <w:spacing w:after="0" w:line="16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Beyond anemia in CKD, roxadustat is in Phase 3 clinical development in the U.S. and Europe and in Phase 2/3 development in China for anemia associated with myelodysplastic syndromes (“MDS”). We also began a Phase 2 clinical trial of roxadustat in the U.S. in chemotherapy-induced anemia (“CIA”) in the third quarter of 2019.</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 In 2019, we initiated a Phase 3 clinical program for the treatment of idiopathic pulmonary fibrosis (“IPF”) and a Phase 3 clinical program for locally advanced unresectable pancreatic cancer. We also plan to initiate a Phase 3 program for the treatment of Duchenne muscular dystrophy (“DMD”) in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Roxadustat is an orally administered small molecule that treats anemia by a mechanism of action that is different from that of erythropoiesis stimulating agents (“ESAs”). Roxadustat, as a HIF-PH inhibitor, relies on the natural mechanism by which the body responds to low oxygen levels. HIF is a transcription factor comprised of a HIF-alpha and a HIF-beta subunit, both of which are required to stimulate erythropoiesis. Under normal oxygen conditions, the HIF-alpha subunit is targeted for rapid degradation through the activity of a family of HIF-PH enzymes. However, under low oxygen conditions, the HIF-PH enzymes cannot function and HIF-alpha accumulates. HIF-alpha then combines with HIF-beta, and the newly formed HIF complex initiates transcription of a number of genes involved in the erythropoietic process, which ultimately leads to increased oxygen delivery to tissues. Roxadustat works by reversibly inhibiting the HIF-PH enzymes, thus mimicking this coordinated natural erythropoietic response through genes encoding the proteins involved in iron absorption, mobilization and transport as well as stimulation of red blood cell progenitors.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1804035</wp:posOffset>
            </wp:positionH>
            <wp:positionV relativeFrom="page">
              <wp:posOffset>372110</wp:posOffset>
            </wp:positionV>
            <wp:extent cx="3961765" cy="2186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96176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coordinated erythropoiesis activated by roxadustat includes both the stimulation of erythroid maturation, by increasing the body’s production of erythropoietin (“EPO”), and an increase in iron availability for hemoglobin synthesis in part through a decrease in hepcidin levels, which is particularly important in patients with inflammation. Patients taking roxadustat typically have a transient increase in circulating endogenous EPO levels at peak concentration within or near the physiologic range naturally experienced by humans adapting to hypoxic conditions such as at high altitude, following blood donation, or impaired lung function, such as pulmonary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351790</wp:posOffset>
            </wp:positionV>
            <wp:extent cx="3884930" cy="254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8493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By contrast, ESAs act only to stimulate erythroid maturation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addition, the lack of a coordinated increase in iron availability with ESAs may explain the hyporesponsiveness of patients with inflammation to this class of drugs. It also explains why patients taking ESAs need more IV iron supplementation and red blood cell transfusions than patients taking roxadustat do. Not only are IV iron and blood transfusions more costly than oral iron, but both are also associated with increased risk of hospitalization and death.</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contrast, the differentiated mechanism of action of roxadustat, which involves induction of the body’s own natural pathways to achieve a more complete erythropoiesis, has the potential to provide a safer and more effective treatment of anemia, including in the presence of inflammation, which normally limits iron availability.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Background of Anemia in Chronic Kidney Disease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Chronic kidney disease is a progressive disease characterized by gradual loss of kidney function that may eventually lead to kidney failure or end-stage renal disease (“ESRD”) requiring dialysis or a kidney transplant to survive. CKD affects 12% to 14% of the global adult population. CKD is more prevalent in developed countries, but is also growing rapidly in emerging markets such as China.</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Anemia can be a serious medical condition in which patients have insufficient red blood cells and low levels of hemoglobin, a protein in red blood cells that carries oxygen to cells throughout the body. Anemia in CKD is associated with increased risk of hospitalization, cardiovascular complications and death, and frequently causes significant fatigue, cognitive dysfunction, and considerable reduction of quality of life.</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Anemia is a complication of chronic kidney disease and becomes increasingly common as the disease advances. In the U.S., approximately 18 million adults have CKD Stages 3-5. Based on literature and market research, we estimate 25%, 50%, and 55% of CKD non-dialysis patients in Stages 3, 4, and 5, respectively, have anemia. This translates to an estimated 4.9 million CKD non-dialysis anemia patients, and we estimate that up to 50% may be addressable based on our expected label. Additionally, 90% of CKD patients on dialysis in the U.S., or approximately 0.5 million, have anemia.</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ESAs were introduced in 1989, they dramatically reduced the need for blood transfusions in CKD patients, which was a material development since transfusions reduce the patient’s opportunity for a kidney transplant and increase the risk of infections and complications such as heart failure and allergic reactions. However, multiple randomized clinical trials with ESAs suggested safety risks of ESA therapies, and as a result, the anemia guidelines and approved labels have changed to more restrictive use of ESAs. In the U.S., while 93% of dialysis patients receive ESAs, in contrast, the percentage of patients who are on one or more ESAs at the time of dialysis initiation declined from 30% in 2006 to 13.6% in 2017, despite the well-recognized health risks of untreated anemia.</w:t>
      </w:r>
    </w:p>
    <w:p>
      <w:pPr>
        <w:spacing w:after="0" w:line="19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to the safety concerns, which may be a greater impediment in the non-dialysis setting, other factors which contribute to the under-treatment of anemia in non-dialysis patients are related to the form of administration and accessibility of ESA products. ESAs are administered by infusion or subcutaneous injections, which is more difficult outside of dialysis centers or nephrology practices where non-dialysis patients are typically treated.</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dialysis-dependent population, most patients start receiving ESAs when the patient is transitioning to dialysis care. Patients face significant increased risk of death, cardiovascular events and hospitalizations during the first year on dialysis, and concurrently initiating anemia therapy adds complexity and safety risks. In addition, patients at an advanced stage CKD are often affected by chronic inflammation that leads to functional iron deficiency, requiring IV iron, and reduced effectiveness of ESAs.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Opportunity for Roxadustat</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there is a significant opportunity for roxadustat, a potentially safer and more effective anemia treatment, to address markets currently served by injectable ESAs. According to IQVIA MIDAS™ reports, global ESA sales in all indications totaled $7.5 billion in 2018, driven primarily by $5.4 billion sold in the U.S. and Europe, mostly for treatment of anemia in CKD. We further believe that the number of patients requiring anemia therapy will grow steadily as the global CKD population and access to dialysis care continue to expand, particularly in China and other emerging markets including the rest of Asia, Latin America, Eastern Europe, the Middle East, and the Commonwealth of Independent States. In addition, obesity, hypertension, and diabetes prevalence continue rising, and the mortality of ESRD patients is declining, particularly in many emerging markets.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Furthermore, we believe there is a significant opportunity for roxadustat to address patient segments that are currently not effectively served by ESAs, such as anemia in non-dialysis CKD due to under-diagnosis of CKD and under-treatment of anemia in this population. Awareness of health consequences and the burden of CKD may also improve the diagnosis rate of CKD, and thus anemia of CKD.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Completed Roxadustat Phase 3 Clinical Program in CKD Anemia</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table below summarizes the basis of our roxadustat U.S. NDA and planned MAA filing in Europe. Our NDA filing was accepted by the FDA in February 2020 for CKD anemia in both dialysis and non-dialysis patients. The FDA has set a Prescription Drug User Fee Act goal date of December 20, 2020. We expect Astellas to submit the MAA in Europe in the second quarter of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7"/>
          </w:tcPr>
          <w:p>
            <w:pPr>
              <w:ind w:left="40"/>
              <w:spacing w:after="0"/>
              <w:rPr>
                <w:sz w:val="20"/>
                <w:szCs w:val="20"/>
                <w:color w:val="auto"/>
              </w:rPr>
            </w:pPr>
            <w:r>
              <w:rPr>
                <w:rFonts w:ascii="Arial" w:cs="Arial" w:eastAsia="Arial" w:hAnsi="Arial"/>
                <w:sz w:val="18"/>
                <w:szCs w:val="18"/>
                <w:b w:val="1"/>
                <w:bCs w:val="1"/>
                <w:color w:val="auto"/>
              </w:rPr>
              <w:t>Roxadustat Phase 3 CKD Anemia Clinical Program</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Number of Patients</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Study Sponsor, Number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Comparator</w:t>
            </w:r>
          </w:p>
        </w:tc>
        <w:tc>
          <w:tcPr>
            <w:tcW w:w="1140" w:type="dxa"/>
            <w:vAlign w:val="bottom"/>
          </w:tcPr>
          <w:p>
            <w:pPr>
              <w:ind w:left="440"/>
              <w:spacing w:after="0"/>
              <w:rPr>
                <w:sz w:val="20"/>
                <w:szCs w:val="20"/>
                <w:color w:val="auto"/>
              </w:rPr>
            </w:pPr>
            <w:r>
              <w:rPr>
                <w:rFonts w:ascii="Arial" w:cs="Arial" w:eastAsia="Arial" w:hAnsi="Arial"/>
                <w:sz w:val="18"/>
                <w:szCs w:val="18"/>
                <w:b w:val="1"/>
                <w:bCs w:val="1"/>
                <w:color w:val="auto"/>
              </w:rPr>
              <w:t>U.S.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b w:val="1"/>
                <w:bCs w:val="1"/>
                <w:color w:val="auto"/>
              </w:rPr>
              <w:t>Europe</w:t>
            </w:r>
          </w:p>
        </w:tc>
        <w:tc>
          <w:tcPr>
            <w:tcW w:w="1480" w:type="dxa"/>
            <w:vAlign w:val="bottom"/>
            <w:gridSpan w:val="2"/>
          </w:tcPr>
          <w:p>
            <w:pPr>
              <w:ind w:left="380"/>
              <w:spacing w:after="0"/>
              <w:rPr>
                <w:sz w:val="20"/>
                <w:szCs w:val="20"/>
                <w:color w:val="auto"/>
              </w:rPr>
            </w:pPr>
            <w:r>
              <w:rPr>
                <w:rFonts w:ascii="Arial" w:cs="Arial" w:eastAsia="Arial" w:hAnsi="Arial"/>
                <w:sz w:val="18"/>
                <w:szCs w:val="18"/>
                <w:b w:val="1"/>
                <w:bCs w:val="1"/>
                <w:color w:val="auto"/>
              </w:rPr>
              <w:t>China</w:t>
            </w:r>
          </w:p>
        </w:tc>
        <w:tc>
          <w:tcPr>
            <w:tcW w:w="1260" w:type="dxa"/>
            <w:vAlign w:val="bottom"/>
          </w:tcPr>
          <w:p>
            <w:pPr>
              <w:ind w:left="380"/>
              <w:spacing w:after="0"/>
              <w:rPr>
                <w:sz w:val="20"/>
                <w:szCs w:val="20"/>
                <w:color w:val="auto"/>
              </w:rPr>
            </w:pPr>
            <w:r>
              <w:rPr>
                <w:rFonts w:ascii="Arial" w:cs="Arial" w:eastAsia="Arial" w:hAnsi="Arial"/>
                <w:sz w:val="18"/>
                <w:szCs w:val="18"/>
                <w:b w:val="1"/>
                <w:bCs w:val="1"/>
                <w:color w:val="auto"/>
              </w:rPr>
              <w:t>Japan</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1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FibroGen - FGCL-4592-060 (ANDES)</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Placebo</w:t>
            </w:r>
          </w:p>
        </w:tc>
        <w:tc>
          <w:tcPr>
            <w:tcW w:w="1140" w:type="dxa"/>
            <w:vAlign w:val="bottom"/>
          </w:tcPr>
          <w:p>
            <w:pPr>
              <w:ind w:left="680"/>
              <w:spacing w:after="0"/>
              <w:rPr>
                <w:sz w:val="20"/>
                <w:szCs w:val="20"/>
                <w:color w:val="auto"/>
              </w:rPr>
            </w:pPr>
            <w:r>
              <w:rPr>
                <w:rFonts w:ascii="Arial" w:cs="Arial" w:eastAsia="Arial" w:hAnsi="Arial"/>
                <w:sz w:val="18"/>
                <w:szCs w:val="18"/>
                <w:color w:val="auto"/>
                <w:w w:val="91"/>
              </w:rPr>
              <w:t>--------</w:t>
            </w:r>
          </w:p>
        </w:tc>
        <w:tc>
          <w:tcPr>
            <w:tcW w:w="1560" w:type="dxa"/>
            <w:vAlign w:val="bottom"/>
            <w:gridSpan w:val="3"/>
          </w:tcPr>
          <w:p>
            <w:pPr>
              <w:jc w:val="center"/>
              <w:ind w:right="550"/>
              <w:spacing w:after="0"/>
              <w:rPr>
                <w:sz w:val="20"/>
                <w:szCs w:val="20"/>
                <w:color w:val="auto"/>
              </w:rPr>
            </w:pPr>
            <w:r>
              <w:rPr>
                <w:rFonts w:ascii="Arial" w:cs="Arial" w:eastAsia="Arial" w:hAnsi="Arial"/>
                <w:sz w:val="18"/>
                <w:szCs w:val="18"/>
                <w:color w:val="auto"/>
                <w:w w:val="96"/>
              </w:rPr>
              <w:t>922 --------</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- 1517-CL-0608 (ALPS)</w:t>
            </w:r>
          </w:p>
        </w:tc>
        <w:tc>
          <w:tcPr>
            <w:tcW w:w="19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Placebo</w:t>
            </w:r>
          </w:p>
        </w:tc>
        <w:tc>
          <w:tcPr>
            <w:tcW w:w="114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1"/>
              </w:rPr>
              <w:t>--------</w:t>
            </w:r>
          </w:p>
        </w:tc>
        <w:tc>
          <w:tcPr>
            <w:tcW w:w="1560" w:type="dxa"/>
            <w:vAlign w:val="bottom"/>
            <w:gridSpan w:val="3"/>
            <w:shd w:val="clear" w:color="auto" w:fill="CFF0FC"/>
          </w:tcPr>
          <w:p>
            <w:pPr>
              <w:jc w:val="center"/>
              <w:ind w:right="550"/>
              <w:spacing w:after="0"/>
              <w:rPr>
                <w:sz w:val="20"/>
                <w:szCs w:val="20"/>
                <w:color w:val="auto"/>
              </w:rPr>
            </w:pPr>
            <w:r>
              <w:rPr>
                <w:rFonts w:ascii="Arial" w:cs="Arial" w:eastAsia="Arial" w:hAnsi="Arial"/>
                <w:sz w:val="18"/>
                <w:szCs w:val="18"/>
                <w:color w:val="auto"/>
                <w:w w:val="96"/>
              </w:rPr>
              <w:t>597 --------</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AstraZeneca - D5740C00001 (OLYMPUS)</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Placebo</w:t>
            </w:r>
          </w:p>
        </w:tc>
        <w:tc>
          <w:tcPr>
            <w:tcW w:w="1140" w:type="dxa"/>
            <w:vAlign w:val="bottom"/>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right="550"/>
              <w:spacing w:after="0"/>
              <w:rPr>
                <w:sz w:val="20"/>
                <w:szCs w:val="20"/>
                <w:color w:val="auto"/>
              </w:rPr>
            </w:pPr>
            <w:r>
              <w:rPr>
                <w:rFonts w:ascii="Arial" w:cs="Arial" w:eastAsia="Arial" w:hAnsi="Arial"/>
                <w:sz w:val="18"/>
                <w:szCs w:val="18"/>
                <w:color w:val="auto"/>
                <w:w w:val="93"/>
              </w:rPr>
              <w:t>2,781 --------</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- 1517-CL-0610</w:t>
            </w:r>
          </w:p>
        </w:tc>
        <w:tc>
          <w:tcPr>
            <w:tcW w:w="19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Darbepoetin alfa</w:t>
            </w:r>
          </w:p>
        </w:tc>
        <w:tc>
          <w:tcPr>
            <w:tcW w:w="1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center"/>
              <w:ind w:left="330"/>
              <w:spacing w:after="0"/>
              <w:rPr>
                <w:sz w:val="20"/>
                <w:szCs w:val="20"/>
                <w:color w:val="auto"/>
              </w:rPr>
            </w:pPr>
            <w:r>
              <w:rPr>
                <w:rFonts w:ascii="Arial" w:cs="Arial" w:eastAsia="Arial" w:hAnsi="Arial"/>
                <w:sz w:val="18"/>
                <w:szCs w:val="18"/>
                <w:color w:val="auto"/>
                <w:w w:val="86"/>
              </w:rPr>
              <w:t>616</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FibroGen - FGCL-4592-808</w:t>
            </w: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Placebo</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- 1517-CL-0310</w:t>
            </w:r>
          </w:p>
        </w:tc>
        <w:tc>
          <w:tcPr>
            <w:tcW w:w="19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Darbepoetin alfa</w:t>
            </w: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3"/>
              </w:rPr>
              <w:t>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- 1517-CL-0314</w:t>
            </w:r>
          </w:p>
        </w:tc>
        <w:tc>
          <w:tcPr>
            <w:tcW w:w="19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8"/>
              </w:rPr>
              <w:t>None</w:t>
            </w: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Non-Dialysis-Dependent CKD Subtotal by</w:t>
            </w:r>
          </w:p>
        </w:tc>
        <w:tc>
          <w:tcPr>
            <w:tcW w:w="1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Region</w:t>
            </w:r>
          </w:p>
        </w:tc>
        <w:tc>
          <w:tcPr>
            <w:tcW w:w="1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4,300</w:t>
            </w:r>
          </w:p>
        </w:tc>
        <w:tc>
          <w:tcPr>
            <w:tcW w:w="1560" w:type="dxa"/>
            <w:vAlign w:val="bottom"/>
            <w:gridSpan w:val="3"/>
            <w:shd w:val="clear" w:color="auto" w:fill="CFF0FC"/>
          </w:tcPr>
          <w:p>
            <w:pPr>
              <w:jc w:val="center"/>
              <w:ind w:left="310"/>
              <w:spacing w:after="0"/>
              <w:rPr>
                <w:sz w:val="20"/>
                <w:szCs w:val="20"/>
                <w:color w:val="auto"/>
              </w:rPr>
            </w:pPr>
            <w:r>
              <w:rPr>
                <w:rFonts w:ascii="Arial" w:cs="Arial" w:eastAsia="Arial" w:hAnsi="Arial"/>
                <w:sz w:val="18"/>
                <w:szCs w:val="18"/>
                <w:color w:val="auto"/>
                <w:w w:val="88"/>
              </w:rPr>
              <w:t>4,916</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3"/>
              </w:rPr>
              <w:t>433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STABLE DIALYSIS</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- 1517-CL-0613 (PYRENEES)</w:t>
            </w:r>
          </w:p>
        </w:tc>
        <w:tc>
          <w:tcPr>
            <w:tcW w:w="19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Epoetin alfa or</w:t>
            </w: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Darbepoetin alfa</w:t>
            </w:r>
          </w:p>
        </w:tc>
        <w:tc>
          <w:tcPr>
            <w:tcW w:w="114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center"/>
              <w:ind w:left="330"/>
              <w:spacing w:after="0"/>
              <w:rPr>
                <w:sz w:val="20"/>
                <w:szCs w:val="20"/>
                <w:color w:val="auto"/>
              </w:rPr>
            </w:pPr>
            <w:r>
              <w:rPr>
                <w:rFonts w:ascii="Arial" w:cs="Arial" w:eastAsia="Arial" w:hAnsi="Arial"/>
                <w:sz w:val="18"/>
                <w:szCs w:val="18"/>
                <w:color w:val="auto"/>
                <w:w w:val="86"/>
              </w:rPr>
              <w:t>838</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FibroGen - FGCL-4592-806</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Epoetin alfa</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- 1517-CL-0302</w:t>
            </w:r>
          </w:p>
        </w:tc>
        <w:tc>
          <w:tcPr>
            <w:tcW w:w="19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None</w:t>
            </w: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Astellas - 1517-CL-0307</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Darbepoetin alfa</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3"/>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- 1517-CL-0308</w:t>
            </w:r>
          </w:p>
        </w:tc>
        <w:tc>
          <w:tcPr>
            <w:tcW w:w="19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None</w:t>
            </w: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- 1517-CL-0312</w:t>
            </w:r>
          </w:p>
        </w:tc>
        <w:tc>
          <w:tcPr>
            <w:tcW w:w="19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8"/>
              </w:rPr>
              <w:t>None</w:t>
            </w: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164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STABLE AND INCIDENT DIALYSIS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AstraZeneca - D5740C00002 (ROCKIES)</w:t>
            </w:r>
          </w:p>
        </w:tc>
        <w:tc>
          <w:tcPr>
            <w:tcW w:w="19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Epoetin alfa</w:t>
            </w:r>
          </w:p>
        </w:tc>
        <w:tc>
          <w:tcPr>
            <w:tcW w:w="11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right="550"/>
              <w:spacing w:after="0"/>
              <w:rPr>
                <w:sz w:val="20"/>
                <w:szCs w:val="20"/>
                <w:color w:val="auto"/>
              </w:rPr>
            </w:pPr>
            <w:r>
              <w:rPr>
                <w:rFonts w:ascii="Arial" w:cs="Arial" w:eastAsia="Arial" w:hAnsi="Arial"/>
                <w:sz w:val="18"/>
                <w:szCs w:val="18"/>
                <w:color w:val="auto"/>
                <w:w w:val="93"/>
              </w:rPr>
              <w:t>2,133 --------</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FibroGen - FGCL-4592-064 (SIERRAS)</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Epoetin alfa</w:t>
            </w:r>
          </w:p>
        </w:tc>
        <w:tc>
          <w:tcPr>
            <w:tcW w:w="1140" w:type="dxa"/>
            <w:vAlign w:val="bottom"/>
          </w:tcPr>
          <w:p>
            <w:pPr>
              <w:ind w:left="680"/>
              <w:spacing w:after="0"/>
              <w:rPr>
                <w:sz w:val="20"/>
                <w:szCs w:val="20"/>
                <w:color w:val="auto"/>
              </w:rPr>
            </w:pPr>
            <w:r>
              <w:rPr>
                <w:rFonts w:ascii="Arial" w:cs="Arial" w:eastAsia="Arial" w:hAnsi="Arial"/>
                <w:sz w:val="18"/>
                <w:szCs w:val="18"/>
                <w:color w:val="auto"/>
                <w:w w:val="91"/>
              </w:rPr>
              <w:t>--------</w:t>
            </w:r>
          </w:p>
        </w:tc>
        <w:tc>
          <w:tcPr>
            <w:tcW w:w="1560" w:type="dxa"/>
            <w:vAlign w:val="bottom"/>
            <w:gridSpan w:val="3"/>
          </w:tcPr>
          <w:p>
            <w:pPr>
              <w:jc w:val="center"/>
              <w:ind w:right="550"/>
              <w:spacing w:after="0"/>
              <w:rPr>
                <w:sz w:val="20"/>
                <w:szCs w:val="20"/>
                <w:color w:val="auto"/>
              </w:rPr>
            </w:pPr>
            <w:r>
              <w:rPr>
                <w:rFonts w:ascii="Arial" w:cs="Arial" w:eastAsia="Arial" w:hAnsi="Arial"/>
                <w:sz w:val="18"/>
                <w:szCs w:val="18"/>
                <w:color w:val="auto"/>
                <w:w w:val="96"/>
              </w:rPr>
              <w:t>741 --------</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INCIDENT DIALYSIS</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FibroGen - FGCL-4592-063 (HIMALAYAS)</w:t>
            </w:r>
          </w:p>
        </w:tc>
        <w:tc>
          <w:tcPr>
            <w:tcW w:w="19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Epoetin alfa</w:t>
            </w:r>
          </w:p>
        </w:tc>
        <w:tc>
          <w:tcPr>
            <w:tcW w:w="114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right="550"/>
              <w:spacing w:after="0"/>
              <w:rPr>
                <w:sz w:val="20"/>
                <w:szCs w:val="20"/>
                <w:color w:val="auto"/>
              </w:rPr>
            </w:pPr>
            <w:r>
              <w:rPr>
                <w:rFonts w:ascii="Arial" w:cs="Arial" w:eastAsia="Arial" w:hAnsi="Arial"/>
                <w:sz w:val="18"/>
                <w:szCs w:val="18"/>
                <w:color w:val="auto"/>
                <w:w w:val="93"/>
              </w:rPr>
              <w:t>1,043 --------</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Dialysis-Dependent-CKD Subtotal by</w:t>
            </w:r>
          </w:p>
        </w:tc>
        <w:tc>
          <w:tcPr>
            <w:tcW w:w="1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Region</w:t>
            </w:r>
          </w:p>
        </w:tc>
        <w:tc>
          <w:tcPr>
            <w:tcW w:w="1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3,917</w:t>
            </w:r>
          </w:p>
        </w:tc>
        <w:tc>
          <w:tcPr>
            <w:tcW w:w="1560" w:type="dxa"/>
            <w:vAlign w:val="bottom"/>
            <w:gridSpan w:val="3"/>
            <w:shd w:val="clear" w:color="auto" w:fill="CFF0FC"/>
          </w:tcPr>
          <w:p>
            <w:pPr>
              <w:jc w:val="center"/>
              <w:ind w:left="310"/>
              <w:spacing w:after="0"/>
              <w:rPr>
                <w:sz w:val="20"/>
                <w:szCs w:val="20"/>
                <w:color w:val="auto"/>
              </w:rPr>
            </w:pPr>
            <w:r>
              <w:rPr>
                <w:rFonts w:ascii="Arial" w:cs="Arial" w:eastAsia="Arial" w:hAnsi="Arial"/>
                <w:sz w:val="18"/>
                <w:szCs w:val="18"/>
                <w:color w:val="auto"/>
                <w:w w:val="88"/>
              </w:rPr>
              <w:t>4,755</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3"/>
              </w:rPr>
              <w:t>598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by Regulatory Approval Region</w:t>
            </w:r>
          </w:p>
        </w:tc>
        <w:tc>
          <w:tcPr>
            <w:tcW w:w="18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b w:val="1"/>
                <w:bCs w:val="1"/>
                <w:color w:val="auto"/>
              </w:rPr>
              <w:t>8,217</w:t>
            </w:r>
          </w:p>
        </w:tc>
        <w:tc>
          <w:tcPr>
            <w:tcW w:w="1560" w:type="dxa"/>
            <w:vAlign w:val="bottom"/>
            <w:tcBorders>
              <w:bottom w:val="single" w:sz="8" w:color="auto"/>
            </w:tcBorders>
            <w:gridSpan w:val="3"/>
            <w:shd w:val="clear" w:color="auto" w:fill="CFF0FC"/>
          </w:tcPr>
          <w:p>
            <w:pPr>
              <w:jc w:val="center"/>
              <w:ind w:left="310"/>
              <w:spacing w:after="0"/>
              <w:rPr>
                <w:sz w:val="20"/>
                <w:szCs w:val="20"/>
                <w:color w:val="auto"/>
              </w:rPr>
            </w:pPr>
            <w:r>
              <w:rPr>
                <w:rFonts w:ascii="Arial" w:cs="Arial" w:eastAsia="Arial" w:hAnsi="Arial"/>
                <w:sz w:val="18"/>
                <w:szCs w:val="18"/>
                <w:b w:val="1"/>
                <w:bCs w:val="1"/>
                <w:color w:val="auto"/>
                <w:w w:val="88"/>
              </w:rPr>
              <w:t>9,671</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b w:val="1"/>
                <w:bCs w:val="1"/>
                <w:color w:val="auto"/>
              </w:rPr>
              <w:t>455</w:t>
            </w:r>
          </w:p>
        </w:tc>
        <w:tc>
          <w:tcPr>
            <w:tcW w:w="2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b w:val="1"/>
                <w:bCs w:val="1"/>
                <w:color w:val="auto"/>
                <w:w w:val="88"/>
              </w:rPr>
              <w:t>1,031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7"/>
              </w:rPr>
              <w:t>Combined Total to Support U.S. and Europe</w:t>
            </w: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gridSpan w:val="3"/>
            <w:vMerge w:val="continue"/>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Approvals</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w w:val="84"/>
              </w:rPr>
              <w:t>9,671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primary efficacy endpoint was met in each of the pivotal studies for the U.S. NDA and Europe MAA, as shown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 from Individual Phase 3 Studies of Roxadustat in CKD Anemia</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Summary of Roxadustat U.S. and Europe Phase 3 Primary Efficacy Results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50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Endpoint</w:t>
            </w:r>
          </w:p>
        </w:tc>
        <w:tc>
          <w:tcPr>
            <w:tcW w:w="26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Endpoint</w:t>
            </w:r>
          </w:p>
        </w:tc>
      </w:t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Study Sponsor, Number</w:t>
            </w:r>
          </w:p>
        </w:tc>
        <w:tc>
          <w:tcPr>
            <w:tcW w:w="27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U.S. Primary Endpoint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Met</w:t>
            </w: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Europe Primary Endpoint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Met</w:t>
            </w:r>
          </w:p>
        </w:tc>
      </w:tr>
      <w:tr>
        <w:trPr>
          <w:trHeight w:val="223"/>
        </w:trPr>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27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00"/>
          </w:cols>
          <w:pgMar w:left="240" w:top="557" w:right="259" w:bottom="1440" w:gutter="0" w:footer="0" w:header="0"/>
        </w:sectPr>
      </w:pPr>
    </w:p>
    <w:p>
      <w:pPr>
        <w:ind w:left="400" w:right="360"/>
        <w:spacing w:after="0" w:line="276" w:lineRule="auto"/>
        <w:rPr>
          <w:sz w:val="20"/>
          <w:szCs w:val="20"/>
          <w:color w:val="auto"/>
        </w:rPr>
      </w:pPr>
      <w:r>
        <w:rPr>
          <w:rFonts w:ascii="Arial" w:cs="Arial" w:eastAsia="Arial" w:hAnsi="Arial"/>
          <w:sz w:val="18"/>
          <w:szCs w:val="18"/>
          <w:color w:val="auto"/>
        </w:rPr>
        <w:t>FibroGen - FGCL-4592-060 (ANDES)</w:t>
      </w:r>
    </w:p>
    <w:p>
      <w:pPr>
        <w:spacing w:after="0" w:line="18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Astellas - 1517-CL-0608 (ALPS)</w:t>
      </w:r>
    </w:p>
    <w:p>
      <w:pPr>
        <w:spacing w:after="0" w:line="200" w:lineRule="exact"/>
        <w:rPr>
          <w:sz w:val="20"/>
          <w:szCs w:val="20"/>
          <w:color w:val="auto"/>
        </w:rPr>
      </w:pPr>
    </w:p>
    <w:p>
      <w:pPr>
        <w:spacing w:after="0" w:line="278" w:lineRule="exact"/>
        <w:rPr>
          <w:sz w:val="20"/>
          <w:szCs w:val="20"/>
          <w:color w:val="auto"/>
        </w:rPr>
      </w:pPr>
    </w:p>
    <w:p>
      <w:pPr>
        <w:ind w:left="400" w:right="280"/>
        <w:spacing w:after="0" w:line="308" w:lineRule="auto"/>
        <w:rPr>
          <w:sz w:val="20"/>
          <w:szCs w:val="20"/>
          <w:color w:val="auto"/>
        </w:rPr>
      </w:pPr>
      <w:r>
        <w:rPr>
          <w:rFonts w:ascii="Arial" w:cs="Arial" w:eastAsia="Arial" w:hAnsi="Arial"/>
          <w:sz w:val="17"/>
          <w:szCs w:val="17"/>
          <w:color w:val="auto"/>
        </w:rPr>
        <w:t>AstraZeneca - D5740C00001 (OLYMPUS)</w:t>
      </w:r>
    </w:p>
    <w:p>
      <w:pPr>
        <w:spacing w:after="0" w:line="170" w:lineRule="exact"/>
        <w:rPr>
          <w:sz w:val="20"/>
          <w:szCs w:val="20"/>
          <w:color w:val="auto"/>
        </w:rPr>
      </w:pPr>
    </w:p>
    <w:p>
      <w:pPr>
        <w:ind w:left="400" w:right="600"/>
        <w:spacing w:after="0" w:line="274" w:lineRule="auto"/>
        <w:rPr>
          <w:sz w:val="20"/>
          <w:szCs w:val="20"/>
          <w:color w:val="auto"/>
        </w:rPr>
      </w:pPr>
      <w:r>
        <w:rPr>
          <w:rFonts w:ascii="Arial" w:cs="Arial" w:eastAsia="Arial" w:hAnsi="Arial"/>
          <w:sz w:val="18"/>
          <w:szCs w:val="18"/>
          <w:b w:val="1"/>
          <w:bCs w:val="1"/>
          <w:color w:val="auto"/>
        </w:rPr>
        <w:t xml:space="preserve">STABLE DIALYSIS </w:t>
      </w:r>
      <w:r>
        <w:rPr>
          <w:rFonts w:ascii="Arial" w:cs="Arial" w:eastAsia="Arial" w:hAnsi="Arial"/>
          <w:sz w:val="18"/>
          <w:szCs w:val="18"/>
          <w:color w:val="auto"/>
        </w:rPr>
        <w:t>Astellas - 1517-CL-0613 (PYRENEES)</w:t>
      </w:r>
    </w:p>
    <w:p>
      <w:pPr>
        <w:spacing w:after="0" w:line="196" w:lineRule="exact"/>
        <w:rPr>
          <w:sz w:val="20"/>
          <w:szCs w:val="20"/>
          <w:color w:val="auto"/>
        </w:rPr>
      </w:pPr>
    </w:p>
    <w:p>
      <w:pPr>
        <w:ind w:left="400" w:right="320"/>
        <w:spacing w:after="0" w:line="282" w:lineRule="auto"/>
        <w:rPr>
          <w:sz w:val="20"/>
          <w:szCs w:val="20"/>
          <w:color w:val="auto"/>
        </w:rPr>
      </w:pPr>
      <w:r>
        <w:rPr>
          <w:rFonts w:ascii="Arial" w:cs="Arial" w:eastAsia="Arial" w:hAnsi="Arial"/>
          <w:sz w:val="18"/>
          <w:szCs w:val="18"/>
          <w:b w:val="1"/>
          <w:bCs w:val="1"/>
          <w:color w:val="auto"/>
        </w:rPr>
        <w:t>STABLE AND INCIDENT DIALYSIS</w:t>
      </w:r>
    </w:p>
    <w:p>
      <w:pPr>
        <w:spacing w:after="0" w:line="71" w:lineRule="exact"/>
        <w:rPr>
          <w:sz w:val="20"/>
          <w:szCs w:val="20"/>
          <w:color w:val="auto"/>
        </w:rPr>
      </w:pPr>
    </w:p>
    <w:p>
      <w:pPr>
        <w:ind w:left="400" w:right="280"/>
        <w:spacing w:after="0" w:line="308" w:lineRule="auto"/>
        <w:rPr>
          <w:sz w:val="20"/>
          <w:szCs w:val="20"/>
          <w:color w:val="auto"/>
        </w:rPr>
      </w:pPr>
      <w:r>
        <w:rPr>
          <w:rFonts w:ascii="Arial" w:cs="Arial" w:eastAsia="Arial" w:hAnsi="Arial"/>
          <w:sz w:val="17"/>
          <w:szCs w:val="17"/>
          <w:color w:val="auto"/>
        </w:rPr>
        <w:t>AstraZeneca - D5740C00002 (ROCKIES)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Superior to Placebo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90805</wp:posOffset>
            </wp:positionV>
            <wp:extent cx="6749415"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9415" cy="28321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Superior to Placebo (p&lt;0.001)</w:t>
      </w:r>
    </w:p>
    <w:p>
      <w:pPr>
        <w:spacing w:after="0" w:line="239" w:lineRule="exact"/>
        <w:rPr>
          <w:sz w:val="20"/>
          <w:szCs w:val="20"/>
          <w:color w:val="auto"/>
        </w:rPr>
      </w:pPr>
    </w:p>
    <w:p>
      <w:pPr>
        <w:ind w:left="60" w:right="440" w:hanging="43"/>
        <w:spacing w:after="0" w:line="312" w:lineRule="auto"/>
        <w:rPr>
          <w:sz w:val="20"/>
          <w:szCs w:val="20"/>
          <w:color w:val="auto"/>
        </w:rPr>
      </w:pPr>
      <w:r>
        <w:rPr>
          <w:rFonts w:ascii="Arial" w:cs="Arial" w:eastAsia="Arial" w:hAnsi="Arial"/>
          <w:sz w:val="16"/>
          <w:szCs w:val="16"/>
          <w:color w:val="auto"/>
        </w:rPr>
        <w:t>Statistically-Significant Improvement in Hb Change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111125</wp:posOffset>
            </wp:positionV>
            <wp:extent cx="674941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9415" cy="1460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Non-Inferior to ESAs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229235</wp:posOffset>
            </wp:positionV>
            <wp:extent cx="6749415"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941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hanging="43"/>
        <w:spacing w:after="0" w:line="262" w:lineRule="auto"/>
        <w:rPr>
          <w:sz w:val="20"/>
          <w:szCs w:val="20"/>
          <w:color w:val="auto"/>
        </w:rPr>
      </w:pPr>
      <w:r>
        <w:rPr>
          <w:rFonts w:ascii="Arial" w:cs="Arial" w:eastAsia="Arial" w:hAnsi="Arial"/>
          <w:sz w:val="18"/>
          <w:szCs w:val="18"/>
          <w:color w:val="auto"/>
        </w:rPr>
        <w:t>Statistically-Significant Larger Hb Increase Compared to Epoetin Alfa</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MS PGothic" w:cs="MS PGothic" w:eastAsia="MS PGothic" w:hAnsi="MS PGothic"/>
          <w:sz w:val="24"/>
          <w:szCs w:val="24"/>
          <w:color w:val="auto"/>
        </w:rPr>
        <w:t>✓</w:t>
      </w:r>
    </w:p>
    <w:p>
      <w:pPr>
        <w:spacing w:after="0" w:line="202"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14"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Superior to Placebo (p&lt;0.0001)</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Superior to Placebo (p&lt;0.001)</w:t>
      </w:r>
    </w:p>
    <w:p>
      <w:pPr>
        <w:spacing w:after="0" w:line="26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Statistically-Significant Improvement in Hb Change Compared to Placebo</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Non-Inferior to ESAs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Statistically-Significant Larger Hb Increase Compared to Epoetin Alfa</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MS PGothic" w:cs="MS PGothic" w:eastAsia="MS PGothic" w:hAnsi="MS PGothic"/>
          <w:sz w:val="24"/>
          <w:szCs w:val="24"/>
          <w:color w:val="auto"/>
        </w:rPr>
        <w:t>✓</w:t>
      </w:r>
    </w:p>
    <w:p>
      <w:pPr>
        <w:spacing w:after="0" w:line="189"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14"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354" w:lineRule="exact"/>
        <w:rPr>
          <w:sz w:val="20"/>
          <w:szCs w:val="20"/>
          <w:color w:val="auto"/>
        </w:rPr>
      </w:pPr>
    </w:p>
    <w:p>
      <w:pPr>
        <w:sectPr>
          <w:pgSz w:w="11900" w:h="16838" w:orient="portrait"/>
          <w:cols w:equalWidth="0" w:num="5">
            <w:col w:w="2800" w:space="360"/>
            <w:col w:w="2500" w:space="560"/>
            <w:col w:w="280" w:space="720"/>
            <w:col w:w="2260" w:space="700"/>
            <w:col w:w="1220"/>
          </w:cols>
          <w:pgMar w:left="240" w:top="557" w:right="259" w:bottom="1440" w:gutter="0" w:footer="0" w:header="0"/>
          <w:type w:val="continuous"/>
        </w:sectPr>
      </w:pPr>
    </w:p>
    <w:tbl>
      <w:tblPr>
        <w:tblLayout w:type="fixed"/>
        <w:tblInd w:w="40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38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FibroGen - FGCL-4592-064</w:t>
            </w:r>
          </w:p>
        </w:tc>
        <w:tc>
          <w:tcPr>
            <w:tcW w:w="2780" w:type="dxa"/>
            <w:vAlign w:val="bottom"/>
            <w:shd w:val="clear" w:color="auto" w:fill="CFF0FC"/>
          </w:tcPr>
          <w:p>
            <w:pPr>
              <w:ind w:left="360"/>
              <w:spacing w:after="0" w:line="200" w:lineRule="exact"/>
              <w:rPr>
                <w:sz w:val="20"/>
                <w:szCs w:val="20"/>
                <w:color w:val="auto"/>
              </w:rPr>
            </w:pPr>
            <w:r>
              <w:rPr>
                <w:rFonts w:ascii="Arial" w:cs="Arial" w:eastAsia="Arial" w:hAnsi="Arial"/>
                <w:sz w:val="18"/>
                <w:szCs w:val="18"/>
                <w:color w:val="auto"/>
              </w:rPr>
              <w:t>Superior to Epoetin Alfa</w:t>
            </w:r>
          </w:p>
        </w:tc>
        <w:tc>
          <w:tcPr>
            <w:tcW w:w="1260" w:type="dxa"/>
            <w:vAlign w:val="bottom"/>
            <w:vMerge w:val="restart"/>
            <w:shd w:val="clear" w:color="auto" w:fill="CFF0FC"/>
          </w:tcPr>
          <w:p>
            <w:pPr>
              <w:ind w:left="640"/>
              <w:spacing w:after="0" w:line="291" w:lineRule="exact"/>
              <w:rPr>
                <w:sz w:val="20"/>
                <w:szCs w:val="20"/>
                <w:color w:val="auto"/>
              </w:rPr>
            </w:pPr>
            <w:r>
              <w:rPr>
                <w:rFonts w:ascii="MS PGothic" w:cs="MS PGothic" w:eastAsia="MS PGothic" w:hAnsi="MS PGothic"/>
                <w:sz w:val="29"/>
                <w:szCs w:val="29"/>
                <w:color w:val="auto"/>
              </w:rPr>
              <w:t>✓</w:t>
            </w:r>
          </w:p>
        </w:tc>
        <w:tc>
          <w:tcPr>
            <w:tcW w:w="2900" w:type="dxa"/>
            <w:vAlign w:val="bottom"/>
            <w:shd w:val="clear" w:color="auto" w:fill="CFF0FC"/>
          </w:tcPr>
          <w:p>
            <w:pPr>
              <w:ind w:left="380"/>
              <w:spacing w:after="0" w:line="200" w:lineRule="exact"/>
              <w:rPr>
                <w:sz w:val="20"/>
                <w:szCs w:val="20"/>
                <w:color w:val="auto"/>
              </w:rPr>
            </w:pPr>
            <w:r>
              <w:rPr>
                <w:rFonts w:ascii="Arial" w:cs="Arial" w:eastAsia="Arial" w:hAnsi="Arial"/>
                <w:sz w:val="18"/>
                <w:szCs w:val="18"/>
                <w:color w:val="auto"/>
              </w:rPr>
              <w:t>Superior to Epoetin Alfa</w:t>
            </w:r>
          </w:p>
        </w:tc>
        <w:tc>
          <w:tcPr>
            <w:tcW w:w="1280" w:type="dxa"/>
            <w:vAlign w:val="bottom"/>
            <w:vMerge w:val="restart"/>
            <w:shd w:val="clear" w:color="auto" w:fill="CFF0FC"/>
          </w:tcPr>
          <w:p>
            <w:pPr>
              <w:ind w:left="4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(SIERRAS)</w:t>
            </w:r>
          </w:p>
        </w:tc>
        <w:tc>
          <w:tcPr>
            <w:tcW w:w="2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(p&lt;0.0001)</w:t>
            </w:r>
          </w:p>
        </w:tc>
        <w:tc>
          <w:tcPr>
            <w:tcW w:w="1260" w:type="dxa"/>
            <w:vAlign w:val="bottom"/>
            <w:vMerge w:val="continue"/>
            <w:shd w:val="clear" w:color="auto" w:fill="CFF0FC"/>
          </w:tcPr>
          <w:p>
            <w:pPr>
              <w:spacing w:after="0"/>
              <w:rPr>
                <w:sz w:val="20"/>
                <w:szCs w:val="20"/>
                <w:color w:val="auto"/>
              </w:rPr>
            </w:pPr>
          </w:p>
        </w:tc>
        <w:tc>
          <w:tcPr>
            <w:tcW w:w="2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(p&lt;0.0001)</w:t>
            </w:r>
          </w:p>
        </w:tc>
        <w:tc>
          <w:tcPr>
            <w:tcW w:w="12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INCIDENT DIALYSIS</w:t>
            </w:r>
          </w:p>
        </w:tc>
        <w:tc>
          <w:tcPr>
            <w:tcW w:w="27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FibroGen - FGCL-4592-063</w:t>
            </w:r>
          </w:p>
        </w:tc>
        <w:tc>
          <w:tcPr>
            <w:tcW w:w="2780" w:type="dxa"/>
            <w:vAlign w:val="bottom"/>
          </w:tcPr>
          <w:p>
            <w:pPr>
              <w:ind w:left="360"/>
              <w:spacing w:after="0"/>
              <w:rPr>
                <w:sz w:val="20"/>
                <w:szCs w:val="20"/>
                <w:color w:val="auto"/>
              </w:rPr>
            </w:pPr>
            <w:r>
              <w:rPr>
                <w:rFonts w:ascii="Arial" w:cs="Arial" w:eastAsia="Arial" w:hAnsi="Arial"/>
                <w:sz w:val="18"/>
                <w:szCs w:val="18"/>
                <w:color w:val="auto"/>
              </w:rPr>
              <w:t>Superior to Epoetin Alfa</w:t>
            </w:r>
          </w:p>
        </w:tc>
        <w:tc>
          <w:tcPr>
            <w:tcW w:w="1260" w:type="dxa"/>
            <w:vAlign w:val="bottom"/>
            <w:vMerge w:val="restart"/>
          </w:tcPr>
          <w:p>
            <w:pPr>
              <w:ind w:left="640"/>
              <w:spacing w:after="0" w:line="291" w:lineRule="exact"/>
              <w:rPr>
                <w:sz w:val="20"/>
                <w:szCs w:val="20"/>
                <w:color w:val="auto"/>
              </w:rPr>
            </w:pPr>
            <w:r>
              <w:rPr>
                <w:rFonts w:ascii="MS PGothic" w:cs="MS PGothic" w:eastAsia="MS PGothic" w:hAnsi="MS PGothic"/>
                <w:sz w:val="29"/>
                <w:szCs w:val="29"/>
                <w:color w:val="auto"/>
              </w:rPr>
              <w:t>✓</w:t>
            </w:r>
          </w:p>
        </w:tc>
        <w:tc>
          <w:tcPr>
            <w:tcW w:w="2900" w:type="dxa"/>
            <w:vAlign w:val="bottom"/>
            <w:vMerge w:val="restart"/>
          </w:tcPr>
          <w:p>
            <w:pPr>
              <w:ind w:left="380"/>
              <w:spacing w:after="0"/>
              <w:rPr>
                <w:sz w:val="20"/>
                <w:szCs w:val="20"/>
                <w:color w:val="auto"/>
              </w:rPr>
            </w:pPr>
            <w:r>
              <w:rPr>
                <w:rFonts w:ascii="Arial" w:cs="Arial" w:eastAsia="Arial" w:hAnsi="Arial"/>
                <w:sz w:val="18"/>
                <w:szCs w:val="18"/>
                <w:color w:val="auto"/>
              </w:rPr>
              <w:t>Non-Inferior to Epoetin Alfa</w:t>
            </w:r>
          </w:p>
        </w:tc>
        <w:tc>
          <w:tcPr>
            <w:tcW w:w="1280" w:type="dxa"/>
            <w:vAlign w:val="bottom"/>
            <w:vMerge w:val="restart"/>
          </w:tcPr>
          <w:p>
            <w:pPr>
              <w:ind w:left="4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38"/>
        </w:trPr>
        <w:tc>
          <w:tcPr>
            <w:tcW w:w="2400" w:type="dxa"/>
            <w:vAlign w:val="bottom"/>
            <w:gridSpan w:val="2"/>
          </w:tcPr>
          <w:p>
            <w:pPr>
              <w:spacing w:after="0"/>
              <w:rPr>
                <w:sz w:val="20"/>
                <w:szCs w:val="20"/>
                <w:color w:val="auto"/>
              </w:rPr>
            </w:pPr>
            <w:r>
              <w:rPr>
                <w:rFonts w:ascii="Arial" w:cs="Arial" w:eastAsia="Arial" w:hAnsi="Arial"/>
                <w:sz w:val="18"/>
                <w:szCs w:val="18"/>
                <w:color w:val="auto"/>
              </w:rPr>
              <w:t>(HIMALAYAS)</w:t>
            </w:r>
          </w:p>
        </w:tc>
        <w:tc>
          <w:tcPr>
            <w:tcW w:w="2780" w:type="dxa"/>
            <w:vAlign w:val="bottom"/>
          </w:tcPr>
          <w:p>
            <w:pPr>
              <w:ind w:left="420"/>
              <w:spacing w:after="0"/>
              <w:rPr>
                <w:sz w:val="20"/>
                <w:szCs w:val="20"/>
                <w:color w:val="auto"/>
              </w:rPr>
            </w:pPr>
            <w:r>
              <w:rPr>
                <w:rFonts w:ascii="Arial" w:cs="Arial" w:eastAsia="Arial" w:hAnsi="Arial"/>
                <w:sz w:val="18"/>
                <w:szCs w:val="18"/>
                <w:color w:val="auto"/>
              </w:rPr>
              <w:t>(p=0.0005)</w:t>
            </w:r>
          </w:p>
        </w:tc>
        <w:tc>
          <w:tcPr>
            <w:tcW w:w="1260" w:type="dxa"/>
            <w:vAlign w:val="bottom"/>
            <w:vMerge w:val="continue"/>
          </w:tcPr>
          <w:p>
            <w:pPr>
              <w:spacing w:after="0"/>
              <w:rPr>
                <w:sz w:val="20"/>
                <w:szCs w:val="20"/>
                <w:color w:val="auto"/>
              </w:rPr>
            </w:pPr>
          </w:p>
        </w:tc>
        <w:tc>
          <w:tcPr>
            <w:tcW w:w="290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Pooled Efficacy Results in Non-Dialysis Patients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Superior at Raising Hemoglobin</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Roxadustat superiority in efficacy was demonstrated in pooled efficacy analyses across the three Phase 3 dialysis-dependent studies and the three non-dialysis-dependent studies.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non-dialysis pool (4,277 patients from OLYMPUS, ANDES, and ALPS), the mean change in hemoglobin (from baseline to the average between Weeks 28-52) in roxadustat patients was also significantly larger than in placebo patients (1.85 g/dL vs. 0.13 g/dL, p&lt;0.001).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at Raising Hemoglobin Irrespective of Iron Replete Status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non-dialysis pool, roxadustat increased hemoglobin (by 1.94 g/dL) regardless of whether patients were iron-replete (patients shown to have sufficient baseline stores of iron in their body, TSAT ≥20% and Ferritin ≥100 ng/mL) or not iron-replete.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i w:val="1"/>
          <w:iCs w:val="1"/>
          <w:color w:val="auto"/>
        </w:rPr>
        <w:t>Reduction In Risk of Rescue Therapy and Transfusion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risk of rescue therapy (blood or red blood cell transfusion, ESA use, or IV iron) was significantly lower in the roxadustat arm (8.9%) than the placebo arm (31.1%) in the pooled non-dialysis patients with a hazard ratio (“HR”) = 0.19 (95% confidence interval “95% CI” of 0.16, 0.23), p&lt;0.0001. The percentage of patients receiving red blood cell transfusions during the first year of treatment was also significantly lower in the roxadustat arm (5.2%) as compared to the placebo arm (15.4%) (HR (95% CI) = 0.26 (0.21, 0.32), p&lt;0.0001).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of Decline in Kidney Function as Measured by eGFR</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 post hoc subgroup analysis of 2,438 non-dialysis patients with baseline eGFR≥15, the one-year decline in estimated glomerular filtration rate (“eGFR,” a measure of the filtration function of kidney and renal disease progression) in roxadustat-treated patients (-2.8) was lower than that in placebo treated patients (-4.4), with a treatment difference of 1.6 mL/min/1.73m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of LDL Cholesterol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pooled non-dialysis patients, roxadustat lowered low-density lipoproteins (“LDL”), with a mean change from baseline of -17.06 mg/dL compared to an increase of 1.30 mg/dL for placebo patients, a significant treatment difference of -19.83 mg/dL (p&lt;0.0001).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in Quality of Life Measures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observed improvements in quality of life. In the pooled analysis from the three non-dialysis studies, we observed statistically significant improvements from baseline to Week 12 in quality of life endpoints, including SF-36 Vitality subscale (p=0.0002), SF-36 Physical Functioning subscale (p=0.0369), FACT-AN Anemia subscale (p=0.0012), FACT-AN Total score (p=0.0056), and EQ-5D-SL VAS score (p=0.0005) when comparing roxadustat to placebo in CKD patients not on dialysis.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Pooled Efficacy Results in Dialysis Patients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Superior at Raising Hemoglobin</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pooled dialysis studies (3,857 patients from HIMALAYAS, SIERRAS, and ROCKIES) the mean change in hemoglobin (from baseline to the average between Weeks 28-52) in roxadustat patients was significantly larger than in epoetin alfa patients (1.22 g/dL vs. 0.99 g/dL, p&lt;0.001).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at Raising Hemoglobin in Patients with Inflammation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 subgroup of dialysis patients with inflammation (C-reactive protein (“CRP”) levels over 4.9 mg/L), the mean change in hemoglobin (from baseline to the average between Weeks 28-52) was significantly higher in roxadustat-treated patients (1.29 g/dL) than epoetin alfa treated patients (0.96 g/dL, p&lt;0.0001).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Lower Intravenous (“IV”) Iron Requirements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dialysis pool, less mean monthly IV iron supplementation was required at Weeks 28-52 in patients receiving roxadustat versus patients receiving epoetin alfa in pooled analysis, p&lt; 0.0001.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In Transfusion Risk</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dialysis pool, during the first year of treatment, patients in the roxadustat arm had a lower transfusion risk (9.5%) as compared to the epoetin alfa arm (12.8%) (HR (95% CI) = 0.82 (0.679, 0.997), p=0.046).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Pooled Cardiovascular Safety Results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U.S., the primary safety endpoint is time to first Major Adverse Cardiovascular Event (“MACE”), a composite endpoint of all-cause mortality, stroke and myocardial infarction. In Europe, the primary safety endpoint is the time to first MACE+ (“MACE+”) which, in addition to the components in MACE, also includes hospitalization due to heart failure or unstable angina. However, the FDA in the U.S., and the EMA in Europe, will each review MACE, MACE+, and all-cause mortality separately, in addition to other endpoints.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t>The below cardiovascular safety analyses reflect the pooling strategy and analytical approach we agreed on with the FDA. Similar sets of analyses will be submitted to the EMA to serve as the basis for potential approval in dialysis and non-dialysis in Europe, and additional supportive analyses and sensitivity analyses as well as subgroup analyses were also included in the NDA and will be included in the MAA. However, the FDA and EMA will each conduct their own benefit-risk analysis and may use additional statistical analyses other than those agreed with the FDA or set forth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Non-Dialysis - Pooled Cardiovascular Safety Data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pre-NDA meeting, the FDA agreed that the intent-to-treat analyses followed for long-term safety results would be our primary cardiovascular safety analysis method for non-dialysis in the U.S. as it uses on-treatment and post treatment long term follow-up (until a common study end date) to account for the higher drop-out rate in the placebo arm. The figure below shows that in the 4,270 pooled non-dialysis patients (OLYMPUS, ANDES, and ALPS), the risk of MACE, MACE+, and all-cause mortality in roxadustat patients were comparable to that in placebo patients based on a reference non-inferiority margin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60325</wp:posOffset>
            </wp:positionV>
            <wp:extent cx="4271010" cy="2109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101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Dialysis - Pooled Cardiovascular Safety Data</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pooled on-treatment analysis of 3,880 dialysis patients (HIMALAYAS, SIERRAS, and ROCKIES), the risk of MACE and all-cause mortality in roxadustat patients were not increased (based on a reference non-inferiority margin of 1.3), and roxadustat lowered the risk of MACE+ by 14% compared to the active comparator epoetin alfa, based on a hazard ratio of 0.86 and an upper bound of 95% CI under 1.0. The hazard ratios represent a point estimate of relative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205105</wp:posOffset>
            </wp:positionV>
            <wp:extent cx="3601720" cy="1844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172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Incident Dialysis Subgroup - Pooled Cardiovascular Safety Data</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this program, incident dialysis patients are those who started participation in roxadustat Phase 3 studies within their first four months of dialysis initiation. In this clinically important subgroup of 1,526 incident dialysis patients, roxadustat reduced the risk of MACE by 30% and MACE+ by 34%, with a trend towards lower all-cause mortality. The lower MACE and MACE+ risks (compared to epoetin alfa) are based on hazard ratios of 0.70 and 0.66, respectively, with the upper bound of 95% CI under 1.0 in both. We believe this incident dialysis subpopulation is the appropriate setting for comparison of roxadustat versus epoetin alfa since most incident dialysis patients were ESA-naïve or have had only limited exposure to ESAs prior to study entry. In addition, the initiation of anemia therapy in this incident dialysis subgroup resembles clinical practice as the vast majority of US patients start anemia therapy early in dialysis treatment (during the first four months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60960</wp:posOffset>
            </wp:positionV>
            <wp:extent cx="3550285" cy="2186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Non-Dialysis CKD Patients (ANDES) – FibroGen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ANDES is a 922-patient Phase 3, randomized, double-blinded, placebo-controlled trial designed to evaluate the efficacy and safety of roxadustat vs. placebo for the treatment of anemia in patients with later stage CKD (Stages 3, 4 or 5) who are not dialysis-dependent.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U.S. primary efficacy endpoint: roxadustat was superior to placebo in mean hemoglobin change from baseline to the average over Weeks 28 to 52 (2.00 vs.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0.16 g/dL, respectively, p&lt;0.0001).</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Europe primary efficacy endpoint: a higher proportion of roxadustat-treated patients (86.0%) achieved a hemoglobin response (defined as achieving a hemoglobin level of at least 11 g/dL on two consecutive visits during the first 24-weeks of treatment and a hemoglobin increase of at least 1.0 g/dL in subjects with baseline hemoglobin &gt;8.0 g/dL, or an increase of at least 2.0 g/dL in subjects with baseline hemoglobin ≤8.0 g/dL), as compared to placebo (6.6%), p&lt;0.0001.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proportion of subjects who received any rescue therapy (blood/red blood cell transfusion, ESA use, or IV iron) in the first 52 weeks of treatment was</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8.9% in the roxadustat arm vs. 28.9% in the placebo arm (HR (95% CI) = 0.19 (0.138, 0.276), p&lt;0.0001). The proportion of subjects who received blood/red blood cell transfusion in the first 52 weeks of treatment was 5.6% in the roxadustat arm vs. 15.4% in the placebo arm (HR (95% CI) = 0.26 (0.165, 0.406), p&lt;0.0001).</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mean change in LDL cholesterol from baseline to average over Weeks 12-28 was -18.48 mg/dL (n=564) in the roxadustat arm vs. 0.22 mg/dL (n=269) in the placebo arm, with a treatment difference of -17.26 mg/dL (p&lt;0.0001).</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this study, roxadustat-treated patients had a sustained reduction in hepcidin whereas placebo patients did not have a reduction in hepcidin. The mean change from baseline to Week 44 was -22.1μg/L in the roxadustat arm vs. 3.88 μg/L in the placebo arm, for a treatment difference between the two arms of -25.71 μg/L (95% CI: -38.523, -12.903).</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this study, subjects in the roxadustat arm had a substantially higher overall study drug exposure compared to subjects in the placebo arm. Study drug discontinuation was higher in the placebo arm compared to roxadustat arm, and the relative difference in discontinuation rates was especially pronounced in the lowest baseline eGFR category. The overall exposure-adjusted safety profile of roxadustat observed during this study was comparable with placebo and consistent with that expected in the CKD study population. The most commonly reported adverse events with roxadustat in this trial were nausea, hyperkalemia, constipation, and hypertension.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Non-Dialysis CKD Patients (ALPS) – Astellas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ALPS is Astellas’ Phase 3, randomized, double-blind, placebo-controlled study of the efficacy and safety of roxadustat for the treatment of anemia in CKD in 597 patients not on dialysis. The trial met its primary endpoints by demonstrating superiority in efficacy vs. placebo in terms of hemoglobin change from baseline at Weeks 28 to 52 (1.988 for roxadustat vs 0.406 for placebo, p&lt;0.001).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Roxadustat was superior to placebo in its ability to lower LDL from baseline with an LS mean difference of -0.701 mmol/L (95% CI: -0.83, -0.57).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Roxadustat was superior to placebo in delaying the need for rescue therapy (HR (95%CI) = 0.238 (0.17, 0.33), p&lt;0.001).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safety profile observed in this study was in line with the expected event profile in non-dialysis patients. Common adverse events in both treatment groups were ESRD, hypertension, peripheral edema, and decreased glomerular filtration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Non-Dialysis CKD Patients (OLYMPUS) – AstraZeneca</w:t>
      </w:r>
    </w:p>
    <w:p>
      <w:pPr>
        <w:spacing w:after="0" w:line="12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OLYMPUS is AstraZeneca’s Phase 3, randomized, double-blinded, placebo-controlled trial designed to evaluate the efficacy and safety of roxadustat vs. placebo for the treatment of patients with anemia in CKD Stages 3, 4 or 5 whose disease progression is moderate to severe and who are non-dialysis-dependent. The trial in 2,781 patients met its primary efficacy endpoint by demonstrating a statistically-significant improvement in mean change from baseline in hemoglobin levels averaged over Weeks 28 to 52 (1.75 g/dL) as compared with Placebo (0.40 g/dL).</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Roxadustat also improved hemoglobin levels from baseline in a subgroup of patients with inflammation (CRP&gt;5 mg/L), with a statistically significant mean increase of 1.75 g/dL, compared to 0.62g/dL with placebo.</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Overall safety findings are generally consistent with the non-dialysis patient population. For all patients, the most commonly reported adverse events in the intent-to-treat analysis set were ESRD, pneumonia, urinary tract infection and hypertension.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Stable Dialysis CKD Patients (PYRENEES) – Astellas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PYRENEES is Astellas’ Phase 3, randomized, active-controlled trial designed to assess the efficacy and safety of roxadustat vs. epoetin alfa or darbepoetin alfa, for the treatment of anemia in 838 patients with CKD who are dialysis-dependent. The trial met its primary efficacy endpoint: roxadustat was considered non-inferior to ESAs based on the mean change from baseline in average hemoglobin levels at Weeks 28 to 52 (0.397 vs 0.183; non-inferiority margin = -0.75).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Roxadustat was superior to ESAs in its ability to lower LDL from baseline with an LS mean difference of -0.377 mmol/L (95% CI: -0.451, -0.304).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Roxadustat was superior to ESAs in reducing the need for monthly IV iron use (LS mean difference (95%CI) = -31.9 mg (-41.4, -22.4), p&lt;0.001).</w:t>
      </w:r>
    </w:p>
    <w:p>
      <w:pPr>
        <w:spacing w:after="0" w:line="22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safety profile observed in this study was in line with the expected event profile in dialysis patients. There was a greater proportion of deaths in the roxadustat treatment group compared with the ESA group; however, the study was not powered to assess risk of MACE events or death, as compared to the pooled analysis above. Common adverse events in both treatment groups were hypertension, arteriovenous fistula thrombosis, headache, and diarrhea.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Stable and Incident Dialysis CKD Patients (ROCKIES) – AstraZeneca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ROCKIES is AstraZeneca’s Phase 3, randomized, open-label, active-controlled trial designed to assess the efficacy and safety of roxadustat vs. epoetin alfa, for the treatment of anemia in patients with CKD who are dialysis-dependent. The trial in 2,133 patients met its primary efficacy endpoint by demonstrating a statistically-significant improvement in mean change from baseline in hemoglobin levels averaged over Weeks 28 to 52 (0.77 g/dL) compared with epoetin alfa (0.68 g/dL).</w:t>
      </w:r>
    </w:p>
    <w:p>
      <w:pPr>
        <w:spacing w:after="0" w:line="1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Roxadustat also improved hemoglobin levels from baseline in a subgroup of patients with inflammation (CRP&gt;5 mg/L, demonstrating a statistically significant improvement with a mean increase of 0.80 g/dL compared to 0.59 g/dL with epoetin alfa. Patients treated with roxadustat used less monthly IV iron (mean = 59mg) compared to those treated with epoetin alfa (mean = 91mg) from Week 36 to the end of the study.</w:t>
      </w:r>
    </w:p>
    <w:p>
      <w:pPr>
        <w:spacing w:after="0" w:line="166"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Adverse events with roxadustat were generally similar to those seen in patients treated with epoetin alfa and commonly found in dialysis patients. In roxadustat-treated patients, the most commonly reported adverse events were diarrhea, hypertension, pneumonia, headache, and arteriovenous fistula thrombosis.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Stable and Incident Dialysis CKD Patients Study (SIERRAS) – FibroGen</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SIERRAS is a 741-patient U.S. Phase 3, randomized, open-label, active-controlled trial to assess the efficacy and safety of roxadustat compared to epoetin alfa for the treatment of anemia in dialysis CKD patients who were receiving stable doses of ESA prior to study participation.</w:t>
      </w:r>
    </w:p>
    <w:p>
      <w:pPr>
        <w:spacing w:after="0" w:line="147" w:lineRule="exact"/>
        <w:rPr>
          <w:sz w:val="20"/>
          <w:szCs w:val="20"/>
          <w:color w:val="auto"/>
        </w:rPr>
      </w:pPr>
    </w:p>
    <w:p>
      <w:pPr>
        <w:ind w:right="100"/>
        <w:spacing w:after="0" w:line="221" w:lineRule="exact"/>
        <w:rPr>
          <w:sz w:val="20"/>
          <w:szCs w:val="20"/>
          <w:color w:val="auto"/>
        </w:rPr>
      </w:pPr>
      <w:r>
        <w:rPr>
          <w:rFonts w:ascii="Arial" w:cs="Arial" w:eastAsia="Arial" w:hAnsi="Arial"/>
          <w:sz w:val="17"/>
          <w:szCs w:val="17"/>
          <w:color w:val="auto"/>
        </w:rPr>
        <w:t xml:space="preserve">U.S. primary efficacy endpoint: the mean hemoglobin change from baseline to the average over Weeks 28 to 52 was 0.39 g/dL (roxadustat) vs. -0.09 g/dL (epoetin alfa), a least squares mean treatment difference of 0.48 g/dL (95% CI 0.37, 0.59). Roxadustat met the non-inferiority criteria as the lower bound of 95% CI was well above the non-inferiority margin of </w:t>
      </w:r>
      <w:r>
        <w:rPr>
          <w:rFonts w:ascii="MS PGothic" w:cs="MS PGothic" w:eastAsia="MS PGothic" w:hAnsi="MS PGothic"/>
          <w:sz w:val="17"/>
          <w:szCs w:val="17"/>
          <w:color w:val="auto"/>
        </w:rPr>
        <w:t>‑</w:t>
      </w:r>
      <w:r>
        <w:rPr>
          <w:rFonts w:ascii="Arial" w:cs="Arial" w:eastAsia="Arial" w:hAnsi="Arial"/>
          <w:sz w:val="17"/>
          <w:szCs w:val="17"/>
          <w:color w:val="auto"/>
        </w:rPr>
        <w:t>0.75 g/dL. Roxadustat also achieved superiority, p&lt;0.0001.</w:t>
      </w: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Europe primary efficacy endpoint: the mean hemoglobin change from baseline to the average over Weeks 28 to 36 was 0.54 g/dL (roxadustat) vs. -0.03 g/dL (epoetin alfa), a least squares mean treatment difference of 0.55 g/dL with a 95% CI (0.40, 0.69). Roxadustat met the non-inferiority criteria as the lower bound of the 95% CI was well above the non-inferiority margin of -0.75 g/dL. Roxadustat also achieved superiority over epoetin alfa, p&lt;0.0001.</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seen in the figures below, in patients with inflammation (CRP&gt;4.9 mg/L), roxadustat doses for maintaining hemoglobin levels were comparable to those with normal CRP and were stable over time as the effect on hemoglobin was durable, whereas epoetin alfa patients required higher mean doses in patients with inflammation (CRP&gt;4.9 mg/L), doses which increased by approximately 50% from baseline after about one year. In these patients with inflammation (CRP&gt;4.9 mg/L) mean change in hemoglobin from baseline to Week 18-24 was 0.61 g/dL in roxadustat vs. -0.03 g/dL in the epoetin alfa group,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107315</wp:posOffset>
            </wp:positionV>
            <wp:extent cx="4064635" cy="4836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635" cy="483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13" w:name="page14"/>
    <w:bookmarkEnd w:id="13"/>
    <w:p>
      <w:pPr>
        <w:ind w:right="140"/>
        <w:spacing w:after="0" w:line="259" w:lineRule="auto"/>
        <w:rPr>
          <w:sz w:val="20"/>
          <w:szCs w:val="20"/>
          <w:color w:val="auto"/>
        </w:rPr>
      </w:pPr>
      <w:r>
        <w:rPr>
          <w:rFonts w:ascii="Arial" w:cs="Arial" w:eastAsia="Arial" w:hAnsi="Arial"/>
          <w:sz w:val="18"/>
          <w:szCs w:val="18"/>
          <w:color w:val="auto"/>
        </w:rPr>
        <w:t>Subjects in the roxadustat group received lower mean IV iron during Weeks 28 to 52 than subjects in the epoetin alfa group (p=0.00091). Roxadustat-treated patients had a greater reduction in hepcidin as compared to ESA-treated patients. Additionally, a lower proportion of subjects on roxadustat received a red blood cell transfusion during treatment than the epoetin alfa group (12.5% and 21.1%, respectively, p=0.0337), with reduction in red blood cell transfusion risk by 33% compared with epoetin alfa; HR (95% CI) = 0.67 (0.466, 0.970), p=0.0337.</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Mean LDL cholesterol levels decreased in the roxadustat group from baseline to the average over Weeks 12 to 28 (-13.70 mg/dL) but increased in the epoetin alfa group (1.23 mg/dL) with a treatment difference of -14.67 mg/dL (p&lt;0.0001).</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incidence of treatment emergent adverse events was comparable in the roxadustat and epoetin alfa arms and were generally consistent with those typically expected in study patient population of ESRD on chronic dialysis therapy. The most commonly reported adverse events with roxadustat in this trial were nausea, hypertension, vomiting, and hyperkalemia.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Incident Dialysis CKD Patients Study (HIMALAYAS) – FibroGen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HIMALAYAS is a 1,043-patient Phase 3 randomized, open-label, active-controlled trial to assess the efficacy and safety of roxadustat compared to epoetin alfa, an ESA, for the treatment of anemia in CKD patients who have newly initiated dialysis treatment for ESRD and have had minimal or no exposure to an ESA prior to study participation.</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U.S. primary efficacy endpoint: the mean hemoglobin change from baseline to the average over Weeks 28 to 52 was 2.57 g/dL (roxadustat) vs. 2.36 g/dL (epoetin alfa), a least squares mean difference of 0.18 g/dL, with the 95% CI of (0.08, 0.29). The non-inferiority criteria was met as the lower bound of the 95% CI was well above the non-inferiority margin of -0.75 g/dL, and superiority over epoetin alfa was also achieved, p=0.0005. In subgroup analyses, roxadustat was also superior to epoetin alfa in hemoglobin change from baseline regardless of iron repletion and inflammation status.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Europe primary efficacy endpoint: a higher proportion of roxadustat-treated patients (88.2%) achieved a hemoglobin response (defined as achieving a hemoglobin level of at least 11 g/dL on two consecutive visits during the first 24-weeks of treatment and a hemoglobin increase of at least 1.0 g/dL in subjects with baseline hemoglobin &gt;8.0 g/dL, or an increase of at least 2.0 g/dL in subjects with baseline hemoglobin ≤8.0 g/dL), as compared to an 84.4% responder rate in the epoetin alfa arm, with the lower bound of the 95% CI (-0.7%, 7.7%) of the treatment difference in responder rate well above the non-inferiority margin of -15%.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Roxadustat-treated patients had a statistically significant reduction in hepcidin, a key regulator of iron metabolism, as compared to ESA-treated patients.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Roxadustat was shown to increase hemoglobin regardless of baseline inflammation status.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most commonly reported adverse events with roxadustat in this trial were hypertension, diarrhea, and muscle spasms. The safety profile of roxadustat in this study was consistent with results from prior roxadustat studies.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CHINA</w:t>
      </w:r>
    </w:p>
    <w:p>
      <w:pPr>
        <w:spacing w:after="0" w:line="121" w:lineRule="exact"/>
        <w:rPr>
          <w:sz w:val="20"/>
          <w:szCs w:val="20"/>
          <w:color w:val="auto"/>
        </w:rPr>
      </w:pPr>
    </w:p>
    <w:p>
      <w:pPr>
        <w:ind w:right="100"/>
        <w:spacing w:after="0" w:line="207" w:lineRule="auto"/>
        <w:rPr>
          <w:sz w:val="20"/>
          <w:szCs w:val="20"/>
          <w:color w:val="auto"/>
        </w:rPr>
      </w:pPr>
      <w:r>
        <w:rPr>
          <w:rFonts w:ascii="Arial" w:cs="Arial" w:eastAsia="Arial" w:hAnsi="Arial"/>
          <w:sz w:val="18"/>
          <w:szCs w:val="18"/>
          <w:color w:val="auto"/>
        </w:rPr>
        <w:t xml:space="preserve">In August 2019, roxadustat (China tradename: </w:t>
      </w:r>
      <w:r>
        <w:rPr>
          <w:rFonts w:ascii="Arial" w:cs="Arial" w:eastAsia="Arial" w:hAnsi="Arial"/>
          <w:sz w:val="27"/>
          <w:szCs w:val="27"/>
          <w:color w:val="auto"/>
          <w:vertAlign w:val="superscript"/>
        </w:rPr>
        <w:t>®</w:t>
      </w:r>
      <w:r>
        <w:rPr>
          <w:rFonts w:ascii="Arial" w:cs="Arial" w:eastAsia="Arial" w:hAnsi="Arial"/>
          <w:sz w:val="18"/>
          <w:szCs w:val="18"/>
          <w:color w:val="auto"/>
        </w:rPr>
        <w:t>) received marketing authorization in China for the treatment of anemia caused by CKD in non-dialysis-dependent patients. Treatment for anemia caused by CKD in dialysis-dependent patients was approved in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July 2019, results from our two China Phase 3 clinical trials were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December 2019, roxadustat was included on the updated National Reimbursement Drug List (“NRDL”) released by China’s National Healthcare Security Administration. Roxadustat is included on the NRDL for the treatment of anemia in CKD.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currently available forms of treatment in China for anemia in CKD include ESAs, oral iron, intravenous iron, traditional Chinese medicine, and combinations thereof. ESAs are the largest segment, which we estimate to be approximately $275 million in sales, or approximately 80% of the total ESA market based on data from IQVIA China Hospital Pharmaceutical Audit. With the unique benefits of roxadustat to treat previously unaddressable patient populations, we believe the overall CKD anemia market will increase.</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China is experiencing epidemiological changes in metabolic diseases due to economic development, urbanization and an aging population. Diabetes and hypertension are the leading causes of CKD in China, and rates have been growing over past two decades. We believe the increase in diabetes and hypertension prevalence will result in an increase of CKD anemia patients.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Dialysis-Dependent CKD</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Based on the latest estimates and published data, we believe there are over 600,000 dialysis patients in China, making it the largest single-country dialysis population in the world. With the substantial growth rate of dialysis patients (over 10% per year from 2011 to 2017), the Ministry of Health and the Chinese Society of Nephrology have publicly recognized the need for further investment in dialysis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prevalence rate of CKD dialysis patients that have anemia (defined as hemoglobin &lt; 10g/dL) is estimated to be over 90%.</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Dialysis treatment is delivered in the form of hemodialysis or peritoneal dialysis. In China, approximately 85% of dialysis patients with CKD are on hemodialysis. Hemodialysis is performed primarily in dialysis clinics within hospitals, most of which are publicly owned. This is in contrast to the U.S. where freestanding dialysis centers located outside of hospitals is common practice. With recent regulatory changes, the number of privately owned dialysis clinics is growing at a rapid pace, a trend that has provided additional capacity to meet the growing demand. The remaining 14-15% of CKD patients (approximately 100,000) are on peritoneal dialysis, which is self-administered at home by patients, a setting roxadustat, with its oral administration, is particularly well-suited for roxadustat. Peritoneal dialysis patients typically visit their nephrologists on a monthly basis at the hospital for monitoring and follow-up.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Non-Dialysis-Dependent CKD</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estimate that there are over 10 million Stage 3-5 non-dialysis CKD patients in China with anemia (defined as hemoglobin &lt; 10g/dL). We believe the addressable population of non-dialysis patients with anemia (anemic patients that have been diagnosed and treated for CKD) is approximately 2-3 million, with 1-2 million in Stages 3 and 4 and 1 million in Stage 5 non-dialysis. This Stage 5 population that is dialysis-eligible but not receiving dialysis is characteristic of developing markets like China, and presents a particular opportunity for roxadustat, as many patients have severe anemia.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Medical Need and Roxadustat Differentiation in China</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there is a particularly significant unmet medical need for the treatment of anemia in CKD in China. Anemia is considered a risk multiplier for CKD patients and is commonly associated with increased rates of cardiovascular events, hospitalizations, CKD progression, and death. Several of the advantages that roxadustat, as an oral therapeutic, potentially offers over ESAs are particularly suited to address the unmet medical need in each of the three categories of CKD patients in China.</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believe there is chronic under-treatment of anemia within the CKD patient population on dialysis in China due in part to under-prescription of IV iron (often necessary for ESA treatment), and lack of efficacy in patients with inflammation. The most recent treatment guidelines published by the Chinese Society of Nephrology in 2018 recommended treatment to hemoglobin 11.0 g/dL to 12.0 g/dL. Even though over 70% of hemodialysis CKD patients, and approximately 60% of peritoneal dialysis CKD patients are treated with ESAs, based on the Chinese Renal Data System in 2015, less than 60% of dialysis patients reached 10.2 g/dL.</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non-dialysis population and peritoneal dialysis population, only a small percentage of patients receive anemia treatment, and those who do, they receive only a minimal level of treatment, including patients who are eligible for dialysis and who have severe anemia. Roxadustat, as an oral medication, can be easily administered in any setting and stored at room temperature. Injectable drugs like ESAs present a challenge in China because even subcutaneous administration is performed at hospitals and not in the home, in part due to the difficulty in refrigeration and administration of injectable medicines. Frequent hospital visits, for the sole purpose of receiving injectable ESA treatment (as well as IV iron, which is often necessary with ESA treatment), can present a substantial logistical and financial burden to patients.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context of the rapidly growing China pharmaceutical market, we believe that the demand for anemia therapy will continue to grow as a result of an expanding CKD population, as well as the central government’s mandate to make dialysis more available through government reimbursement and build-out of dialysis facilities. In addition, as the standard of living improves in China, the demand for access to innovative drugs increases. In this context, we believe that roxadustat is a particularly promising product for this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AstraZeneca is our commercialization partner for roxadustat in China. Under our collaboration agreement, AstraZeneca will lead commercialization activities and has responsibility for sales and marketing, and market access. FibroGen has responsibility for medical affairs, manufacturing (as the Marketing Authorization Holder), executing sales to distributors, and pharmacovigilance. FibroGen and AstraZeneca will work together to manage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December 2019, roxadustat was included for the treatment of anemia in CKD on the updated NRDL released by China’s National Healthcare Security Administration. The list is effective for a standard two-year period from January 1, 2020 to December 31, 2021. The negotiated price for a roxadustat 50 mg capsule is RMB 95. Roxadustat will be subject to price re-negotiation at the end of 2021.</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reimbursement is one of the two most critical market access factors for commercialization success in China, with the other being hospital listings. China is mostly a single-payor market with near universal healthcare provided by the government. Over 95% of the population receives healthcare coverage under one government-funded medical reimbursement plan or another, each with different levels of reimbursement. Commercial health insurance is available but is minimally adopted, and is seen as a supplement above and beyond government reimbursement.</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Reimbursement for roxadustat will differ based on multiple factors including the CKD patient population (dialysis vs. non-dialysis), location, patient employment status, and if roxadustat is qualified into the “Critical Disease” or “Chronic Disease” insurance programs for such locations. We expect roxadustat reimbursement rates will be largely consistent with those ESAs listed on the NRDL. We believe in the next few years and in many parts of the country, dialysis patients will generally be reimbursed for 80-90% of their costs for roxadustat and non-dialysis patients in the 50-70% range.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 Listing</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Before roxadustat can be prescribed at a government hospital, which is 90% of the market in China, it has to be carried in the hospital formulary. The process of entry into the formulary is commonly referred to as “hospital listing”. Decisions are made on a hospital-by-hospital basis, where hospital listing committees meet anywhere from every six months to every five years. Temporary listings can be used in the interim, where the head of the department could place an ad-hoc order with the formulary for a single or handful of patients for small quantities of roxadustat. These market access constraints impact all drugs, not just roxadustat. Consistent with the experience of other product launches in China, significant market uptake is usually seen a few years after launch, although in the case of roxadustat, it could be sooner given the inclusion in NRDL within 12 months of market approval.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Tendering is a provincial level procedure. For drugs with multiple brands, it is a collective tender process for purchases by government hospitals of a medicine included in provincial or local medicine procurement catalogs. In the case of roxadustat, it is a more administrative process than for most drugs as roxadustat is currently the only drug of its class (HIF-PHI) available on the market. The tendering process of roxadustat is substantially complete in all 31 provinces in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JAPAN</w:t>
      </w:r>
    </w:p>
    <w:p>
      <w:pPr>
        <w:spacing w:after="0" w:line="121"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In September 2019, roxadustat (Evrenzo</w:t>
      </w:r>
      <w:r>
        <w:rPr>
          <w:rFonts w:ascii="Arial" w:cs="Arial" w:eastAsia="Arial" w:hAnsi="Arial"/>
          <w:sz w:val="24"/>
          <w:szCs w:val="24"/>
          <w:color w:val="auto"/>
          <w:vertAlign w:val="superscript"/>
        </w:rPr>
        <w:t>®</w:t>
      </w:r>
      <w:r>
        <w:rPr>
          <w:rFonts w:ascii="Arial" w:cs="Arial" w:eastAsia="Arial" w:hAnsi="Arial"/>
          <w:sz w:val="16"/>
          <w:szCs w:val="16"/>
          <w:color w:val="auto"/>
        </w:rPr>
        <w:t>) was approved in Japan for the treatment of anemia associated with CKD in dialysis patients. Our collaboration partner Astellas launched Evrenzo in November 2019, targeting healthcare providers that care for approximately 330,000 dialysis patients across Japan.</w:t>
      </w:r>
    </w:p>
    <w:p>
      <w:pPr>
        <w:spacing w:after="0" w:line="2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January 2020, Astellas submitted a supplemental NDA in Japan for the treatment of anemia in non-dialysis CKD patients, supported by three clinical studies in more than 500 Japanese non-dialysis patients with anemia associated with CKD.</w:t>
      </w:r>
    </w:p>
    <w:p>
      <w:pPr>
        <w:spacing w:after="0" w:line="275" w:lineRule="exact"/>
        <w:rPr>
          <w:sz w:val="20"/>
          <w:szCs w:val="20"/>
          <w:color w:val="auto"/>
        </w:rPr>
      </w:pPr>
    </w:p>
    <w:p>
      <w:pPr>
        <w:ind w:right="1520"/>
        <w:spacing w:after="0" w:line="282" w:lineRule="auto"/>
        <w:rPr>
          <w:sz w:val="20"/>
          <w:szCs w:val="20"/>
          <w:color w:val="auto"/>
        </w:rPr>
      </w:pPr>
      <w:r>
        <w:rPr>
          <w:rFonts w:ascii="Arial" w:cs="Arial" w:eastAsia="Arial" w:hAnsi="Arial"/>
          <w:sz w:val="18"/>
          <w:szCs w:val="18"/>
          <w:b w:val="1"/>
          <w:bCs w:val="1"/>
          <w:color w:val="auto"/>
        </w:rPr>
        <w:t>ROXADUSTAT FOR THE TREATMENT OF CHEMOTHERAPY-INDUCED ANEMIA AND ANEMIA ASSOCIATED WITH MYELODYSPLASTIC SYNDROMES</w:t>
      </w:r>
    </w:p>
    <w:p>
      <w:pPr>
        <w:spacing w:after="0" w:line="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roxadustat’s mechanism of action and safety and efficacy profile to date, we believe it has the potential to treat anemia associated with many other conditions, including CIA and MDS.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Background of Chemotherapy-Induced Anemia</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blood cell production in bone marrow is highly prolific, it is particularly vulnerable to the cytotoxic effects of chemotherapy used to treat cancer patients. Many chemotherapy agents directly impair hematopoiesis in bone marrow, including disruption of red blood cell production. The nephrotoxic effects of some cytotoxic agents, such as platinum-containing agents, can also result in decreased production of erythropoietin by the kidneys, further contributing to reduced red blood cell production. Radiation therapy has also been associated with hematologic toxicity.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Approximately 40% of total solid tumor cancer patients, or approximately 6.8 million people, undergo chemotherapy each year globally, including 1.7 million in the U.S. and 3.2 million in China. Eighty percent of those patients in developed countries and 40% of patients in China develop CIA. The incidence and severity of CIA depend on a variety of factors, including the tumor type or the level of toxicity of the therapy, and further increases with each successive chemotherapy round. We believe the addressable population is approximately 600,000 in the U.S. and 500,000 in China.</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ESAs have been recommended for patients experiencing CIA with the desirable goals of improvement in anemia-related symptoms and the avoidance of blood transfusion which increases risk of infections and the risk of complications such as heart failure and allergic reactions. However, not all CIA patients respond to ESA therapy, which may be due to the etiology of their CIA or inflammatory comorbidity. ESA use also has associated toxicities, including increased thrombotic events, possible decreased survival and accelerated tumor progression, as published from randomized clinical trials and meta-analyses, that led to label restrictions and box warnings for ESAs in cancer populations in 2007, followed by the ESA Risk Evaluation and Mitigation Strategy (“REMS”) program.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Chemotherapy-Induced Anemia</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ESA sales for CIA dropped significantly in the U.S. since the reported safety risks of ESA use in cancer patients in 2006, from estimated $2.5 billion in 2006 to less than $0.5 billion in 2019. During the same period, the prevalence of diagnosed CIA remained at similar levels, and is expected to grow slightly as a marginal decline of chemotherapy use is offset by an aging population.</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if our clinical program shows an acceptable safety and efficacy profile, roxadustat would have the potential to address anemia in this population of patients undergoing chemotherapy, including, potentially, those patients with concomitant inflammation.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Roxadustat in Chemotherapy-Induced Anemia</w:t>
      </w:r>
    </w:p>
    <w:p>
      <w:pPr>
        <w:spacing w:after="0" w:line="1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began a Phase 2 proof of concept clinical trial of roxadustat in the U.S. in CIA in the third quarter of 2019. This is a single-arm open label study investigating the efficacy and safety of roxadustat for the treatment of anemia in patients receiving myelosuppressive chemotherapy treatment for non-myeloid malignancies, with treatment duration of 16 weeks, and will enroll up to 100 patients.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Myelodysplastic Syndromes</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Myelodysplastic syndromes are a diverse group of bone marrow disorders characterized by ineffective production of healthy blood cells and premature destruction of blood cells in the bone marrow, leading to anemia. In most MDS patients, the cause of the disease is unknown.</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Incidence and prevalence of MDS are not yet well understood, and may be greatly underestimated. MDS diagnosis became reportable under the World Health Organization oncology classification system only in 2001, and since then cases of MDS have been tracked by cancer registries.</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prevalence of MDS in the U.S. is estimated to be between 60,000 and 170,000, and continues to rise as more therapies become available and patients are living longer with MDS. We estimate that currently, approximately 70,000 patients are diagnosed with MDS in the United States.</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Anemia is the most common clinical presentation in MDS, seen in approximately 80% of MDS patients, and producing symptoms, including fatigue, weakness, exercise intolerance, shortness of breath, dizziness, and cognitive impairment.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Limitations of the Current Standard of Care for Anemia in Myelodysplastic Syndromes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 dependent MDS patients suffer higher rates of cardiac events, infections and transformation to acute leukemia, and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w:t>
      </w:r>
    </w:p>
    <w:p>
      <w:pPr>
        <w:spacing w:after="0" w:line="1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Lower-risk MDS patients represent approximately 77% of total diagnosed MDS population. Most national and international guidelines recommend use of ESAs for anemia only in lower-risk MDS patients presenting with symptomatic anemia with serum EPO levels at or below 500 mU/mL.</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Even among the eligible subpopulation, the effectiveness of ESAs in treating anemia in MDS remains limited, with the best clinical study results showing 40% to 60% erythroid response rates, in studies where significantly high doses of ESAs were used, enrolled patients had low serum EPO levels, and in lower-risk categories. New strategies to broaden the eligible population, improve anemia and maintain adequate iron balance, as well as avoidance of transfusions, are highly desired in managing patients with MDS.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Myelodysplastic Syndromes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there is a significant need for a safer, more effective, and more convenient option to address anemia in patients with lower-risk MDS. Roxadustat, our orally administered small molecule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CRP, where ESAs have shown limited effect. We believe that we may be able to replicate this result in MDS anemia patients, where it is not uncommon for patients to present with autoimmune and inflammatory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Roxadustat in Myelodysplastic Syndromes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are conducting a Phase 3 placebo controlled, double-blind clinical trial to evaluate the safety and efficacy of roxadustat for treatment of anemia in MDS in the U.S. and Europe. We continue to enroll this 160-patient randomized, double-blind, placebo-controlled Phase 3 clinical study of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w:t>
      </w:r>
    </w:p>
    <w:p>
      <w:pPr>
        <w:spacing w:after="0" w:line="15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 the open-label dose-finding component of this study, 24 lower-risk, transfusion dependent MDS patients with anemia were enrolled in three sequential starting dose cohorts (1.5 mg/kg, 2.0 mg/kg, and 2.5 mg/kg), with roxadustat doses adjusted every eight weeks per a pre-defined algorithm based on hemoglobin response. Best supporting care including red blood cell transfusion was allowed, as needed, per investigator’s discretion. Patients treated with roxadustat achieved a greater than or equal to 8-week transfusion independence rate of 38% in the first 28 weeks and 54% of patients had greater than or equal to 50% reduction in red blood cell transfusion over any eight weeks, from baseline. Roxadustat was generally well tolerated in each dose cohort. The dose level of 2.5 mg/kg was selected as the starting dose for the double-blind component of the study.</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China, we continue to enroll the open-label portion of our Phase 2/3 clinical trial to evaluate the safety and efficacy of roxadustat in non-transfusion dependent, lower-risk MDS patients with anemia. After the open-label portion we expect to begin the 135-patient double-blind, placebo-controlled Phase 3 portion of the study, in which subjects will be randomized 2:1 to receive roxadustat or placebo three-times weekly for 26 weeks. The primary endpoint for this study is percentage of patients achieving a hemoglobin response.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Research at FibroGen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HIF-PH enzymes that are the targets of roxadustat belong to a broader family of enzymes known as 2-oxoglutarate (2OG)-dependent oxygenases. In humans, this family comprises more than 60 members that play important roles in a diverse range of biological processes including collagen biosynthesis, oxygen sensing, epigenetic regulation, nucleic acid modification/repair, and lipid metabolism. The first members of this enzyme family to be characterized were the collagen prolyl hydroxylases, which play a critical role in the biosynthesis of collagen and as a result, are potential targets for the treatment of fibrotic disease. The HIF-PH enzymes regulate the stability of the HIF transcription factor, which not only has therapeutic relevance for the treatment of anemia as exemplified by roxadustat, but also has implications for other diseases where activation of the HIF pathway would be expected to have beneficial effects. Other members of the 2OG-dependent oxygenase family with relevance to human disease include the Jumonji domain-containing histone demethylases, which are emerging cancer targets.</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fact that all members of the 2OG-dependent oxygenase enzyme family use 2OG as a co-substrate makes them viable targets for small molecule inhibitors that compete with 2OG. FibroGen has been a world leader in inhibition of enzymes belonging to this family, and. our internal medicinal chemistry efforts have generated a large library of novel compounds designed to target the 2OG-dependent oxygenase family.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THE TREATMENT OF FIBROSIS AND CANCER</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were founded to discover and develop therapeutics for fibrosis and began studying CTGF shortly after its discovery. Our accumulated discovery research efforts indicate that CTGF is a critical common element in the progression of serious diseases associated with fibrosis.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our library of human monoclonal antibodies that bind to different parts of the CTGF protein and block various aspects of CTGF biological activity, we selected pamrevlumab, for which we have exclusive worldwide rights. We believe that pamrevlumab blocks CTGF and inhibits its central role in causing diseases associated with fibrosis. Our data to date indicate that pamrevlumab is a promising and highly differentiated product candidate with broad potential to treat a number of fibrotic diseases and cancers.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currently conducting Phase 3 studies in pancreatic cancer and IPF and a Phase 2 trial in DMD. In the U.S., the FDA has granted Orphan Drug Designation to pamrevlumab for the treatment of IPF, locally advanced unresectable pancreatic cancer, and DMD. In addition, the EMA has granted Orphan Medicinal Product Designation to pamrevlumab for the treatment of DMD. Pamrevlumab has also received Fast Track designation from the FDA for the treatment of both IPF and locally advanced unresectable pancreatic cancer.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Fibrosis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Fibrosis is an aberrant response of the body to tissue injury that may be caused by trauma, inflammation, infection, cell injury, or cancer. The normal response to injury involves the activation of cells that produce collagen and other components of the extracellular matrix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Multiple biological agents and pathways have been implicated in the fibrotic process, many of which converge on CTGF, a central mediator of fibrosis. In the case of cancer, the sustained tumor-associated fibrotic tissue promotes tumor cell survival and metastasis. 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mitigate,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progression can be slowed, arrested, or possibly reversed in some instances upon treatment with pamrevlumab.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Pamrevlumab — Overview</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performed clinical trials of pamrevlumab in IPF, pancreatic cancer, liver fibrosis and diabetic kidney disease. In eleven Phase 1 and Phase 2 clinical studies involving pamrevlumab to date, including more than 600 patients who were treated with pamrevlumab (about half of patients dosed for more than six months), pamrevlumab has been well-tolerated across the range of doses studied, and there have been no dose-limiting toxicities seen thus far.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IPF and Current Therapies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currently two therapies approved to treat IPF in Europe and the U.S., pirfenidone and nintedanib. The approvals and subsequent launches of pirfenidone and nintedanib have clearly shown the commercial potential in IPF. Hoffmann-La Roche (“Roche”) reported worldwide sales of approximately $1 billion for 2018 and $1.15 billion for 2019 for Esbriet® (pirfenidone). Similarly, Boehringer Ingelheim Pharma GmbH &amp; Co. KG (“Boehringer Ingelheim”) reported total sales of approximately $1 billion for Ofev® (nintedanib) in 2017, and approximately $1.2 billion in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Clinical Development – Randomized, Double-Blind, Placebo-Controlled Trials of Pamrevlumab in IPF</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continue to enroll ZEPHYRUS, our double-blind, placebo-controlled Phase 3 trial of pamrevlumab in IPF patients. In 2020, we will initiate a second IPF study similar in design to ZEPHYRUS. Each study will target approximately 340 patients. The primary U.S. efficacy endpoint for each study is change from baseline in forced vital capacity (“FVC”). The primary efficacy endpoint in Europe for each study is disease progression (defined by a decline in FVC percent predicted of greater than or equal to 10% or death). Secondary endpoints will include clinical outcomes of disease progression, patient reported outcomes, and quantitative changes in lung fibrosis volume from baseline.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PRAISE – Study 067 – Randomized, Double-Blind, Placebo-Controlled Phase 2 Trial of Pamrevlumab in IPF</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September 2019, positive results from PRAISE, our randomized, double-blind, placebo-controlled Phase 2 clinical trial (Study 067), were published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Lancet Respiratory Medicine. </w:t>
      </w:r>
      <w:r>
        <w:rPr>
          <w:rFonts w:ascii="Arial" w:cs="Arial" w:eastAsia="Arial" w:hAnsi="Arial"/>
          <w:sz w:val="18"/>
          <w:szCs w:val="18"/>
          <w:color w:val="auto"/>
        </w:rPr>
        <w:t>PRAISE was designed to evaluate the safety and efficacy of pamrevlumab in patients with mild-to-moderate IPF (baseline FVC</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predicted of 55%), as well as topline results from two sub-studies that were added to evaluate the safety of combining pamrevlumab with approved IPF therapies.</w:t>
      </w:r>
    </w:p>
    <w:p>
      <w:pPr>
        <w:spacing w:after="0" w:line="1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the double-blind, placebo-controlled 48-week portion of this study, 103 patients were randomized (1:1) to receive either 30mg/kg of pamrevlumab or placebo intravenously every three weeks. Lung function assessments were conducted at baseline and at Weeks 12, 24, 36 and 48. Quantitative HRCT assessments were performed at baseline and on Weeks 24 and 48.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right="60"/>
        <w:spacing w:after="0" w:line="259" w:lineRule="auto"/>
        <w:rPr>
          <w:sz w:val="20"/>
          <w:szCs w:val="20"/>
          <w:color w:val="auto"/>
        </w:rPr>
      </w:pPr>
      <w:r>
        <w:rPr>
          <w:rFonts w:ascii="Arial" w:cs="Arial" w:eastAsia="Arial" w:hAnsi="Arial"/>
          <w:sz w:val="18"/>
          <w:szCs w:val="18"/>
          <w:color w:val="auto"/>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2.85 in the pamrevlumab arm (n=50) as compared to an average decline of 7.17 in the placebo arm (n=51), a statistically significant difference of 4.33 (p=0.0331, using a linear slope analysis in intent-to-treat population).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intent-to-treat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 The percentage of pamrevlumab patients who experienced disease progression and discontinued therapy was less than 15% of that in the placebo arm.</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this study, we measured change in quantitative lung fibrosis from baseline to Week 24 and Week 48 using quantitative HRCT. The pamrevlumab arm achieved a statistically significant reduction in the rate of progression of lung fibrosis compared to placebo using HRCT to measure quantitative lung fibrosis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in our previous open label Phase 2 study, a correlation between FVC percent predicted and quantitative lung fibrosis was confirmed at both Week 24 and 48 in this study.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not aware of any other IPF therapies that have shown a statistically significant effect on lung fibrosis as measured by quantitative HRCT analysis.</w:t>
      </w:r>
    </w:p>
    <w:p>
      <w:pPr>
        <w:spacing w:after="0" w:line="24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treatment effects of pamrevlumab were demonstrated not only on change in FVC, a measure of pulmonary function and IPF disease progression, and change in fibrosis using quantitative HRCT, but pamrevlumab-treated patients also showed a trend of clinically meaningful improvement in a measure of health-related quality of life using the St. George’s Respiratory Questionnaire (SGRQ) vs. a reduction in quality of life seen in placebo patients over the 48 weeks of treatment. The SGRQ quality of life measurement has been validated in chronic obstructive pulmonary disease. In the patients that were evaluated by the UCSD Shortness of Breath Questionnaire, pamrevlumab-treated patients had a significant attenuation of their worsening dyspnea in comparison to placebo.</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Pamrevlumab was well-tolerated in the placebo-controlled study. The treatment-emergent adverse events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treatment-emergent adverse event, or died for any reason.</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well-tolerated when given in combination with either pirfenidone or nintedanib.</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049 – Open-Label Phase 2 Trial of Pamrevlumab in IPF</w:t>
      </w:r>
    </w:p>
    <w:p>
      <w:pPr>
        <w:spacing w:after="0" w:line="117"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We completed an open-label extension of Study 049, a Phase 2 open-label, dose-escalation study to evaluate the safety, tolerability, and efficacy of pamrevlumab in 89 patients with IPF. During the initial one-year treatment period, pamrevlumab was administered at a dose of 15 mg/kg in Cohort 1</w:t>
      </w:r>
    </w:p>
    <w:p>
      <w:pPr>
        <w:spacing w:after="0" w:line="288" w:lineRule="auto"/>
        <w:rPr>
          <w:sz w:val="20"/>
          <w:szCs w:val="20"/>
          <w:color w:val="auto"/>
        </w:rPr>
      </w:pPr>
      <w:r>
        <w:rPr>
          <w:rFonts w:ascii="Arial" w:cs="Arial" w:eastAsia="Arial" w:hAnsi="Arial"/>
          <w:sz w:val="16"/>
          <w:szCs w:val="16"/>
          <w:color w:val="auto"/>
        </w:rPr>
        <w:t>(53 patients) and 30 mg/kg in Cohort 2 (36 patients) by IV infusion every three weeks for 45 weeks. After 45 weeks of dosing, subjects whose FVC declined less than predicted were allowed to continue dosing in an extension study until they had disease progression. Nineteen patients from Cohort 1 (35.8%) and 18 patients from Cohort 2 (50.0%) entered the extension study. Efficacy endpoints were pulmonary function assessments, extent of pulmonary fibrosis as measured by quantitative imaging and measures of health-related quality of life. We presented data from our open-label Phase 2 IPF extension study (049) at the International Colloquium on Lung and Airway Fibrosis in November 2016, reporting that no safety issues were observed during prolonged treatment with pamrevlumab. Some of the 37 patients who enrolled in the extension study were treated with pamrevlumab for up to five years. Trends regarding improved or stable pulmonary function and stable fibrosis observed during the initial one-year study were also observed in the extension study.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1" w:name="page22"/>
    <w:bookmarkEnd w:id="21"/>
    <w:p>
      <w:pPr>
        <w:ind w:right="60"/>
        <w:spacing w:after="0" w:line="312" w:lineRule="auto"/>
        <w:rPr>
          <w:sz w:val="20"/>
          <w:szCs w:val="20"/>
          <w:color w:val="auto"/>
        </w:rPr>
      </w:pPr>
      <w:r>
        <w:rPr>
          <w:rFonts w:ascii="Arial" w:cs="Arial" w:eastAsia="Arial" w:hAnsi="Arial"/>
          <w:sz w:val="16"/>
          <w:szCs w:val="16"/>
          <w:color w:val="auto"/>
        </w:rPr>
        <w:t>In Cohort 1, we enrolled patients with a wide range of disease severity to assess safety and efficacy. Baseline FVC percent predicted for Cohort 1 was 43% to 90%, with a mean of 62.8%. In contrast, other IPF clinical trials, such as those for pirfenidone and nintedanib, have enrolled patients who on average had mild to moderate disease (mean FVC percent predicted 73.1% to 85.5%). Fourteen patients in Cohort 1 withdrew, and ten of the 14 had severe disease.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order to enroll IPF patients similar to those in other IPF trials, we amended the protocol for Cohort 2 to include only patients with mild to moderate disease (FVC ≥ 55% predicted). Baseline FVC percent predicted for Cohort 2 was 53% to 112%, with a mean of 72.7%. Based on this definition of disease severity, 37 patients in Cohort 1 and 32 patients in Cohort 2 had mild to moderate disease.</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table below provides a summary of the observed quantitative change in fibrosis for mild to moderate patients in Cohorts 1 and 2 as measured by quantitative HRCT. Twenty-four percent of these patients had improved fibrosis at Week 48. We believe that this is the first trial to demonstrate a reversal of fibrosis (as measured by HRCT) in a subset of IPF patients. Stable fibrosis has been considered the only achievable favorable outcome in IPF. The table below sets forth the number of patients who showed stable or improved fibrosis at Weeks 24 and 48 compared to the amount of fibrosis at the start of the trial.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Fibrosis in Patients with Mild to Moderate IPF Treated with Pamrevlumab in FGCL-3019-049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Stable or Improved</w:t>
            </w:r>
          </w:p>
        </w:tc>
        <w:tc>
          <w:tcPr>
            <w:tcW w:w="3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Improved Compared to</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Improved Compared</w:t>
            </w:r>
          </w:p>
        </w:tc>
      </w:tr>
      <w:tr>
        <w:trPr>
          <w:trHeight w:val="171"/>
        </w:trPr>
        <w:tc>
          <w:tcPr>
            <w:tcW w:w="3800" w:type="dxa"/>
            <w:vAlign w:val="bottom"/>
          </w:tcPr>
          <w:p>
            <w:pPr>
              <w:spacing w:after="0"/>
              <w:rPr>
                <w:sz w:val="14"/>
                <w:szCs w:val="14"/>
                <w:color w:val="auto"/>
              </w:rPr>
            </w:pPr>
          </w:p>
        </w:tc>
        <w:tc>
          <w:tcPr>
            <w:tcW w:w="3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Compared to Baseline</w:t>
            </w:r>
          </w:p>
        </w:tc>
        <w:tc>
          <w:tcPr>
            <w:tcW w:w="1860" w:type="dxa"/>
            <w:vAlign w:val="bottom"/>
            <w:gridSpan w:val="3"/>
          </w:tcPr>
          <w:p>
            <w:pPr>
              <w:jc w:val="center"/>
              <w:ind w:left="999"/>
              <w:spacing w:after="0"/>
              <w:rPr>
                <w:sz w:val="20"/>
                <w:szCs w:val="20"/>
                <w:color w:val="auto"/>
              </w:rPr>
            </w:pPr>
            <w:r>
              <w:rPr>
                <w:rFonts w:ascii="Arial" w:cs="Arial" w:eastAsia="Arial" w:hAnsi="Arial"/>
                <w:sz w:val="14"/>
                <w:szCs w:val="14"/>
                <w:b w:val="1"/>
                <w:bCs w:val="1"/>
                <w:color w:val="auto"/>
                <w:w w:val="86"/>
              </w:rPr>
              <w:t>Baseline</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to Week 24</w:t>
            </w:r>
          </w:p>
        </w:tc>
      </w:tr>
      <w:tr>
        <w:trPr>
          <w:trHeight w:val="156"/>
        </w:trPr>
        <w:tc>
          <w:tcPr>
            <w:tcW w:w="3800" w:type="dxa"/>
            <w:vAlign w:val="bottom"/>
          </w:tcPr>
          <w:p>
            <w:pPr>
              <w:spacing w:after="0"/>
              <w:rPr>
                <w:sz w:val="13"/>
                <w:szCs w:val="13"/>
                <w:color w:val="auto"/>
              </w:rPr>
            </w:pPr>
          </w:p>
        </w:tc>
        <w:tc>
          <w:tcPr>
            <w:tcW w:w="1540" w:type="dxa"/>
            <w:vAlign w:val="bottom"/>
            <w:tcBorders>
              <w:top w:val="single" w:sz="8" w:color="auto"/>
            </w:tcBorders>
            <w:gridSpan w:val="2"/>
          </w:tcPr>
          <w:p>
            <w:pPr>
              <w:ind w:left="440"/>
              <w:spacing w:after="0" w:line="155" w:lineRule="exact"/>
              <w:rPr>
                <w:sz w:val="20"/>
                <w:szCs w:val="20"/>
                <w:color w:val="auto"/>
              </w:rPr>
            </w:pPr>
            <w:r>
              <w:rPr>
                <w:rFonts w:ascii="Arial" w:cs="Arial" w:eastAsia="Arial" w:hAnsi="Arial"/>
                <w:sz w:val="14"/>
                <w:szCs w:val="14"/>
                <w:b w:val="1"/>
                <w:bCs w:val="1"/>
                <w:color w:val="auto"/>
              </w:rPr>
              <w:t>Week 24</w:t>
            </w:r>
          </w:p>
        </w:tc>
        <w:tc>
          <w:tcPr>
            <w:tcW w:w="140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Week 48</w:t>
            </w:r>
          </w:p>
        </w:tc>
        <w:tc>
          <w:tcPr>
            <w:tcW w:w="160" w:type="dxa"/>
            <w:vAlign w:val="bottom"/>
          </w:tcPr>
          <w:p>
            <w:pPr>
              <w:spacing w:after="0"/>
              <w:rPr>
                <w:sz w:val="13"/>
                <w:szCs w:val="13"/>
                <w:color w:val="auto"/>
              </w:rPr>
            </w:pPr>
          </w:p>
        </w:tc>
        <w:tc>
          <w:tcPr>
            <w:tcW w:w="1860" w:type="dxa"/>
            <w:vAlign w:val="bottom"/>
            <w:tcBorders>
              <w:top w:val="single" w:sz="8" w:color="auto"/>
            </w:tcBorders>
            <w:gridSpan w:val="3"/>
          </w:tcPr>
          <w:p>
            <w:pPr>
              <w:ind w:left="420"/>
              <w:spacing w:after="0" w:line="155" w:lineRule="exact"/>
              <w:rPr>
                <w:sz w:val="20"/>
                <w:szCs w:val="20"/>
                <w:color w:val="auto"/>
              </w:rPr>
            </w:pPr>
            <w:r>
              <w:rPr>
                <w:rFonts w:ascii="Arial" w:cs="Arial" w:eastAsia="Arial" w:hAnsi="Arial"/>
                <w:sz w:val="14"/>
                <w:szCs w:val="14"/>
                <w:b w:val="1"/>
                <w:bCs w:val="1"/>
                <w:color w:val="auto"/>
              </w:rPr>
              <w:t>Week 24</w:t>
            </w:r>
          </w:p>
        </w:tc>
        <w:tc>
          <w:tcPr>
            <w:tcW w:w="110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Week 48</w:t>
            </w:r>
          </w:p>
        </w:tc>
        <w:tc>
          <w:tcPr>
            <w:tcW w:w="14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Week 48</w:t>
            </w: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Cohort 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 (47%)</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 (37%)</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 (27%)</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 (32%)</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 (21%)</w:t>
            </w:r>
          </w:p>
        </w:tc>
      </w:tr>
      <w:tr>
        <w:trPr>
          <w:trHeight w:val="230"/>
        </w:trPr>
        <w:tc>
          <w:tcPr>
            <w:tcW w:w="3800" w:type="dxa"/>
            <w:vAlign w:val="bottom"/>
          </w:tcPr>
          <w:p>
            <w:pPr>
              <w:spacing w:after="0"/>
              <w:rPr>
                <w:sz w:val="20"/>
                <w:szCs w:val="20"/>
                <w:color w:val="auto"/>
              </w:rPr>
            </w:pPr>
            <w:r>
              <w:rPr>
                <w:rFonts w:ascii="Arial" w:cs="Arial" w:eastAsia="Arial" w:hAnsi="Arial"/>
                <w:sz w:val="18"/>
                <w:szCs w:val="18"/>
                <w:b w:val="1"/>
                <w:bCs w:val="1"/>
                <w:color w:val="auto"/>
              </w:rPr>
              <w:t>Cohort 2</w:t>
            </w:r>
          </w:p>
        </w:tc>
        <w:tc>
          <w:tcPr>
            <w:tcW w:w="1400" w:type="dxa"/>
            <w:vAlign w:val="bottom"/>
          </w:tcPr>
          <w:p>
            <w:pPr>
              <w:jc w:val="right"/>
              <w:spacing w:after="0"/>
              <w:rPr>
                <w:sz w:val="20"/>
                <w:szCs w:val="20"/>
                <w:color w:val="auto"/>
              </w:rPr>
            </w:pPr>
            <w:r>
              <w:rPr>
                <w:rFonts w:ascii="Arial" w:cs="Arial" w:eastAsia="Arial" w:hAnsi="Arial"/>
                <w:sz w:val="18"/>
                <w:szCs w:val="18"/>
                <w:color w:val="auto"/>
              </w:rPr>
              <w:t>12/29 (41%)</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9/28 (32%)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 (17%)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 (14%)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8/26 (31%)</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Combined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 (44%)</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 (35%)</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 (23%)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 (24%)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 (25%)</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Eighty-nine patients had at least one adverse event. The most common reported events were cough, fatigue, shortness of breath, upper respiratory tract infection, sore throat, bronchitis, nausea, dizziness, and urinary tract infection. Including the open-label extension, there were 45 serious adverse events in 31 patients, four of which were considered possibly related by the principal investigator to the investigational drug. After investigation, it is our belief that there is no causal relationship between pamrevlumab and the serious adverse events deemed possibly related by the principal investigator. During the first year of treatment there were 38 treatment-emergent serious adverse events in 24 patients. Adverse events observed to date are consistent with typical conditions observed in this patient population.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Pancreatic Cancer and the Limitations of Current Therapies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solid malignant tumors have a prominent fibrosis component consisting mostly of ECM that contributes to metastasis and progressive disease. ECM is the connective tissue framework of an organ or tissue.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Pancreatic ductal adenocarcinoma, or pancreatic cancer, is the third leading cause of cancer deaths in the U.S. According to the European Commission’s European Cancer Information System, there were 100,005 new cases of pancreatic cancer and 95,373 deaths from pancreatic cancer in the Europe projected for 2018. The National Cancer Center of Japan estimated that there were 36,239 new cases of pancreatic cancer in 2014, increased from 24,442 cases in 2004. In its report of December 2017, Decision Resources Group estimated that the major market sales (U.S., Europe and Japan) of pancreatic cancer drugs will grow from $1.3 billion in 2016 to approximately $3.7 billion in 2026. According to the U.S. National Cancer Institute, there were an estimated 57,000 new cases of pancreatic cancer in the U.S. in 2019. Fifty percent of new cases are metastatic. Another 15-20% have localized resectable tumors. The remaining 30-35% have localized but unresectable tumors.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those with non-resectable tumors, median survival is eight to 12 months post-diagnosis, and about 8% realize five years of survival; similar to metastatic cases. For those with resectable tumors, 50% survive 17 to 27 months post-diagnosis and ~20% report five-year survival.</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 year survival rate of 15% to 20% (Neesse et al. Gut (2011)). Radiation treatment may be used for locally advanced diseases, but it is not curative.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Phase 3 Clinical Development – Randomized, Double-Blind, Placebo-Controlled Trial of Pamrevlumab in Locally Advanced, Unresectable Pancreatic Cancer</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to enroll LAPIS, our double-blind placebo controlled Phase 3 trial of pamrevlumab as a neoadjuvant therapy for locally advanced unresectable pancreatic cancer. We intend to enroll approximately 260 patients, randomized 1:1 to receive either pamrevlumab, in combination with gemcitabine and nab-paclitaxel, or placebo with gemcitabine and nab-paclitaxel. After completion of the 6-month treatment period, if the results show an improved resection rate in the pamrevlumab arm, we may request a meeting with the FDA to discuss the adequacy of these results to support a marketing application under the provisions of accelerated approval. After this interim assessment of resection rates, the study will continue to collect data on overall survival, the primary endpoint.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069 – Randomized, Open-Label, Active-Controlled Phase 1/2 Trial of Pamrevlumab in Locally Advanced Pancreatic Cancer</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continue to follow patients in our ongoing open-label, randomized (2:1) Phase 1/2 trial (FGC004C-3019-069) of pamrevlumab combined with gemcitabine plus nab-paclitaxel chemotherapy vs. the chemotherapy regimen alone in patients with inoperable locally advanced pancreatic cancer that has not been previously treated. We enrolled 37 patients in this study and completed the six-month treatment period and surgical assessment at the end of 2017.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reported updated results from this ongoing study at the American Society of Clinical Oncology Annual Meeting in June 2018. A higher proportion (70.8%) of pamrevlumab-treated patients whose tumors were previously considered unresectable became eligible for surgical exploration than patients who received chemotherapy alone (15.4%), based on pre-specified eligibility criteria at the end of 6 months of treatment. Furthermore, a higher proportion of pamrevlumab-treated patients (33.3%) achieved surgical resection than those who received chemotherapy alone (7.7%).</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this data showed improved overall survival among patients who were resected vs. not resected (NE vs. 18.56 months, p-value=0.0141) and a trend toward improved overall survival in patients eligible for surgery vs. patients who were not (27.73 vs. 18.40 months, p-value=0.0766). All of the patients on study at the time of the results reported in June 2018 continue to remain on study. No increase in serious adverse events was observed in the pamrevlumab arm and no delay in wound healing was observed post-surgery.</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Patients with locally advanced unresectable pancreatic cancer have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locally advanced pancreatic cancer patients.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Completed Clinical Trials of Pamrevlumab in Pancreatic Cancer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Arial" w:cs="Arial" w:eastAsia="Arial" w:hAnsi="Arial"/>
          <w:sz w:val="18"/>
          <w:szCs w:val="18"/>
          <w:i w:val="1"/>
          <w:iCs w:val="1"/>
          <w:color w:val="auto"/>
        </w:rPr>
        <w:t>Journal of Cancer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(Picozzi et al., J Cancer Clin Trials 2017, 2:123). Treatment continued until progression of the cancer or the patient withdrew for other reasons.</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were then followed until death.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Seventy-five patients were enrolled in this study with 66 (88%) having Stage 4 metastatic cancer. The study demonstrated a dose-related increase in survival.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lowest doses, no patients survived for even one year while at the highest doses up to 31% of patients survived one year.</w:t>
      </w:r>
    </w:p>
    <w:p>
      <w:pPr>
        <w:spacing w:after="0" w:line="2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Increased Pancreatic Cancer Survival Associated with Increased Plasma Levels of Pamrevlumab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85725</wp:posOffset>
            </wp:positionV>
            <wp:extent cx="3927475" cy="2761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2747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study, the majority of adverse events were mild to moderate, and were consistent with those observed for erlotinib plus gemcitabine treatment without pamrevlumab. There were 99 treatment-emergent serious adverse events; six of which were assessed as possibly related to the investigational drug by the principal investigator, and 93 as not related to study treatment. After investigation, it is our belief that there is no causal relationship between pamrevlumab and the treatment-emergent serious adverse events deemed possibly related by the principal investigator. We did not identify any evolving dose-dependent pattern, and higher doses of pamrevlumab were not associated with higher numbers of serious adverse events or greater severity of the serious adverse events observed.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Pamrevlumab for 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DMD and the Limitations of Current Therapies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the U.S., approximately one in every 5,000 boys have DMD, and approximately 20,000 children are diagnosed with DMD globally each year. There are currently no approved disease-modifying treatments. Despite taking steroids to mitigate progressive muscle loss, a majority of children with DMD are non-ambulatory by adolescence, and median survival is age 25.</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DMD is an inherited disorder of one of the dystrophin genes resulting in absence of the dystrophin protein and abnormal muscle structure and function, leading to progressively diminished mobility as well as pulmonary function and cardiac function which result in early death.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 Numerous pre-clinical studies including those in the mdx model of DMD suggest that CTGF contributes to the process by which muscle is replaced by fibrosis and fat and that CTGF may also impair muscle cell differentiation during muscle repair after injury.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Pamrevlumab for Duchenne Muscular Dystrophy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FDA review of one year data from our Phase 2 administrative analysis, we intend to begin a Phase 3 study of pamrevlumab in non-ambulatory DMD patients in the second half of 2020.</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21 non-ambulatory patients from our fully enrolled Phase 2 open-label single-arm trial have completed over one year of treatment with pamrevlumab. While we cannot make direct comparisons between our trial and previously published data due to, among other things, differences in subject numbers, baseline characteristics, inclusion/exclusion criteria, treatment protocols, and analysis methods, we are encouraged by the data obtained so far. Pamrevlumab was well tolerated in this study.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2019 at the Parent Project Muscular Dystrophy meeting, we reported topline results from our one-year administrative analysis comparing our Phase 2 data to recent published natural disease history studies of DMD patients.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pulmonary function tests, the results from our study indicate a potential reduction in the 1-year decline in FVC percent predicted from baseline for our pamrevlumab-treated patients when compared to FVC data of DMD patients (whether such patients were taking steroids or not) published in 2019 by Ricotti. In the 2019 Ricotti study, the DMD patients were treated with steroids only. Similarly, all of the patients in our Phase 2 pamrevlumab trial were on steroids. In addition, pamrevlumab showed less decline in both percent predicted forced expiratory volume as compared to previously published study results of Meier in 2016, and in percent predicted peak expiratory flow rate, compared to what was observed in the study by Ricotti in 2019.</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data showed an increase in cardiac function, measured by mean change of left ventricular ejection fraction (“LVEF”), of 0.29% from baseline for our pamrevlumab-treated patients. Whereas, data published in 2018 by McDonald of DMD patients only on steroids showed a mean LVEF decline of 0.82% from baseline in one year.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muscle function tests, the majority of the results of this Phase 2 study showed the mean change from baseline in our pamrevlumab-treated patients were more favorable than previously published data. Our results showed a positive increase in grip-strength score in both dominant and non-dominant hands at one year of treatment with pamrevlumab, while earlier results from a 2015 study by Seferian showed a decline at one year as expected. In the performance of the upper limb (“PUL”) test specifically developed for DMD patients, our pamrevlumab-treated patients had a mean change from baseline of -1.53. In the 2019 study by Ricotti of DMD patients taking either nothing or only steroids, the annual mean change in the PUL test was -4.13. Furthermore, in our study a strong correlation between change in biceps brachii T2-mapping and change in PUL score was observed, demonstrating stabilization and even possible improvement in the muscle fibrosis burden.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 for Pamrevlumab</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goal, if pamrevlumab is successful, is to be a leader in the development and commercialization of novel approaches for inhibiting fibrosis and treating some forms of cancer and muscular dystrophy diseases. To date, we have retained exclusive worldwide rights for pamrevlumab.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Europe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their territories. Astellas will pay us a transfer price for our manufacture and delivery of roxadustat based on net sales of roxadustat in the low 20% range.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2015, we reached the $116.5 million cap on our initial funding obligations (under which we shared 50% of the initial development costs), therefore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China, our subsidiary FibroGen Beijing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agreements.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AstraZeneca agreements, we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AstraZeneca will be responsible for the U.S. commercialization of roxadustat, with FibroGen undertaking specified promotional activities in the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sales and marketing activities in China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 information related to collaboration agreements is set forth in Item 7 of this Annual Report on Form 10-K. Information about collaboration partners that accounted for more than 10% of our total revenue or accounts receivable for the last three fiscal years is set forth in Note 14 to our consolidated financial statements under Item 8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pharmaceutical and biotechnology industries are highly competitive, particularly in some of the indications we are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expect any products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When any of our product candidates are approved, they will compete with currently marketed products, and product candidates that may be approved for marketing in the future, for treatment of the following indications: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 Anemia in CKD</w:t>
      </w:r>
    </w:p>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Drugs that will compete with roxadustat are expected to include ESAs, particularly in those patient segments where ESAs are used. Currently available ESAs include epoetin alfa (EPOGEN</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Amgen Inc. in the U.S., Procrit</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Erypo</w:t>
      </w:r>
      <w:r>
        <w:rPr>
          <w:rFonts w:ascii="Arial" w:cs="Arial" w:eastAsia="Arial" w:hAnsi="Arial"/>
          <w:sz w:val="26"/>
          <w:szCs w:val="26"/>
          <w:color w:val="auto"/>
          <w:vertAlign w:val="superscript"/>
        </w:rPr>
        <w:t>®</w:t>
      </w:r>
      <w:r>
        <w:rPr>
          <w:rFonts w:ascii="Arial" w:cs="Arial" w:eastAsia="Arial" w:hAnsi="Arial"/>
          <w:sz w:val="17"/>
          <w:szCs w:val="17"/>
          <w:color w:val="auto"/>
        </w:rPr>
        <w:t>/Eprex</w:t>
      </w:r>
      <w:r>
        <w:rPr>
          <w:rFonts w:ascii="Arial" w:cs="Arial" w:eastAsia="Arial" w:hAnsi="Arial"/>
          <w:sz w:val="26"/>
          <w:szCs w:val="26"/>
          <w:color w:val="auto"/>
          <w:vertAlign w:val="superscript"/>
        </w:rPr>
        <w:t>®</w:t>
      </w:r>
      <w:r>
        <w:rPr>
          <w:rFonts w:ascii="Arial" w:cs="Arial" w:eastAsia="Arial" w:hAnsi="Arial"/>
          <w:sz w:val="17"/>
          <w:szCs w:val="17"/>
          <w:color w:val="auto"/>
        </w:rPr>
        <w:t>, marketed by Johnson &amp; Johnson, Inc. and Espo</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Kyowa Hakko Kirin in Japan and China), darbepoetin (Amgen/Kyowa Hakko Kirin’s Aranesp</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NESP</w:t>
      </w:r>
      <w:r>
        <w:rPr>
          <w:rFonts w:ascii="Arial" w:cs="Arial" w:eastAsia="Arial" w:hAnsi="Arial"/>
          <w:sz w:val="26"/>
          <w:szCs w:val="26"/>
          <w:color w:val="auto"/>
          <w:vertAlign w:val="superscript"/>
        </w:rPr>
        <w:t>®</w:t>
      </w:r>
      <w:r>
        <w:rPr>
          <w:rFonts w:ascii="Arial" w:cs="Arial" w:eastAsia="Arial" w:hAnsi="Arial"/>
          <w:sz w:val="17"/>
          <w:szCs w:val="17"/>
          <w:color w:val="auto"/>
        </w:rPr>
        <w:t>) and Mircera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marketed by Roche outside the U.S. and by Vifor Pharma (“Vifor”), a Roche licensee, in the U.S. and Puerto Rico, as well as biosimilar versions of these currently marketed ESA products. ESAs have been used in the treatment of anemia in CKD for more than 20 years, serving a significant majority of dialysis patients. While non-dialysis 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that are currently developing HIF-PH inhibitors for anemia in CKD indications include GlaxoSmithKline plc (“GSK”), Bayer Corporation (“Bayer”), Akebia Therapeutics, Inc. (“Akebia”), Japan Tobacco, and Zydus Cadila. Akebia is currently conducting Phase 3 studies in CKD patients on dialysis and not on dialysis, as well as a Phase 2 study evaluating pharmacokinetics and pharmacodynamics in dialysis-dependent patients with three-times weekly versus once-a-day dosing. Akebia expects to complete these studies by August 2020. In Japan, Mitsubishi Tanabe Pharmaceutical Corporation, Akebia’s collaboration partner, submitted an NDA for treatment of anemia in dialysis and non-dialysis CKD patients in July 2019, and is awaiting an approval decision later in 2020.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GSK submitted a Japan NDA for treatment of anemia in dialysis and non-dialysis in August 2019 and is awaiting approval later in 2020. Bayer has completed global Phase 2 studies and its HIF-PH inhibitor is now in Phase 3 development in CKD populations on dialysis and not on dialysis in Japan. Japan Tobacco submitted an NDA for treatment of anemia associated with CKD in Japan in November 2019, supported by the six Phase 3 studies conducted in CKD patients on dialysis and not on dialysis in Japan, and its partner JW Pharmaceuticals started a Phase 3 study in dialysis patients in Korea. Zydus Cadila (India) started Phase 3 studies in dialysis and non-dialysis CKD patients in India in 2019.</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a Bristol-Myers Squibb company (“Celgene”), developed Reblozyl® (luspatercept), a protein therapeutic, which was approved in November 2019 by the FDA for anemia treatment in patients with ß-thalassemia. Its Biologics License Application (“BLA”) under review by the FDA, for treatment of adult patients with very low to intermediate MDS associated anemia who have ring sideroblast and require red blood cell transfusions, has a Prescription Drug User Fee Act date of April 4, 2020. Acceleron expects an EMA decision on the MAA in the second half of 2020. In Japan, Celgene started a luspatercept Phase 2 study in May 2019. We may face competition for patient recruitment, enrollment for clinical trials, and potentially in commercial sales. There may also be new therapies for renal-related diseases that could limit the market or level of reimbursement available for roxadustat if and when it is commercialized.</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Two domestic companies, Jiangsu Hengrui Medicine Co., Ltd. and Guandong Sunshine Health Investment Co., Ltd, have been permitted by the NMPA to conduct clinical trials for CKD anemia patients both on dialysis and not on dialysis, and 3SBio Inc. has submitted a clinical trial application to the NMPA to initiate trials for their HIF-PH inhibitor. Another domestic company, China Medical System, in-licensed desidustat, a compound which is currently in Phase 3 trials in India, from Zydus Candila for greater China in January 2020. Akebia announced in December 2015 that it had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to begin a Phase 1 clinical trial of a HIF-PH inhibitor for the China market.</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ESRD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the Europe, and the final material patents in the U.S. expired in May 2015. Several biosimilar versions of currently marketed ESAs are available for sale in the Europe, China and other territories. In the U.S., a few ESA biosimilars are currently under development. Sandoz, a division of Novartis, markets Binocrit® (epoetin alfa) in Europe and may file a biosimilar BLA in the U.S.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won long-term contracts including rebate terms with Amgen. DaVita has a six-year sourcing and supply agreement with Amgen effective through 2022. Fresenius’ contract with Amgen expired in 2015, following which Fresenius is providing Roche’s ESA Mircera® to a significant portion of its U.S. dialysis patients. Successful penetration in this market may require a significant agreement with Fresenius or DaVita, on favorable terms and on a timely basis.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currently in Phase 2 development of pamrevlumab to treat DMD and Phase 3 development of pamrevlumab in IPF and pancreatic cancer. Most of our competitors have significantly more resources and expertise in development, commercialization and manufacturing, particularly due to the fact that we have not yet established a co-development partnership for pamrevlumab. For example, both Roche and Boehringer Ingelheim, which market products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 product they are already familiar with. We may also face competition from potential new IPF therapies in recruitment and enrollment in our clinical trials and potentially in commercialization.</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Pamrevlumab is an injectable protein, which may be more expensive and less convenient than small molecules such as nintedanib and pirfenidone. Other potential competitive product candidates in various stages of development for IPF include Galapagos NV’s GLPG1690 and GLPG1205, Kadmon Holdings, Inc.’s KD025, Liminal BioSciences’ PBI-4050, and Roche/Promedior, Inc.’s PRM-151. In particular, GLPG1690 is in a Phase 3 program consisting of two clinical trials with 750 subjects each, intended to support both the U.S. NDA and MAA in Europe.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developing pamrevlumab to be used in combination with Abraxane</w:t>
      </w:r>
      <w:r>
        <w:rPr>
          <w:rFonts w:ascii="Arial" w:cs="Arial" w:eastAsia="Arial" w:hAnsi="Arial"/>
          <w:sz w:val="14"/>
          <w:szCs w:val="14"/>
          <w:color w:val="auto"/>
        </w:rPr>
        <w:t>®</w:t>
      </w:r>
      <w:r>
        <w:rPr>
          <w:rFonts w:ascii="Arial" w:cs="Arial" w:eastAsia="Arial" w:hAnsi="Arial"/>
          <w:sz w:val="17"/>
          <w:szCs w:val="17"/>
          <w:color w:val="auto"/>
        </w:rPr>
        <w:t xml:space="preserve"> (nab-paclitaxel) and gemcitabine in pancreatic cancer. Celgene’s Abraxane was launched in the U.S. and Europe in 2013 and 2014, respectively, and was the first drug approved in this disease in nearly a decade. In 2015, Merrimack Pharmaceuticals Inc. (“Merrimack”) received FDA approval for the use of ONIVYDE (irinotecan liposome injection, now licensed to Ipsen) for the treatment of patients with metastatic adenocarcinoma of the pancreas after disease progression following gemcitabine-based therapy, and the combination therapy with Abraxane and gemcitabine became the first-line standard of care in these patients. As treatments for pancreatic cancer have shown limited success to date, combination therapies are expected, but the incremental cost may slow a new product adoption in the market, at least until the generic versions of Abraxane becomes available. In addition, we may also face competition from other products seeking approval in conjunction with gemcitabine and Abraxane including FOLFRINOX, a combination chemotherapy regimen of folic acid, 5-fluouracil, oxaliplatin and irinotecan, Rafael Pharma’s defactinib/CPI-613, and Merrimack’s istiratumab.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Duchenne Muscular Dystrophy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 and Japan.</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19, 2016, the FDA approved Sarepta Therapeutics Inc.’s (“Sarepta”) Exondys 51</w:t>
      </w:r>
      <w:r>
        <w:rPr>
          <w:rFonts w:ascii="Arial" w:cs="Arial" w:eastAsia="Arial" w:hAnsi="Arial"/>
          <w:sz w:val="13"/>
          <w:szCs w:val="13"/>
          <w:color w:val="auto"/>
        </w:rPr>
        <w:t>TM</w:t>
      </w:r>
      <w:r>
        <w:rPr>
          <w:rFonts w:ascii="Arial" w:cs="Arial" w:eastAsia="Arial" w:hAnsi="Arial"/>
          <w:sz w:val="16"/>
          <w:szCs w:val="16"/>
          <w:color w:val="auto"/>
        </w:rPr>
        <w:t xml:space="preserve"> (eteplirsen). This was the first drug approved to treat DMD.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3"/>
          <w:szCs w:val="13"/>
          <w:color w:val="auto"/>
        </w:rPr>
        <w:t>TM</w:t>
      </w:r>
      <w:r>
        <w:rPr>
          <w:rFonts w:ascii="Arial" w:cs="Arial" w:eastAsia="Arial" w:hAnsi="Arial"/>
          <w:sz w:val="16"/>
          <w:szCs w:val="16"/>
          <w:color w:val="auto"/>
        </w:rPr>
        <w:t xml:space="preserve"> (golodirsen) was also approved by the FDA in December 2019 for patients with a confirmed genetic mutation that is amenable to exon 53 skipping, which accounts for 8% of the DMD population.</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PTC Therapeutics’ product Translarna </w:t>
      </w:r>
      <w:r>
        <w:rPr>
          <w:rFonts w:ascii="Arial" w:cs="Arial" w:eastAsia="Arial" w:hAnsi="Arial"/>
          <w:sz w:val="13"/>
          <w:szCs w:val="13"/>
          <w:color w:val="auto"/>
        </w:rPr>
        <w:t>TM</w:t>
      </w:r>
      <w:r>
        <w:rPr>
          <w:rFonts w:ascii="Arial" w:cs="Arial" w:eastAsia="Arial" w:hAnsi="Arial"/>
          <w:sz w:val="16"/>
          <w:szCs w:val="16"/>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While Translarna </w:t>
      </w:r>
      <w:r>
        <w:rPr>
          <w:rFonts w:ascii="Arial" w:cs="Arial" w:eastAsia="Arial" w:hAnsi="Arial"/>
          <w:sz w:val="13"/>
          <w:szCs w:val="13"/>
          <w:color w:val="auto"/>
        </w:rPr>
        <w:t>TM</w:t>
      </w:r>
      <w:r>
        <w:rPr>
          <w:rFonts w:ascii="Arial" w:cs="Arial" w:eastAsia="Arial" w:hAnsi="Arial"/>
          <w:sz w:val="16"/>
          <w:szCs w:val="16"/>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ind w:right="40"/>
        <w:spacing w:after="0" w:line="270" w:lineRule="auto"/>
        <w:rPr>
          <w:sz w:val="20"/>
          <w:szCs w:val="20"/>
          <w:color w:val="auto"/>
        </w:rPr>
      </w:pPr>
      <w:r>
        <w:rPr>
          <w:rFonts w:ascii="Arial" w:cs="Arial" w:eastAsia="Arial" w:hAnsi="Arial"/>
          <w:sz w:val="17"/>
          <w:szCs w:val="17"/>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Catabasis Pharmaceuticals (“Catabasis”), Santhera Pharmaceuticals (“Santhera”) and Sarepta. Catabasis’ edasalonexent was reported to have preserved muscle function and slowed the progression of DMD compared to rates of change in the control period prior to treatment with edasalonexent in a Phase 2 study, and is currently undergoing Phase 3 development. Santhera’s Puldysa® (idebenone) MAA for treatment of DMD was filed with the EMA, and the opinion from the Committee for Medicinal Products for Human Use is expected in the second quarter of 2020. The FDA requested additional clinical data from the idebenone Phase 3 trial currently ongoing in the U.S. and Europe. Santhera offers compassionate use of idebenone in patients with DMD in U.S. and UK. Sarepta’s SRP-9001 is an investigational gene therapy for DMD. Sarepta announced in December 2019 the licensing agreement with Roche that grants Roche the commercial rights to SRP-9001 outside the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AND SUPPLY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historically and in the future plan to continue to enter into contractual arrangements with qualified third-party manufacturers to manufacture and package our products and product candidates.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explore or enter into longer 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Roxadustat is a small-molecule drug manufactured from generally available commercial starting materials and chemical technologies and multi-purpose equipment available from many third party contract manufacturers. Outside of China, we plan to continue to use, Shanghai SynTheAll Pharmaceutical Co., Ltd. (“WuXi STA”) and Catalent, Inc. (“Catalent”) as our primary manufacturers of roxadustat drug substance (also known as active pharmaceutical ingredient or “API”) and roxadustat drug product, respectively. WuXi STA is located in China and currently supplies our API globally except for China, for which it manufactures an intermediate to be further manufactured by FibroGen China.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China. Catalent has passed several regulatory inspections, including by the FDA, and manufactures commercial products for other clients.</w:t>
      </w:r>
    </w:p>
    <w:p>
      <w:pPr>
        <w:spacing w:after="0" w:line="16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To date, we believe that roxadustat has been manufactured under cGMP and in compliance with applicable regulatory requirements for the manufacture of drug substance and drug product used in clinical trials and we and Astellas have performed audits of the existing roxadustat manufacturers. The intended commercial manufacturing route outside of China has been successfully scaled up to multiple hundred kilogram scale and produced several metric tons of roxadustat drug substance. We are in discussions with multiple parties regarding longer term commercial supply arrangements.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China, our Beijing facility received the Good Manufacturing Practice (“GMP”) license for API and drug product. We are manufacturing drug product at our FibroGen Beijing manufacturing facility for commercial supply. We are manufacturing API at our Cangzhou manufacturing facility, which has been fully qualified and licensed. We may also qualify a third party manufacturer to produce commercial API under the Marketing Authorization Holder System program.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Irix Pharmaceuticals, Inc.</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we and IRIX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(“Patheon”), acquired IRIX, and in 2017 ThermoFisher Scientific Inc. acquired Patheon.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 date, pamrevlumab has been manufactured using specialized biopharmaceutical process techniques under an agreement with a qualified third party contract manufacturer, Boehringer Ingelheim. Our contract manufacturer is the sole source for the current clinical supply of the drug substance and drug product for pamrevlumab. Our contract manufacturer is only obligated to supply the amounts of pamrevlumab as agreed on pursuant to work orders that are executed from time to time under our agreement as we determine need for clinical material, and we are not required to make fixed or minimum annual purchases. Our existing agreement allows us to transfer the cell line manufacturing process to another third party manufacturer at our expense, and our contractor is obligated to provide reasonable technology transfer assistance in the event of such a transfer.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testing, manufacturing, labeling, storage, distribution, record keeping, advertising, promotion, import, export and marketing, among other things, of our product candidates are subject to extensive regulation by governmental authorities in the U.S. and other countries. The process of obtaining regulatory approvals and the subsequent compliance with appropriate federal, state, local and foreign statutes and regulations, including in Europe and China, requires the expenditure of substantial time and financial resources. 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Product Approval Process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 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1"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submission to the FDA of an IND for human clinical testing, which must become effective before each human clinical trial commence.</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1" w:name="page32"/>
    <w:bookmarkEnd w:id="31"/>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submission to the FDA of an NDA, in the case of a small molecule drug product, or a BLA, in the case of a biologic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acceptance, review and approval of the NDA or BLA, as applicable.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facilities at which the product is made to assess compliance with cGMPs.</w:t>
      </w:r>
    </w:p>
    <w:p>
      <w:pPr>
        <w:spacing w:after="0" w:line="2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9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is usually tested for pharmacodynamic and pharmacokinetic properties such as safety, including adverse effects, dosage tolerance, absorption, distribution, metabolism and excretion.</w:t>
      </w:r>
    </w:p>
    <w:p>
      <w:pPr>
        <w:spacing w:after="0" w:line="1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studies, the clinical trial program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to Phase 3 clinical trials to further evaluate clinical efficacy, optimal dosage and safety within an expanded patient population at geographically dispersed clinical study sites.</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Phase 4. </w:t>
      </w:r>
      <w:r>
        <w:rPr>
          <w:rFonts w:ascii="Arial" w:cs="Arial" w:eastAsia="Arial" w:hAnsi="Arial"/>
          <w:sz w:val="16"/>
          <w:szCs w:val="16"/>
          <w:color w:val="auto"/>
        </w:rPr>
        <w:t>Phase 4 clinical trials are conducted after approval to gain additional experience from the treatment of patients in the intended therapeutic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Review of Application</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complete response letter detailing the deficiencies and information required in order for reconsideration of the application.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Exclusivity and Pediatric Use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3" w:name="page34"/>
    <w:bookmarkEnd w:id="33"/>
    <w:p>
      <w:pPr>
        <w:ind w:right="80"/>
        <w:spacing w:after="0" w:line="255" w:lineRule="auto"/>
        <w:rPr>
          <w:sz w:val="20"/>
          <w:szCs w:val="20"/>
          <w:color w:val="auto"/>
        </w:rPr>
      </w:pPr>
      <w:r>
        <w:rPr>
          <w:rFonts w:ascii="Arial" w:cs="Arial" w:eastAsia="Arial" w:hAnsi="Arial"/>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Drug Marketing Act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and Data Privacy and Security and Transparency Laws and Regulations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ind w:right="20"/>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spacing w:after="0" w:line="288" w:lineRule="auto"/>
        <w:rPr>
          <w:sz w:val="20"/>
          <w:szCs w:val="20"/>
          <w:color w:val="auto"/>
        </w:rPr>
      </w:pPr>
      <w:r>
        <w:rPr>
          <w:rFonts w:ascii="Arial" w:cs="Arial" w:eastAsia="Arial" w:hAnsi="Arial"/>
          <w:sz w:val="16"/>
          <w:szCs w:val="16"/>
          <w:color w:val="auto"/>
        </w:rPr>
        <w:t>Also, many states have similar healthcare statutes or regulations that apply to items and services reimbursed under Medicaid and other state programs, or, in several states, apply regardless of the payor.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payor-by-payor basis, obtaining acceptable coverage and reimbursement from one payor does not guarantee that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in many foreign countries, particularly the countries of the Europe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Europe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payors.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on November 27, 2013, the federal Drug Supply Chain Security Act was signed into law, which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 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Regulation in China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pharmaceutical industry in China is highly regulated. The primary regulatory authority is the NMPA, including its provincial and local branches. As a developer, manufacturer and supplier of drugs, we are subject to regulation and oversight by the NMPA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Clinical Development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new drug must be approved by the NMPA before it can be manufactured and marketed for sale. To obtain NMPA approval, the applicant must conduct clinical trials, which must be approved by the NMPA and are subject to the NMPA’s supervision and inspection. There are four phases of clinical trials. Application for registration of new drugs requires completion of Phase 1, 2 and 3 of clinical trials, similar to the U.S. In addition, the NMPA may require the conduct of Phase 4 studies as a condition to approval.</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Approval to Market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China requires approval of the NDA as well as the manufacturing facility before a drug can be marketed in China. Approval and oversight are performed at national and provincial levels of the NMPA, involve multiple agencies and consist of various stages of approval.</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roxadustat NDA for treatment of CKD anemia was submitted by FibroGen Beijing as a domestic entity under the Domestic Class 1 designation, which refers to a new drug which has never been marketed in any country.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NDA package in China contained information similar to what is necessary for a U.S. NDA, including preclinical data, clinical data, technical data on API and drug product, and related stability data.</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NDA package was found acceptable to the NMPA, and FibroGen Beijing was granted a New Drug License confirming the drug as suitable for marketing in December 2018. In addition, FibroGen Beijing was granted a Manufacturing License which lists the Drug Approval Code as well as the name and address of the Manufacturing License holder.</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Shortly before NDA approval, FibroGen Beijing conducted a three-batch validation campaign, one of which was observed onsite by the NMPA. Following the successful completion of the validation campaign and associated inspection, FibroGen Beijing was granted a cGMP certification for the commercial production of roxadustat at our Beijing manufacturing facility. We are using our FibroGen Beijing manufacturing facility for commercial supply of drug product. Our Cangzhou manufacturing facility has been fully qualified and licensed for manufacture of roxadustat API for the China market, and we will continue to use this facility for commercial supply. We may also qualify a third party manufacturer to produce commercial API under the Marketing Authorization Holder System program.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Reimbursement, Hospital Listing, and Tendering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discussion above in the section “</w:t>
      </w:r>
      <w:r>
        <w:rPr>
          <w:rFonts w:ascii="Arial" w:cs="Arial" w:eastAsia="Arial" w:hAnsi="Arial"/>
          <w:sz w:val="18"/>
          <w:szCs w:val="18"/>
          <w:i w:val="1"/>
          <w:iCs w:val="1"/>
          <w:color w:val="auto"/>
        </w:rPr>
        <w:t>Roxadustat for the Treatment of Anemia in Chronic Kidney Disease in China.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Foreign Regulation Outside of China</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received marketing authorization for roxadustat in Japan for anemia of CKD in dialysis patients, and in China for dialysis and non-dialysis patients. Astellas has submitted a supplemental NDA for non-dialysis patients in Japan and intends on submitting an MAA for Europe in the first half of 2020. Our partners also intend to submit for marketing authorization in other countries and we may file for marketing authorization for pamrevlumab or roxadustat in other indications and in other countries in the future. 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(“CTA”), much like an IND prior to the commencement of human clinical trials. A CTA must be submitted to each national health authority and an independent ethics committee.</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other countries outside of the Europe,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Exclusivity for Approved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Price Competition and Innovation Act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Pamrevlumab has received orphan drug designation in IPF, locally advanced unresectable pancreatic cancer, and DMD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EMA has granted Orphan Medicinal Product Designation to pamrevlumab for the treatment of DMD. Orphan Medicinal Product Designation status in the Europe has similar but not identical benefits in that jurisdiction.</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Products receiving orphan designation in the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the Europe for pediatric studies. No extension to any supplementary protection certificate can be granted on the basis of pediatric studies for orphan indications.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Country Data Exclusivity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Europe also provides opportunities for additional market exclusivity. For example, in the Europe, upon receiving marketing authorization, an NCE generally receives eight years of data exclusivity and an additional two years of market exclusivity. If granted, data exclusivity prevents regulatory authorities in the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China, there is also an opportunity for data exclusivity for a period of six years for data included in an NDA applicable to a NCE. According to the Provisions for Drug Registration, the Chinese government protects undisclosed data from drug studies and prevents the approval of an application made by another company that uses the undisclosed data for the approved drug. In addition, if an approved drug manufactured in China qualifies as an innovative drug, such as Domestic Class 1, and the NMPA determines that it is appropriate to protect public health with respect to the safety and efficacy of the approved drug, the NMPA may elect to monitor such drug for up to five years. During this post-marketing observation period, the NMPA will not grant approval to another company to produce, change dosage form of or import the drug while the innovative drug is under observation. The approved manufacturer is required to provide an annual report to the regulatory department of the province, autonomous region or municipality directly under the central government where it is located. Each of the data exclusivity period and the observation period runs from the date of approval for production of the NCE or innovative drug, as the case may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Arial" w:cs="Arial" w:eastAsia="Arial" w:hAnsi="Arial"/>
          <w:sz w:val="17"/>
          <w:szCs w:val="17"/>
          <w:i w:val="1"/>
          <w:iCs w:val="1"/>
          <w:color w:val="auto"/>
        </w:rPr>
        <w:t>Refer to “Government Regulation — Regulatory Exclusivity for Approved Products.”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administrative proceedings with respect to our patents and patent applications and may, as a result of our extensive portfolio, be involved in such proceedings in the future. Additionally, in the future, we may claim that a third party infringes our intellectual property or a third party may claim that we infringe its intellectual property. In any of the administrative proceedings or in litigation, we may incur significant expenses, damages, attorneys’ fees, costs of proceedings and experts’ fees, and management and employees may be required to spend significant time in connection with these actions.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Patent Portfolio</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and granted foreign patents are due to expire in 2024. U.S. and foreign patents relating to crystalline forms of roxadustat are due to expire in 2033.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ind w:right="180"/>
        <w:spacing w:after="0" w:line="264" w:lineRule="auto"/>
        <w:rPr>
          <w:sz w:val="20"/>
          <w:szCs w:val="20"/>
          <w:color w:val="auto"/>
        </w:rPr>
      </w:pPr>
      <w:r>
        <w:rPr>
          <w:rFonts w:ascii="Arial" w:cs="Arial" w:eastAsia="Arial" w:hAnsi="Arial"/>
          <w:sz w:val="18"/>
          <w:szCs w:val="18"/>
          <w:color w:val="auto"/>
        </w:rPr>
        <w:t>Oppositions were filed against our European Patent No. 2872488 (the “`488 Patent”), which claims a crystalline form of roxadustat. Final resolution of the opposition proceedings will take time, and we cannot be assured of the breadth of the claims that will remain in the ’488 Patent or that the patent will not be revoked in its entirety.</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We believe that, if roxadustat is approved, a full five-year patent term extension under the Hatch-Waxman act will be available for a granted U.S. patent relating to roxadustat, which extension would expire in 2029 or 2030, depending on the patent extended. </w:t>
      </w:r>
      <w:r>
        <w:rPr>
          <w:rFonts w:ascii="Arial" w:cs="Arial" w:eastAsia="Arial" w:hAnsi="Arial"/>
          <w:sz w:val="18"/>
          <w:szCs w:val="18"/>
          <w:i w:val="1"/>
          <w:iCs w:val="1"/>
          <w:color w:val="auto"/>
        </w:rPr>
        <w:t>Refer to “Government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 — U.S. Patent Term Restoration.”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hold various U.S. and foreign granted patents and pending patent applications directed to manufacturing processes, formulations, and methods for use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China Patent Portfolio</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roxadustat China patent portfolio includes granted patents covering roxadustat composition-of-matter, pharmaceutical compositions, methods of use, and manufacturing processes for roxadustat, as well as medicaments containing roxadustat for treating anemia and other conditions. Patents relating to roxadustat composition-of-matter and crystalline forms are due to expire in 2024 and 2033, respectively.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believe that roxadustat, as a new chemical entity, would be eligible for six years of data exclusivity in China. Furthermore, upon approval as a new drug, roxadustat may receive up to five years of market exclusivity under a NMPA-imposed new drug monitoring period. </w:t>
      </w:r>
      <w:r>
        <w:rPr>
          <w:rFonts w:ascii="Arial" w:cs="Arial" w:eastAsia="Arial" w:hAnsi="Arial"/>
          <w:sz w:val="18"/>
          <w:szCs w:val="18"/>
          <w:i w:val="1"/>
          <w:iCs w:val="1"/>
          <w:color w:val="auto"/>
        </w:rPr>
        <w:t>Refer to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Exclusivity for Approved Products — Foreign Country Data Exclusivity.”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 Anemia-Related Technologies Patent Portfolio</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portfolio reflects a series of discoveries we made from the initial days of our HIF program through the present time. Our research efforts have resulted in progressive innovation, and the corresponding patents and patent applications reflect the success of our HIF program. Such discoveries include the ability of HIF-PH inhibitors:</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induce endogenous EPO in CKD patients with anemia.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increase efficacy of EPO signaling.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enhance EPO responsiveness of the bone marrow, for example, by increasing EPO receptor expression.</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overcome the suppressive and inhibitory effects of inflammatory cytokines, such as members of the interleukin-1 and IL-6 cytokine families, on EPO production and responsiveness.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increase effective metabolism of iron.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increase iron absorption and bioavailability, as measured using clinical parameters such as percent TSAT%.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overcome iron deficiency through effects on iron regulatory factors such as ferroportin and hepcidin.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coordinated erythropoiesis resulting in increased CHr and increased mean corpuscular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improve kidney function.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The table below sets forth representative granted U.S. patents relating to these and other inventions, including the projected expiration dates of these patents.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PATENT NO.</w:t>
            </w:r>
          </w:p>
        </w:tc>
        <w:tc>
          <w:tcPr>
            <w:tcW w:w="7760" w:type="dxa"/>
            <w:vAlign w:val="bottom"/>
            <w:gridSpan w:val="2"/>
          </w:tcPr>
          <w:p>
            <w:pPr>
              <w:ind w:left="3580"/>
              <w:spacing w:after="0"/>
              <w:rPr>
                <w:sz w:val="20"/>
                <w:szCs w:val="20"/>
                <w:color w:val="auto"/>
              </w:rPr>
            </w:pPr>
            <w:r>
              <w:rPr>
                <w:rFonts w:ascii="Arial" w:cs="Arial" w:eastAsia="Arial" w:hAnsi="Arial"/>
                <w:sz w:val="14"/>
                <w:szCs w:val="14"/>
                <w:b w:val="1"/>
                <w:bCs w:val="1"/>
                <w:color w:val="auto"/>
              </w:rPr>
              <w:t>TITLE</w:t>
            </w:r>
          </w:p>
        </w:tc>
        <w:tc>
          <w:tcPr>
            <w:tcW w:w="1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DUE TO EXPIRE</w:t>
            </w:r>
          </w:p>
        </w:tc>
      </w:tr>
      <w:tr>
        <w:trPr>
          <w:trHeight w:val="223"/>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6,855,510</w:t>
            </w:r>
          </w:p>
        </w:tc>
        <w:tc>
          <w:tcPr>
            <w:tcW w:w="160" w:type="dxa"/>
            <w:vAlign w:val="bottom"/>
            <w:tcBorders>
              <w:top w:val="single" w:sz="8" w:color="CFF0FC"/>
            </w:tcBorders>
            <w:shd w:val="clear" w:color="auto" w:fill="CFF0FC"/>
          </w:tcPr>
          <w:p>
            <w:pPr>
              <w:spacing w:after="0"/>
              <w:rPr>
                <w:sz w:val="19"/>
                <w:szCs w:val="19"/>
                <w:color w:val="auto"/>
              </w:rPr>
            </w:pPr>
          </w:p>
        </w:tc>
        <w:tc>
          <w:tcPr>
            <w:tcW w:w="7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Pharmaceuticals and Methods for Treating Hypoxia and Screening Methods Therefor</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July 2022</w:t>
            </w: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8,466,172</w:t>
            </w:r>
          </w:p>
        </w:tc>
        <w:tc>
          <w:tcPr>
            <w:tcW w:w="1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Stabilization of Hypoxia Inducible Factor (HIF) Alpha</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2022</w:t>
            </w: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8,629,131</w:t>
            </w:r>
          </w:p>
        </w:tc>
        <w:tc>
          <w:tcPr>
            <w:tcW w:w="160" w:type="dxa"/>
            <w:vAlign w:val="bottom"/>
            <w:shd w:val="clear" w:color="auto" w:fill="CFF0FC"/>
          </w:tcPr>
          <w:p>
            <w:pPr>
              <w:spacing w:after="0"/>
              <w:rPr>
                <w:sz w:val="19"/>
                <w:szCs w:val="19"/>
                <w:color w:val="auto"/>
              </w:rPr>
            </w:pPr>
          </w:p>
        </w:tc>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Enhanced Erythropoiesis and Iron Metabolism</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2024</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8,604,012</w:t>
            </w:r>
          </w:p>
        </w:tc>
        <w:tc>
          <w:tcPr>
            <w:tcW w:w="1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Enhanced Erythropoiesis and Iron Metabolism</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2024</w:t>
            </w: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8,609,646</w:t>
            </w:r>
          </w:p>
        </w:tc>
        <w:tc>
          <w:tcPr>
            <w:tcW w:w="160" w:type="dxa"/>
            <w:vAlign w:val="bottom"/>
            <w:shd w:val="clear" w:color="auto" w:fill="CFF0FC"/>
          </w:tcPr>
          <w:p>
            <w:pPr>
              <w:spacing w:after="0"/>
              <w:rPr>
                <w:sz w:val="19"/>
                <w:szCs w:val="19"/>
                <w:color w:val="auto"/>
              </w:rPr>
            </w:pPr>
          </w:p>
        </w:tc>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Enhanced Erythropoiesis and Iron Metabolism</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2024</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8,604,013</w:t>
            </w:r>
          </w:p>
        </w:tc>
        <w:tc>
          <w:tcPr>
            <w:tcW w:w="1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Enhanced Erythropoiesis and Iron Metabolism</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2024</w:t>
            </w: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8,614,204</w:t>
            </w:r>
          </w:p>
        </w:tc>
        <w:tc>
          <w:tcPr>
            <w:tcW w:w="160" w:type="dxa"/>
            <w:vAlign w:val="bottom"/>
            <w:shd w:val="clear" w:color="auto" w:fill="CFF0FC"/>
          </w:tcPr>
          <w:p>
            <w:pPr>
              <w:spacing w:after="0"/>
              <w:rPr>
                <w:sz w:val="19"/>
                <w:szCs w:val="19"/>
                <w:color w:val="auto"/>
              </w:rPr>
            </w:pPr>
          </w:p>
        </w:tc>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Enhanced Erythropoiesis and Iron Metabolism</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2026</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7,713,986</w:t>
            </w:r>
          </w:p>
        </w:tc>
        <w:tc>
          <w:tcPr>
            <w:tcW w:w="1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Compounds and Methods for Treatment of Chemotherapy-Induced Anemia</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2026</w:t>
            </w: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8,318,703</w:t>
            </w:r>
          </w:p>
        </w:tc>
        <w:tc>
          <w:tcPr>
            <w:tcW w:w="160" w:type="dxa"/>
            <w:vAlign w:val="bottom"/>
            <w:shd w:val="clear" w:color="auto" w:fill="CFF0FC"/>
          </w:tcPr>
          <w:p>
            <w:pPr>
              <w:spacing w:after="0"/>
              <w:rPr>
                <w:sz w:val="19"/>
                <w:szCs w:val="19"/>
                <w:color w:val="auto"/>
              </w:rPr>
            </w:pPr>
          </w:p>
        </w:tc>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Methods for Improving Kidney Function</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February 2027</w:t>
            </w:r>
          </w:p>
        </w:tc>
      </w:tr>
    </w:tbl>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to the U.S. patents listed above, our HIF anemia-related technologies portfolio includes corresponding foreign patents granted and patent applications pending in various territories worldwide.</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the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The ultimate outcomes of such proceedings remain uncertain, and ultimate resolution of such may take considerable time.</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addition, Akebia has filed oppositions against FibroGen European Patent Nos. 2289531 and 2298301. Akebia and GSK have also initiated invalidation actions in the United Kingdom against the United Kingdom counterparts of each of these European patents, and GSK has filed for a declaration of non-infringement of certain United Kingdom patents (corresponding to FibroGen European Patent Nos. 2322153 and 2322155) with respect to its daprodustat product. Akebia is also pursuing invalidation actions against corresponding patents in Canada and in Japan, and invalidation actions against corresponding patents in the United Kingdom have been initiated by GSK and by Akebia, although FibroGen has reached an agreement with GSK that will lead to dismissal of the UK court actions and the proceedings filed by GSK against the patents in the EPO. Astellas’ proceedings brought against GSK on a </w:t>
      </w:r>
      <w:r>
        <w:rPr>
          <w:rFonts w:ascii="Arial" w:cs="Arial" w:eastAsia="Arial" w:hAnsi="Arial"/>
          <w:sz w:val="17"/>
          <w:szCs w:val="17"/>
          <w:i w:val="1"/>
          <w:iCs w:val="1"/>
          <w:color w:val="auto"/>
        </w:rPr>
        <w:t>quia timet</w:t>
      </w:r>
      <w:r>
        <w:rPr>
          <w:rFonts w:ascii="Arial" w:cs="Arial" w:eastAsia="Arial" w:hAnsi="Arial"/>
          <w:sz w:val="17"/>
          <w:szCs w:val="17"/>
          <w:color w:val="auto"/>
        </w:rPr>
        <w:t xml:space="preserve"> basis have also been dismissed as a result of the settlement agreement. While we believe the ultimate outcome of all proceedings will be that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Patent Portfolio</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U.S. patents relating to pamrevlumab composition-of-matter are due to expire in 2024 or 2025. Corresponding foreign patents are due to expire, exclusive of any patent term extension, in 2024.</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believe that, if pamrevlumab is approved, a full five-year patent term extension under the Hatch-Waxman act will be available for a granted patent relating to pamrevlumab, which extension would expire in 2029 or 2030, depending on the patent extended . In addition, we believe that pamrevlumab, if approved under a BLA, should qualify for the 12-year period of exclusivity currently permitted by the BPCIA. Refer to </w:t>
      </w:r>
      <w:r>
        <w:rPr>
          <w:rFonts w:ascii="Arial" w:cs="Arial" w:eastAsia="Arial" w:hAnsi="Arial"/>
          <w:sz w:val="18"/>
          <w:szCs w:val="18"/>
          <w:i w:val="1"/>
          <w:iCs w:val="1"/>
          <w:color w:val="auto"/>
        </w:rPr>
        <w:t>“Government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hold additional granted U.S. and foreign patents and pending patent applications directed to the use of pamrevlumab to treat IPF, DMD, pancreatic cancer, liver fibrosis, and other disorders.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 and Know-How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160"/>
        <w:spacing w:after="0" w:line="277" w:lineRule="auto"/>
        <w:rPr>
          <w:sz w:val="20"/>
          <w:szCs w:val="20"/>
          <w:color w:val="auto"/>
        </w:rPr>
      </w:pPr>
      <w:r>
        <w:rPr>
          <w:rFonts w:ascii="Arial" w:cs="Arial" w:eastAsia="Arial" w:hAnsi="Arial"/>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Dana-Farber Cancer Institute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(HIFα), and include granted U.S. and foreign patents due to expire in 2022, exclusive of possible patent term extension. The licensed patents relate to use of HIF-PH inhibitors such as roxadustat.</w:t>
      </w:r>
    </w:p>
    <w:p>
      <w:pPr>
        <w:spacing w:after="0" w:line="18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Miami</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1997, we entered into a license agreement with the University of Miami (the “University”), amended in July 1999, under which we obtained an exclusive, worldwide license to certain patent applications and patents for all uses. The current patent rights consist of a U.S. patent that relates to antibodies that specifically bind to biologically active fragments of CTGF, and is due to expire in 2022, exclusive of any patent term extension or adjustment that may be available. The licensed patent relates to pamrevlumab and related products.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University agreement, we are obligated to pay for all ongoing patent expenses for the licensed patent. We were also obligated to pay an upfront licensing fee of $21,500, all of which has been paid, and development milestone payments of up to $450,000, of which $150,000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The University may terminate the agreement for our uncured material breach or bankruptcy. We may terminate the agreement for the University’s uncured material breach or at any time on prior written notice to the University.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 (Medarex, Inc.)</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80"/>
        <w:spacing w:after="0" w:line="291" w:lineRule="auto"/>
        <w:rPr>
          <w:sz w:val="20"/>
          <w:szCs w:val="20"/>
          <w:color w:val="auto"/>
        </w:rPr>
      </w:pPr>
      <w:r>
        <w:rPr>
          <w:rFonts w:ascii="Arial" w:cs="Arial" w:eastAsia="Arial" w:hAnsi="Arial"/>
          <w:sz w:val="16"/>
          <w:szCs w:val="16"/>
          <w:color w:val="auto"/>
        </w:rPr>
        <w:t>As a result of the exercise of our option to obtain the commercial license, Medarex is precluded from (i) knowingly using any technology involving immunizable transgenic mice containing unrearranged human immunoglobulin genes with any of our antigen targets that were the subject of the agreement,</w:t>
      </w:r>
    </w:p>
    <w:p>
      <w:pPr>
        <w:ind w:left="280" w:hanging="272"/>
        <w:spacing w:after="0"/>
        <w:tabs>
          <w:tab w:leader="none" w:pos="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granting to a third party a commercial license that covers such antigen targets or those antibodies derived by Medarex during the Research Period, and</w:t>
      </w:r>
    </w:p>
    <w:p>
      <w:pPr>
        <w:spacing w:after="0" w:line="32" w:lineRule="exact"/>
        <w:rPr>
          <w:rFonts w:ascii="Arial" w:cs="Arial" w:eastAsia="Arial" w:hAnsi="Arial"/>
          <w:sz w:val="16"/>
          <w:szCs w:val="16"/>
          <w:color w:val="auto"/>
        </w:rPr>
      </w:pPr>
    </w:p>
    <w:p>
      <w:pPr>
        <w:ind w:right="440"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any antibodies derived by Medarex during the Research Period, except as permitted under the agreement for our benefit or to prosecute patent applications in accordance with the agreement.</w:t>
      </w:r>
    </w:p>
    <w:p>
      <w:pPr>
        <w:spacing w:after="0" w:line="1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and a cash payment of $2 million, for pamrevlumab to date. At our election, the remaining milestone payments may be paid in common stock of FibroGen, Inc., or cash.</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Filings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January 31, 2020, we had 531 full-time employees, 136 of whom held Ph.D. or M.D. degrees, 279 of whom were engaged in research and development and 252 of whom were engaged in manufacturing, sales and marketing, business development, finance, information systems, facilities, human resources or administrative support. None of our U.S. employees are represented by a labor union. The employees of FibroGen Beijing are represented by a labor union under the China Labor Union Law. None of our employees have entered into a collective agreement with us. We consider our employee relations to be good.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Information regarding our revenues, net loss and total assets is contained in our consolidated financial statements under Item 8 of this Annual Report, which information is incorporated by reference here. For the specifics of our segment and geographic revenue, refer to Note 14 to our consolidated financial statements.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and development expenses for fiscal years ended December 31, 2019, 2018 and 2017 were $209.3 million, $235.8 million, and $196.5 million, respectively. We expect our research and development expenses to continue to increase in the future as we advance our product candidates through clinical trials and expand our product candidate portfolio.</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for the development and commercialization of roxadustat. For fiscal years ended December 31, 2019, 2018 and 2017, substantially all of our revenue was related to our collaboration agreements.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internet website address is www.fibrogen.com.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(the “Exchange Act”),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1993 in Delaware. Our headquarters are located at 409 Illinois Street, San Francisco, California 94158 and our telephone number is</w:t>
      </w:r>
    </w:p>
    <w:p>
      <w:pPr>
        <w:spacing w:after="0" w:line="46" w:lineRule="exact"/>
        <w:rPr>
          <w:sz w:val="20"/>
          <w:szCs w:val="20"/>
          <w:color w:val="auto"/>
        </w:rPr>
      </w:pPr>
    </w:p>
    <w:p>
      <w:pPr>
        <w:ind w:right="60" w:firstLine="8"/>
        <w:spacing w:after="0" w:line="261" w:lineRule="auto"/>
        <w:tabs>
          <w:tab w:leader="none" w:pos="435" w:val="left"/>
        </w:tabs>
        <w:numPr>
          <w:ilvl w:val="0"/>
          <w:numId w:val="8"/>
        </w:numPr>
        <w:rPr>
          <w:rFonts w:ascii="Arial" w:cs="Arial" w:eastAsia="Arial" w:hAnsi="Arial"/>
          <w:sz w:val="18"/>
          <w:szCs w:val="18"/>
          <w:color w:val="auto"/>
        </w:rPr>
      </w:pPr>
      <w:r>
        <w:rPr>
          <w:rFonts w:ascii="Arial" w:cs="Arial" w:eastAsia="Arial" w:hAnsi="Arial"/>
          <w:sz w:val="18"/>
          <w:szCs w:val="18"/>
          <w:color w:val="auto"/>
        </w:rPr>
        <w:t>978-1200. Our website address is www.FibroGen.com. The information contained on, or that can be accessed through, our website is not part of, and is not incorporated into, this Annual Report.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6" w:name="page47"/>
    <w:bookmarkEnd w:id="46"/>
    <w:p>
      <w:pPr>
        <w:spacing w:after="0" w:line="288" w:lineRule="auto"/>
        <w:rPr>
          <w:sz w:val="20"/>
          <w:szCs w:val="20"/>
          <w:color w:val="auto"/>
        </w:rPr>
      </w:pPr>
      <w:r>
        <w:rPr>
          <w:rFonts w:ascii="Arial" w:cs="Arial" w:eastAsia="Arial" w:hAnsi="Arial"/>
          <w:sz w:val="16"/>
          <w:szCs w:val="16"/>
          <w:color w:val="auto"/>
        </w:rPr>
        <w:t>Our subsidiaries consist of the following: 1) FibroGen Europe Oy (“FibroGen Europe”), a majority owned entity incorporated in Finland in 1996; 2) Skin Sciences, Inc., a majority owned entity incorporated in the State of Delaware in 1995; 3) FibroGen International (Cayman) Limited, a majority owned entity incorporated in the Cayman Islands in 2011; 4) FibroGen China Anemia Holdings Ltd., a majority owned entity incorporated in the Cayman Islands in 2012;</w:t>
      </w:r>
    </w:p>
    <w:p>
      <w:pPr>
        <w:ind w:right="20" w:firstLine="8"/>
        <w:spacing w:after="0" w:line="261"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FibroGen International (Hong Kong) Limited, a majority owned entity incorporated in Hong Kong in 2011; and 6) FibroGen (China) Medical Technology Development Co., Ltd., a majority owned entity incorporated in China in 2011.</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in anemia in chronic kidney disease (“CKD”), myelodysplastic syndromes (“MDS”), and chemotherapy-induced anemia, and pamrevlumab in idiopathic pulmonary fibrosis (“IPF”), pancreatic cancer, and Duchenne muscular dystrophy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2019, 2018 and 2017 were $77.0 million, $86.4 million and $120.9 million, respectively. As of December 31, 2019, we had an accumulated deficit of $784.7 million. As of December 31, 2019, we had capital resources consisting of cash, cash equivalents and short-term investments of $533.8 million plus $61.1 million of long-term investments classified as available for sale securities. Despite contractual development and cost coverage commitments from our collaboration partners, AstraZeneca AB (“AstraZeneca”) and Astellas Pharma Inc. (“Astellas”), and the potential to receive milestone and other payments from these partners, and despite commercialization efforts in the People’s Republic of China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launch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the success of our lead product, roxadustat, and our second compound in development, pamrevlumab.</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and pamrevlumab. While we have received approval of our New Drug Applications (“NDA”) for roxadustat in China for CKD anemia for patients on dialysis and not on dialysis, and for roxadustat in Japan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development and commercialization of roxadustat, including obtaining regulatory approvals for the commercialization of roxadustat for anemia associated with CKD.</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other lead product candidate, pamrevlumab, is currently in clinical development for IPF, pancreatic cancer and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timely initiation and completion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ultimate approval criteria (which may include non-inferiority margins and statistical analyses methods), indications, patient populations, and ultimate benefit-risk analysis used by regulatory authorities in their approval processes;</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are required by the United States (“U.S.”) Food and Drug Administration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or timely receipt of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successfully commercialize, market, sell and distribute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or our partners are able to recruit and retain adequate numbers of effective sales and marketing personnel for the sale of our products;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can compete successfully as a new entrant in the treatment of anemia caused by CKD;</w:t>
      </w:r>
    </w:p>
    <w:p>
      <w:pPr>
        <w:spacing w:after="0" w:line="117"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and the ability of our third-party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left="1040" w:right="2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educating health care providers, patients and the healthcare community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us and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negotiate, obtain and sustain an adequate level of pricing or reimbursement for our products by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enforce successfully our intellectual property rights for our product candidates and against the products of potential competitors;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avoid or succeed in third-party patent interference or patent infringement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sufficient stability data for launch and market supply.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of these factors are beyond our control. Successful commercialization of our products will require significant resources and time, and there is a risk that we may not successfully commercialize them. If we do not achieve one or more of these factors in a timely manner or at all, we could experience significant delays or an inability to successfully commercialize our products and generate revenues, which would deprive us from additional working capital and would materially harm our ability to achieve profitability through the sale of or royalties from our product candidates.</w:t>
      </w:r>
    </w:p>
    <w:p>
      <w:pPr>
        <w:spacing w:after="0" w:line="2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As a company, we have limited commercialization experience, and the time and resources to develop such experience are significant. If we fail to achieve and sustain commercial success for roxadustat, either directly or with our collaboration partners, our business would be harmed.</w:t>
      </w:r>
    </w:p>
    <w:p>
      <w:pPr>
        <w:spacing w:after="0" w:line="1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00" w:hanging="61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00" w:right="1920" w:hanging="61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89" w:lineRule="exact"/>
        <w:rPr>
          <w:rFonts w:ascii="Arial" w:cs="Arial" w:eastAsia="Arial" w:hAnsi="Arial"/>
          <w:sz w:val="18"/>
          <w:szCs w:val="18"/>
          <w:color w:val="auto"/>
        </w:rPr>
      </w:pPr>
    </w:p>
    <w:p>
      <w:pPr>
        <w:ind w:left="1000" w:hanging="61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30" w:lineRule="exact"/>
        <w:rPr>
          <w:rFonts w:ascii="Arial" w:cs="Arial" w:eastAsia="Arial" w:hAnsi="Arial"/>
          <w:sz w:val="18"/>
          <w:szCs w:val="18"/>
          <w:color w:val="auto"/>
        </w:rPr>
      </w:pPr>
    </w:p>
    <w:p>
      <w:pPr>
        <w:ind w:left="1000" w:right="1940" w:hanging="614"/>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9" w:lineRule="exact"/>
        <w:rPr>
          <w:rFonts w:ascii="Arial" w:cs="Arial" w:eastAsia="Arial" w:hAnsi="Arial"/>
          <w:sz w:val="18"/>
          <w:szCs w:val="18"/>
          <w:color w:val="auto"/>
        </w:rPr>
      </w:pPr>
    </w:p>
    <w:p>
      <w:pPr>
        <w:ind w:left="1000" w:hanging="61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Commercializing roxadustat requires us to establish commercialization systems, including but not limited to, medical affairs, sales, pharmacovigilance, supply-chain, and distribution capabilities to perform our portion of the collaborative efforts. These efforts require resources and time. If we, along with Astellas and AstraZeneca, are not successful in setting our marketing, pricing and reimbursement strategy, facilitating adoption by hospitals, recruiting sales and marketing personnel or in building a sales and marketing infrastructure, we will have difficulty commercializing roxadustat, which would adversely affect our business and financial condition.</w:t>
      </w:r>
    </w:p>
    <w:p>
      <w:pPr>
        <w:spacing w:after="0" w:line="296"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Although regulatory approval has been obtained for roxadustat in China and Japan, we may be unable to obtain regulatory approval for our product candidates in other countries, or such approval may be delayed or limited, due to a number of factors, many of which are beyond our control.</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 in one or more indications and jurisdictions.</w:t>
      </w:r>
    </w:p>
    <w:p>
      <w:pPr>
        <w:spacing w:after="0" w:line="1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Moreover,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1040" w:right="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left="1040" w:right="3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left="1040" w:right="2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4"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 Roxadustat for the Treatment of Anemia in Chronic Kidney Disease</w:t>
      </w:r>
      <w:r>
        <w:rPr>
          <w:rFonts w:ascii="Arial" w:cs="Arial" w:eastAsia="Arial" w:hAnsi="Arial"/>
          <w:sz w:val="18"/>
          <w:szCs w:val="18"/>
          <w:color w:val="auto"/>
        </w:rPr>
        <w:t>” and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Pamrevlumab for the Treatment of Fibrosis and Cancer</w:t>
      </w:r>
      <w:r>
        <w:rPr>
          <w:rFonts w:ascii="Arial" w:cs="Arial" w:eastAsia="Arial" w:hAnsi="Arial"/>
          <w:sz w:val="18"/>
          <w:szCs w:val="18"/>
          <w:color w:val="auto"/>
        </w:rPr>
        <w:t>” for a discussion of the adverse events and serious adverse events that have emerged in clinical trials</w:t>
      </w:r>
      <w:r>
        <w:rPr>
          <w:rFonts w:ascii="Arial" w:cs="Arial" w:eastAsia="Arial" w:hAnsi="Arial"/>
          <w:sz w:val="18"/>
          <w:szCs w:val="18"/>
          <w:i w:val="1"/>
          <w:iCs w:val="1"/>
          <w:color w:val="auto"/>
        </w:rPr>
        <w:t xml:space="preserve"> </w:t>
      </w:r>
      <w:r>
        <w:rPr>
          <w:rFonts w:ascii="Arial" w:cs="Arial" w:eastAsia="Arial" w:hAnsi="Arial"/>
          <w:sz w:val="18"/>
          <w:szCs w:val="18"/>
          <w:color w:val="auto"/>
        </w:rPr>
        <w:t>of roxadustat and pamrevlumab.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b w:val="1"/>
          <w:bCs w:val="1"/>
          <w:i w:val="1"/>
          <w:iCs w:val="1"/>
          <w:color w:val="auto"/>
        </w:rPr>
        <w:t>If we or third-party manufacturers and other service providers on which we rely cannot manufacture sufficient quantities of our product candidates, or at sufficient quality, or perform other services we require, we may experience delays in development, regulatory approval, launch or successful commercialization.</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Completion of our clinical trials and commercialization of our product candidates require access to, or development of, facilities to manufacture and manage our product candidates at sufficient yields, quality and at commercial scale. Although we have entered into commercial supply agreements for the manufacture of some of our drug candidates, active pharmaceutical ingredients, intermediates or raw materials, we will need to enter into additional commercial supply agreements, including for backup or second source third-party manufacturers. We may not be able to enter into these agreements with satisfactory terms or on a timely manner.</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third-party manufacturer, may encounter difficulties in production. Difficulties may include:</w:t>
      </w:r>
    </w:p>
    <w:p>
      <w:pPr>
        <w:spacing w:after="0" w:line="73" w:lineRule="exact"/>
        <w:rPr>
          <w:sz w:val="20"/>
          <w:szCs w:val="20"/>
          <w:color w:val="auto"/>
        </w:rPr>
      </w:pPr>
    </w:p>
    <w:p>
      <w:pPr>
        <w:ind w:left="1040" w:right="7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control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right="360"/>
        <w:spacing w:after="0" w:line="342" w:lineRule="auto"/>
        <w:rPr>
          <w:sz w:val="20"/>
          <w:szCs w:val="20"/>
          <w:color w:val="auto"/>
        </w:rPr>
      </w:pPr>
      <w:r>
        <w:rPr>
          <w:rFonts w:ascii="Arial" w:cs="Arial" w:eastAsia="Arial" w:hAnsi="Arial"/>
          <w:sz w:val="16"/>
          <w:szCs w:val="16"/>
          <w:b w:val="1"/>
          <w:bCs w:val="1"/>
          <w:i w:val="1"/>
          <w:iCs w:val="1"/>
          <w:color w:val="auto"/>
        </w:rPr>
        <w:t>The FDA and European Medicines Agency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“Black Box” warnings on their labels.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2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 and Mircera</w:t>
      </w:r>
      <w:r>
        <w:rPr>
          <w:rFonts w:ascii="Arial" w:cs="Arial" w:eastAsia="Arial" w:hAnsi="Arial"/>
          <w:sz w:val="14"/>
          <w:szCs w:val="14"/>
          <w:color w:val="auto"/>
        </w:rPr>
        <w:t xml:space="preserve"> ® </w:t>
      </w:r>
      <w:r>
        <w:rPr>
          <w:rFonts w:ascii="Arial" w:cs="Arial" w:eastAsia="Arial" w:hAnsi="Arial"/>
          <w:sz w:val="16"/>
          <w:szCs w:val="16"/>
          <w:color w:val="auto"/>
        </w:rPr>
        <w:t>marketed by Hoffmann-La Roche (“Roche”) outside of the U.S. and by Vifor Pharma, a Roche licensee, in the U.S. and Puerto Rico,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 as biosimilar versions of these currently marketed ESA products. ESAs have been used in the treatment of anemia in CKD for more than 20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serving a significant majority of dialysis-dependent CKD patients. While non-dialysis-dependent CKD patients who are not under the care of nephrologists,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those with diabetes and hypertension, do not typically receive ESAs and are often left untreated, some patients under nephrology care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receiving ESA therapy. It may be difficult to encourage healthcare providers and patients to switch to roxadustat from products with which they have become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familiar.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that are currently developing HIF-PH inhibitors for anemia in CKD indications include GlaxoSmithKline plc (“GSK”), Bayer Corporation (“Bayer”), Akebia Therapeutics, Inc. (“Akebia”), Japan Tobacco, and Zydus Cadila. Akebia is currently conducting Phase 3 studies in CKD patients on dialysis and not on dialysis, as well as a Phase 2 study evaluating pharmacokinetics and pharmacodynamics in dialysis-dependent patients with three-times weekly versus once-a-day dosing. Akebia expects to complete these studies by August 2020. In Japan, Mitsubishi Tanabe Pharmaceutical Corporation, Akebia’s collaboration partner, submitted an NDA for treatment of anemia in dialysis and non-dialysis CKD patients in July 2019, and is awaiting an approval decision later in 2020.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GSK submitted a Japan NDA for treatment of anemia in dialysis and non-dialysis in August 2019 and is awaiting approval later in 2020. Bayer has completed global Phase 2 studies and its HIF-PH inhibitor is now in Phase 3 development in CKD populations on dialysis and not on dialysis in Japan. Japan Tobacco submitted an NDA for treatment of anemia associated with CKD in Japan in November 2019, supported by the six Phase 3 studies conducted in CKD patients on dialysis and not on dialysis in Japan, and its partner JW Pharmaceuticals started a Phase 3 study in dialysis patients in Korea. Zydus Cadila (India) started Phase 3 studies in dialysis and non-dialysis CKD patients in India in 2019.</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a Bristol-Myers Squibb company (“Celgene”), developed Reblozyl® (luspatercept), a protein therapeutic, which was approved in November 2019 by the FDA for anemia treatment in patients with ß-thalassemia. Its Biologics License Application (“BLA”) under review by the FDA, for treatment of adult patients with very low to intermediate MDS associated anemia who have ring sideroblast and require red blood cell transfusions, has a Prescription Drug User Fee Act date of April 4, 2020. Acceleron expects an EMA decision on the MAA in the second half of 2020. In Japan, Celgene started a luspatercept Phase 2 study in May 2019. We may face competition for patient recruitment, enrollment for clinical trials, and potentially in commercial sales. There may also be new therapies for renal-related diseases that could limit the market or level of reimbursement available for roxadustat if and when it is commercialized.</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Two domestic companies, Jiangsu Hengrui Medicine Co., Ltd. and Guandong Sunshine Health Investment Co., Ltd, have been permitted by the NMPA to conduct clinical trials for CKD anemia patients both on dialysis and not on dialysis, and 3SBio Inc. has submitted a clinical trial application to the NMPA to initiate trials for their HIF-PH inhibitor. Another domestic company, China Medical System, in-licensed desidustat, a compound which is currently in Phase 3 trials in India, from Zydus Candila for greater China in January 2020. Akebia announced in December 2015 that it had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to begin a Phase 1 clinical trial of a HIF-PH inhibitor for the China market.</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ESRD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the Europe, and the final material patents in the U.S. expired in May 2015. Several biosimilar versions of currently marketed ESAs are available for sale in the Europe, China and other territories. In the U.S., a few ESA biosimilars are currently under development. Sandoz, a division of Novartis, markets Binocrit® (epoetin alfa) in Europe and may file a biosimilar BLA in the U.S.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won long-term contracts including rebate terms with Amgen. DaVita has a six-year sourcing and supply agreement with Amgen effective through 2022. Fresenius’ contract with Amgen expired in 2015, following which Fresenius is providing Roche’s ESA Mircera® to a significant portion of its U.S. dialysis patients. Successful penetration in this market may require a significant agreement with Fresenius or DaVita, on favorable terms and on a timely basis.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right="160"/>
        <w:spacing w:after="0" w:line="276"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 product they are already familiar with. We may also face competition from potential new IPF therapies in recruitment and enrollment in our clinical trials and potentially in commercialization.</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Pamrevlumab is an injectable protein, which may be more expensive and less convenient than small molecules such as nintedanib and pirfenidone. Other potential competitive product candidates in various stages of development for IPF include Galapagos NV’s GLPG1690 and GLPG1205, Kadmon Holdings, Inc.’s KD025, Liminal BioSciences’ PBI-4050, and Roche/Promedior, Inc.’s PRM-151. In particular, GLPG1690 is in a Phase 3 program consisting of two clinical trials with 750 subjects each, intended to support both the U.S. NDA and MAA in Europe.</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If pamrevlumab is approved and launched commercially to treat locally advanced pancreatic cancer patients who are not candidates for surgical resection, pamrevlumab may face competition from other products seeking approval in combination with gemcitibine and nab-paclitaxel, including FOLFRINOX, a combination chemotherapy regimen of folic acid, 5-fluouracil, oxaliplatin and irinotecan, and from companies such as Rafael Pharma’s defactinib/CPI-613 and Merrimack’s istiratumab. Gemcitabine and/or nab-paclitaxel are the current standard of care in the first-line treatment of metastatic pancreatic cancer.</w:t>
      </w:r>
    </w:p>
    <w:p>
      <w:pPr>
        <w:ind w:right="140"/>
        <w:spacing w:after="0" w:line="262"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This was the first drug approved to treat DMD.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also approved by the FDA in December 2019 for patients with a confirmed genetic mutation that is amenable to exon 53 skipping, which accounts for 8% of the DMD population.</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PTC Therapeutics’ product Translarna </w:t>
      </w:r>
      <w:r>
        <w:rPr>
          <w:rFonts w:ascii="Arial" w:cs="Arial" w:eastAsia="Arial" w:hAnsi="Arial"/>
          <w:sz w:val="13"/>
          <w:szCs w:val="13"/>
          <w:color w:val="auto"/>
        </w:rPr>
        <w:t>TM</w:t>
      </w:r>
      <w:r>
        <w:rPr>
          <w:rFonts w:ascii="Arial" w:cs="Arial" w:eastAsia="Arial" w:hAnsi="Arial"/>
          <w:sz w:val="16"/>
          <w:szCs w:val="16"/>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While Translarna </w:t>
      </w:r>
      <w:r>
        <w:rPr>
          <w:rFonts w:ascii="Arial" w:cs="Arial" w:eastAsia="Arial" w:hAnsi="Arial"/>
          <w:sz w:val="13"/>
          <w:szCs w:val="13"/>
          <w:color w:val="auto"/>
        </w:rPr>
        <w:t>TM</w:t>
      </w:r>
      <w:r>
        <w:rPr>
          <w:rFonts w:ascii="Arial" w:cs="Arial" w:eastAsia="Arial" w:hAnsi="Arial"/>
          <w:sz w:val="16"/>
          <w:szCs w:val="16"/>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Catabasis Pharmaceuticals (“Catabasis”), Santhera Pharmaceuticals (“Santhera”) and Sarepta. Catabasis’ edasalonexent was reported to have preserved muscle function and slowed the progression of DMD compared to rates of change in the control period prior to treatment with edasalonexent in a Phase 2 study, and is currently undergoing Phase 3 development. Santhera’s Puldysa® (idebenone) MAA for treatment of DMD was filed with the EMA, and the opinion from the Committee for Medicinal Products for Human Use is expected in the second quarter of 2020. The FDA requested additional clinical data from the idebenone Phase 3 trial currently ongoing in the U.S. and Europe. Santhera offers compassionate use of idebenone in patients with DMD in U.S. and UK. Sarepta’s SRP-9001 is an investigational gene therapy for DMD. Sarepta announced in December 2019 the licensing agreement with Roche that grants Roche the commercial rights to SRP-9001 outside the U.S.</w:t>
      </w:r>
    </w:p>
    <w:p>
      <w:pPr>
        <w:spacing w:after="0" w:line="18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third-party payors may significantly change in a manner that renders our clinical data insufficient for adequate reimbursement or otherwise limits the successful marketing of our products. Even if we obtain coverage for our product candidates, third-party payors may not establish adequate reimbursement amounts, which may reduce the demand for, or the price of, our products. For example, the initial roxadustat reimbursement prices set by the Ministry of Health, Labour and Welfare in Japan in November 2019 did not reflect innovation premium over the current ESA therapy, despite roxadustat’s advantages observed in our clinical programs. We believe the Japanese authority’s decision was primarily based on the comparability of roxadustat shown in the Japan Phase 3 studies which supported the Japan NDA, that was not designed to evaluate the outcome and additional efficacy and safety data observed in the large global Phase 3 programs that included over 8,000 patients. We have no control over whether the agency will revisit the pricing once they review the comprehensive data from the global Phase 3 program including the MACE/MACE+ outcomes. If reimbursement is not available or is available only to limited levels or only in subsets of the dialysis and non-dialysis populations, we may not be able to successfully commercialize certain of our products, or in particular jurisdictions.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Europe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i w:val="1"/>
          <w:iCs w:val="1"/>
          <w:color w:val="auto"/>
        </w:rPr>
        <w:t>If our collaborations with our collaboration partners Astellas or AstraZeneca were terminated, if Astellas or AstraZeneca were to prioritize other initiatives over their collaborations with us, whether as a result of a change of control or otherwise, if conflicts arise between us and Astellas or AstraZeneca, or if Astellas or AstraZeneca becomes our competitor in the future, our ability to successfully develop and commercialize our product candidates would suffer.</w:t>
      </w:r>
    </w:p>
    <w:p>
      <w:pPr>
        <w:spacing w:after="0" w:line="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our collaboration partners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we and our collaboration partners, Astellas and AstraZeneca, must reach consensus on our regulatory activities, including for the NDA in the U.S. and the Marketing Authorization Application in Europe.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regulatory approval applications.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59" w:name="page60"/>
    <w:bookmarkEnd w:id="59"/>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not perform satisfactorily.</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also rely entirely on third parties for distribution in China. Risks arising from our reliance on third-party manufacturers include:</w:t>
      </w:r>
    </w:p>
    <w:p>
      <w:pPr>
        <w:spacing w:after="0" w:line="64" w:lineRule="exact"/>
        <w:rPr>
          <w:sz w:val="20"/>
          <w:szCs w:val="20"/>
          <w:color w:val="auto"/>
        </w:rPr>
      </w:pPr>
    </w:p>
    <w:p>
      <w:pPr>
        <w:ind w:left="1040" w:right="9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jc w:val="both"/>
        <w:ind w:left="1040" w:right="76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right="16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Other than for Catalent, our commercial third-party supplier of roxadustat drug product in the U.S. and Europe, most of our other third-party manufacturers may terminate their engagement with us at any time and we have not yet entered into any commercial supply agreements for the manufacture of drug substance or active pharmaceutical ingredient (“API”) or drug products. With respect to roxadustat, AstraZeneca and Astellas have certain rights to assume manufacturing of roxadustat and the existence of those rights may limit our ability to enter into favorable long-term supply agreements, if at all, with other third-party manufacturers.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7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2" w:name="page63"/>
    <w:bookmarkEnd w:id="62"/>
    <w:p>
      <w:pPr>
        <w:ind w:right="2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For example,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In addition, our partner Astellas initiated </w:t>
      </w:r>
      <w:r>
        <w:rPr>
          <w:rFonts w:ascii="Arial" w:cs="Arial" w:eastAsia="Arial" w:hAnsi="Arial"/>
          <w:sz w:val="17"/>
          <w:szCs w:val="17"/>
          <w:i w:val="1"/>
          <w:iCs w:val="1"/>
          <w:color w:val="auto"/>
        </w:rPr>
        <w:t>quia timet</w:t>
      </w:r>
      <w:r>
        <w:rPr>
          <w:rFonts w:ascii="Arial" w:cs="Arial" w:eastAsia="Arial" w:hAnsi="Arial"/>
          <w:sz w:val="17"/>
          <w:szCs w:val="17"/>
          <w:color w:val="auto"/>
        </w:rPr>
        <w:t xml:space="preserve"> infringement actions against Akebia and GSK based on our specific patents in the United Kingdom in response to actions taken by Akebia and GSK against those patents, as further detailed below.</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3" w:name="page64"/>
    <w:bookmarkEnd w:id="63"/>
    <w:p>
      <w:pPr>
        <w:spacing w:after="0" w:line="286" w:lineRule="auto"/>
        <w:rPr>
          <w:sz w:val="20"/>
          <w:szCs w:val="20"/>
          <w:color w:val="auto"/>
        </w:rPr>
      </w:pPr>
      <w:r>
        <w:rPr>
          <w:rFonts w:ascii="Arial" w:cs="Arial" w:eastAsia="Arial" w:hAnsi="Arial"/>
          <w:sz w:val="16"/>
          <w:szCs w:val="16"/>
          <w:color w:val="auto"/>
        </w:rPr>
        <w:t xml:space="preserve">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 Patent and Trademark Office (“USPTO”) or through comparable proceedings in other territories. For example, 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a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The ultimate outcomes of such proceedings remain uncertain, and ultimate resolution of the appeals may take considerable time. In addition, Akebia has filed oppositions against FibroGen European Patent Nos. 2289531 and 2298301. As mentioned above, Akebia and GSK initiated invalidation actions in the United Kingdom against the United Kingdom counterparts of each of these European patents, and GSK has filed for a declaration of non-infringement of certain United Kingdom patents (corresponding to FibroGen European Patent Nos. 2322153 and 2322155) with respect to its daprodustat product. We have reached a settlement agreement with GSK to resolve the actions to which GSK is/was a party, resulting in dismissal of the UK court actions as well as the proceedings filed by GSK against the patents in the EPO. Astellas’ proceedings brought against GSK on a </w:t>
      </w:r>
      <w:r>
        <w:rPr>
          <w:rFonts w:ascii="Arial" w:cs="Arial" w:eastAsia="Arial" w:hAnsi="Arial"/>
          <w:sz w:val="16"/>
          <w:szCs w:val="16"/>
          <w:i w:val="1"/>
          <w:iCs w:val="1"/>
          <w:color w:val="auto"/>
        </w:rPr>
        <w:t>quia timet</w:t>
      </w:r>
      <w:r>
        <w:rPr>
          <w:rFonts w:ascii="Arial" w:cs="Arial" w:eastAsia="Arial" w:hAnsi="Arial"/>
          <w:sz w:val="16"/>
          <w:szCs w:val="16"/>
          <w:color w:val="auto"/>
        </w:rPr>
        <w:t xml:space="preserve"> basis have also been dismissed as a result of the settlement agreement. Akebia is also pursuing invalidation actions against corresponding patents in Canada and in Japan. While we believe the ultimate outcome of all proceedings will be that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 Final resolution of the opposition proceedings will take considerable time, and we cannot be assured of the breadth of the claims that will remain in the ’488 Patent or that the patent will not be revoked in its entirety.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right="12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for patients on dialysis and not on dialysis, and Japan for patients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ind w:right="20"/>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39" w:lineRule="exact"/>
        <w:rPr>
          <w:sz w:val="20"/>
          <w:szCs w:val="20"/>
          <w:color w:val="auto"/>
        </w:rPr>
      </w:pPr>
    </w:p>
    <w:p>
      <w:pPr>
        <w:ind w:left="10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ind w:left="1040" w:hanging="519"/>
        <w:spacing w:after="0" w:line="291"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will require us to develop, maintain, and implement costly compliance programs.</w:t>
      </w:r>
    </w:p>
    <w:p>
      <w:pPr>
        <w:spacing w:after="0" w:line="14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jc w:val="both"/>
        <w:ind w:right="34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right="6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ind w:right="160" w:hanging="14"/>
        <w:spacing w:after="0" w:line="287" w:lineRule="auto"/>
        <w:rPr>
          <w:sz w:val="20"/>
          <w:szCs w:val="20"/>
          <w:color w:val="auto"/>
        </w:rPr>
      </w:pPr>
      <w:r>
        <w:rPr>
          <w:rFonts w:ascii="Arial" w:cs="Arial" w:eastAsia="Arial" w:hAnsi="Arial"/>
          <w:sz w:val="16"/>
          <w:szCs w:val="16"/>
          <w:color w:val="181717"/>
        </w:rPr>
        <w:t>In March 2010, the Patient Protection and Affordable Care Act of 2010, as amended by the Health Care and Education Reconciliation Act of 2010, (collectively, the “PPACA”), was passed, which substantially changed the way healthcare is financed by both governmental and private payors in the U.S. There remain judicial and Congressional challenges to certain aspects of the PPACA as well as efforts by the Trump administration to repeal or replace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eliminates the health insurer tax. Additionally, on December 15,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 and our business.</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181717"/>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administration’s budget proposals for fiscal year 2020 contains further drug price control measures that could be enacted during the budget process or in other future legislation. In addition,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solicited feedback on some of these measures and has implemented others under its existing authority. While some of these measures may require additional authorization to become effective, the U.S.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which could limit sales and increase security and distribution costs for us and our partners, particularly in China.</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1" w:name="page72"/>
    <w:bookmarkEnd w:id="71"/>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For example, the Chinese government has implemented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As a result of the “Two-Invoices” regulation, we, rather than AstraZeneca, have been directly engaging distributors and a third-party logistics provider, and we are planning on modifying the distribution responsibilities under the China Agreement such that both companies will work together to manage the distribution network. FibroGen China Anemia Holdings, Ltd (“FibroGen China”) has never managed distribution of pharmaceutical products, and this new distribution structure may impose higher costs or limit or delay our ability to sell products to our principal customers, and may limit the near term sales of our products. Any other such changes or amendments may result in increased compliance costs on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plan to use our own manufacturing facilities in China to produce roxadustat API and roxadustat drug product.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However, as an organization, we have limited experience licensing and operating commercial manufacturing facilities.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2" w:name="page73"/>
    <w:bookmarkEnd w:id="72"/>
    <w:p>
      <w:pPr>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In addition to manufacturing, we are responsible for pharmacovigilance, medical affairs, and management of the third-party distribution logistics for roxadustat in China. We have no experience in these areas as a company, and accordingly we cannot assure you we will be able to meet regulatory requirements or operate in these capacities successfully.</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responsible for commercial manufacturing, pharmacovigilance, medical affairs, and management of the third-party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 regions where we have significant manufacturing facilities, concentrations of customers, or other business operations. We have significant operations in China and depend on China manufacturing operations for various stages of our worldwide supply chain for roxadustat. We do not yet know the full extent of the impact on our roxadustat global supply chain or China operations from the disease caused by the 2019 novel coronavirus (“COVID-19”). In addition, if COVID-19 becomes a worldwide pandemic, it could materially affect our operations globally, including at our headquarters in San Francisco, California, and our clinical trials that are taking place predominantly in the U.S., Europe and China.</w:t>
      </w:r>
    </w:p>
    <w:p>
      <w:pPr>
        <w:spacing w:after="0" w:line="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could be adversely affected by health epidemics in regions where we have significant manufacturing facilities, concentrations of customers, or other business operations.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taken measures to minimize the health risks of COVID-19 as the safety and well-being of our staff is our top priority. While we have resumed manufacturing operations in China, we currently expect many of our employees to continue transitioning from working from home to returning to our offices following the closure of our offices in Beijing, Shanghai, and Canghzou in February 2020. Our collaboration partner AstraZeneca is also in the process of resuming operations. In addition, many governments, including the Chinese government, have taken measures to restrict travel to reduce the spread of COVID-19, which may limit our operational capabilities.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these and potentially additional business disruptions, there may be delays to our roxadustat supply chain, problems with our distribution or warehousing vendors, or delays to our (and our partners’) commercialization and launch activities in China (including efforts to list roxadustat in hospitals), all of which could have a material impact on our revenue.</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the COVID-19 outbreak continues to spread, particularly outside of China, we may need to limit operations again in China or implement limitations, including work from home policies, in the U.S. There is a risk that other countries or regions may be less effective at containing COVID-19, or it may be more difficult to contain if the outbreak reaches a larger population or broader geography, in which case the risks described herein could be elevated significantly.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particular, while we and our Chinese manufacturing partner WuXi STA have resumed manufacturing operations, we only have a limited stockpile of roxadustat API and Drug Product, and therefore, if there is a greater impact from the COVID-19 outbreak than currently expected, or if operations are halted again, we could face shortages in our China and global supply chains.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current and upcoming clinical trials run in China by us and our partner AstraZeneca may be affected by the COVID-19 outbreak. Site initiation and patient enrollment may be delayed due to prioritization of hospital resources toward the COVID-19 outbreak, but the extent of these potential delays is unknown at this time. If COVID-19 becomes a worldwide pandemic, it may delay enrollment in our global clinical trials, including here in the U.S., and some patients may not be able to comply with clinical trial protocols if quarantines impede patient movement or interrupt healthcare services, which would delay our clinical results and ultimate commercialization of our product candidates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right="20"/>
        <w:spacing w:after="0" w:line="257" w:lineRule="auto"/>
        <w:rPr>
          <w:sz w:val="20"/>
          <w:szCs w:val="20"/>
          <w:color w:val="auto"/>
        </w:rPr>
      </w:pPr>
      <w:r>
        <w:rPr>
          <w:rFonts w:ascii="Arial" w:cs="Arial" w:eastAsia="Arial" w:hAnsi="Arial"/>
          <w:sz w:val="18"/>
          <w:szCs w:val="18"/>
          <w:color w:val="auto"/>
        </w:rPr>
        <w:t>The COVID-19 outbreak has already impacted China’s economy and the global economy, and China’s healthcare system as a whole has been disrupted since the beginning of 2020. It is unknown how long this disruption will continue and how it will affect the government healthcare budget and pharmaceutical sales as patient visits to hospitals and physician engagement and medical affairs efforts have been greatly affected due to the outbreak. The effect on the government budget in China could lead to increased pressure on drug prices which could affect future reimbursement or our ability to obtain hospital listings for roxadustat.</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roxadustat specifically, while the effect on our sales may be more limited than for more established drugs as we have only recently been added to the National Reimbursement Drug List and are still in the process of securing hospital listings, we do expect some delay in our launch-progress, including with respect to increasing sales and obtaining more hospital listings.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ultimate impact of the COVID-19 outbreak is highly uncertain and subject to change. We do not yet know the full extent of potential delays or impacts on our business, healthcare systems, or the global economy as a whole. However, these effects could have a material impact on our operations and revenue and we will continue to monitor the COVID-19 situation closely.</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collaboration partner in China, AstraZeneca, may experience difficulties in successfully generating sales of roxadustat in China.</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and AstraZeneca have a profit sharing arrangement with respect to roxadustat in China and any difficulties we may experience in generating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may be lower. Sales of roxadustat in China may be limited due to the complex nature of the healthcare system, low average personal income, pricing controls, still developing infrastructure and potentially rapid competition from other products. The hospital listing process is critical to roxadustat’s near-term commercial success in China and may take many years to obtain the majority of hospital listings.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4" w:name="page75"/>
    <w:bookmarkEnd w:id="74"/>
    <w:p>
      <w:pPr>
        <w:ind w:right="4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2019, approximately $7.0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There have been developing interpretations of the provisions of the Tax Act, including changes and issuance of new U.S. Treasury regulations, administrative interpretations, or court decisions since its inception. As regulations and guidance evolve with respect to the Tax Act, we continue to examine the impact to our business, which could have a material adverse effect on our business,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6" w:name="page77"/>
    <w:bookmarkEnd w:id="76"/>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relating to the United Kingdom’s referendum vote in favor of leaving the European Union could adversely affect us.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January 31, 2020, the United Kingdom commenced an exit from the European Union, commonly referred to as "Brexit." During a transition period (set to expire on December 31, 2020), the British government will continue to negotiate the terms of the United Kingdom's future relationship with the European Union. The outcome of these negotiations is uncertain, and we do not know to what extent Brexit will ultimately impact the business and regulatory environment in the United Kingdom, the rest of Europe, or other countries. The effects of the United Kingdom’s withdrawal from the European Union,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European Union could also have the effect of disrupting the free movement of goods, services and people between the United Kingdom and Europe and could also lead to legal uncertainty and potentially divergent national laws and regulations as the United Kingdom determines which European laws to replace or replicate, including laws that could impact our ability, or our collaborator’s ability in the case of roxadustat, to obtain approval of our products or sell our products in the United Kingdom. Changes impacting our ability to conduct business in the United Kingdom or other European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7" w:name="page78"/>
    <w:bookmarkEnd w:id="77"/>
    <w:p>
      <w:pPr>
        <w:ind w:right="160"/>
        <w:spacing w:after="0" w:line="342" w:lineRule="auto"/>
        <w:rPr>
          <w:sz w:val="20"/>
          <w:szCs w:val="20"/>
          <w:color w:val="auto"/>
        </w:rPr>
      </w:pPr>
      <w:r>
        <w:rPr>
          <w:rFonts w:ascii="Arial" w:cs="Arial" w:eastAsia="Arial" w:hAnsi="Arial"/>
          <w:sz w:val="16"/>
          <w:szCs w:val="16"/>
          <w:b w:val="1"/>
          <w:bCs w:val="1"/>
          <w:i w:val="1"/>
          <w:iCs w:val="1"/>
          <w:color w:val="auto"/>
        </w:rPr>
        <w:t>Loss of senior management and key personnel, including the recent passing of our founder, chairman and chief executive officer, could adversely affect our ability to successfully develop our product candidates, conduct our clinical trials and commercialize our product candidates.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highly dependent on members of our senior management team. In August 2019, Thomas B. Neff, our founder, chairman and chief executive officer, passed away, and subsequently James Schoeneck, a longtime member of our Board of Directors, was appointed as interim chief executive officer. On January 6, 2020, we announced the appointment of Enrique Conterno as chief executive officer, with Mr. Schoeneck stepping down from the interim role. The loss of Mr. Neff and his knowledge of the Company’s programs may be disruptive to our operations and could negatively impact the development and commercialization of our product candidates, our existing collaborative relationships, and our ability to successfully implement our business strategy, as could changes in our executive team in the future.</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Our headquarters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8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highly volatile, and you may not be able to resell your shares at or above your purchase price.</w:t>
      </w:r>
    </w:p>
    <w:p>
      <w:pPr>
        <w:spacing w:after="0" w:line="1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us or fail to regularly publish reports on us, we could lose visibility in the financial markets, which in turn could cause our stock price or trading volume to decline.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January 31, 2020, our executive officers, directors and principal stockholders, together with their respective affiliates, owned approximately 27.60%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81" w:name="page82"/>
    <w:bookmarkEnd w:id="81"/>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2" w:name="page83"/>
    <w:bookmarkEnd w:id="82"/>
    <w:p>
      <w:pPr>
        <w:ind w:right="200"/>
        <w:spacing w:after="0" w:line="264"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Tariffs imposed by the U.S. and those imposed in response by other countries, as well as rapidly changing trade relations, could have a material adverse effect on our business and results of operations.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graph illustrates a comparison of the total cumulative stockholder return for our common stock since December 31, 2014 to two indices: the NASDAQ Composite Index and the NASDAQ Biotechnology Index. The graph assumes an initial investment of $100 on December 31, 2014,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38735</wp:posOffset>
            </wp:positionV>
            <wp:extent cx="4793615" cy="2718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9361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 or Exchange Act, except to the extent that we specifically incorporate it by reference into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January 31, 2020, there were 136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a warrant to purchase 4,430 shares of our common stock was exercised at a per share price of $15.00.</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shares issued pursuant to the warrant were not registered under the Securities Act of 1933, as amended, in reliance upon the exemption set forth in Section 4(a)(2) of such Act for transactions not involving a public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The selected consolidated results of operations data for the years ended December 31, 2019, 2018 and 2017, and the consolidated balance sheet data as of December 31, 2019 and 2018 should be read together with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and in conjunction with the consolidated financial statements, related notes, and other financial information included elsewhere in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The selected consolidated results of operations data for the year ended December 31, 2016 and 2015 and the consolidated balance sheet data as of December 31, 2017, 2016 and 2015 have been derived from audited financial statements not included herein. Our historical results are not necessarily indicative of the results to be expected in the future.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60" w:type="dxa"/>
            <w:vAlign w:val="bottom"/>
            <w:gridSpan w:val="7"/>
          </w:tcPr>
          <w:p>
            <w:pPr>
              <w:jc w:val="center"/>
              <w:ind w:left="453"/>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177,086</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22,269</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Development and other revenue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121,063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revenue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(34,624)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256,577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130,996</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183,189</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135,479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(76,970)</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(86,420)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(120,875)</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(58,068)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126,266</w:t>
            </w:r>
          </w:p>
        </w:tc>
        <w:tc>
          <w:tcPr>
            <w:tcW w:w="1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89,258</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673,658</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173,782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599,745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663,010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880,598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154,911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(784,720)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(715,827)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(630,657)</w:t>
            </w: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(509,782)</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509,199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528,467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115,798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84</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and other financial information included in Item 15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were incorporated in 1993 in Delaware and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connective tissue growth factor (“CTGF”) biology, and clinical development to advance innovative medicines for the treatment of anemia, fibrotic disease, and cancer. Roxadustat, our most advanced product, is an oral small molecule inhibitor of HIF prolyl hydroxylase (“HIF-PH”) activity that has received marketing authorization in China for the treatment of anemia caused by chronic kidney disease (“CKD”) in dialysis and non-dialysis patients. In September 2019, roxadustat (Evrenzo</w:t>
      </w:r>
      <w:r>
        <w:rPr>
          <w:rFonts w:ascii="Arial" w:cs="Arial" w:eastAsia="Arial" w:hAnsi="Arial"/>
          <w:sz w:val="24"/>
          <w:szCs w:val="24"/>
          <w:color w:val="auto"/>
          <w:vertAlign w:val="superscript"/>
        </w:rPr>
        <w:t>®</w:t>
      </w:r>
      <w:r>
        <w:rPr>
          <w:rFonts w:ascii="Arial" w:cs="Arial" w:eastAsia="Arial" w:hAnsi="Arial"/>
          <w:sz w:val="16"/>
          <w:szCs w:val="16"/>
          <w:color w:val="auto"/>
        </w:rPr>
        <w:t>) was approved in Japan for the treatment of anemia associated with CKD in dialysis-dependent patients. In January 2020, Astellas Pharma Inc. (“Astellas”) submitted a supplemental New Drug Application (“NDA”) in Japan for the treatment of anemia in non-dialysis CKD patients. Our NDA filing for roxadustat for the treatment of anemia patients with dialysis-dependent CKD and non-dialysis-dependent CKD was accepted for review by the United States (“U.S.”) Food and Drug Administration (“FDA”) in February 2020, and Astellas is in the process of preparing a Marketing Authorization Application (“MAA”) for submission to the European Medicines Agency (“EMA”) in the second quarter of 2020 for the same indications. Roxadustat is in Phase 3 clinical development in the U.S. and Europe and in Phase 2/3 development in China for anemia associated with myelodysplastic syndromes (“MDS”). Roxadustat is in Phase 2 clinical development for chemotherapy-induced anemia. Pamrevlumab, an anti-CTGF human monoclonal antibody, is in Phase 3 clinical development for the treatment of both idiopathic pulmonary fibrosis (“IPF”) and pancreatic cancer. Pamrevlumab is also currently in a Phase 2 trial for Duchenne muscular dystrophy (“DMD”).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0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3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tcPr>
          <w:p>
            <w:pPr>
              <w:jc w:val="right"/>
              <w:ind w:right="100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256,577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297"/>
              <w:spacing w:after="0"/>
              <w:rPr>
                <w:sz w:val="20"/>
                <w:szCs w:val="20"/>
                <w:color w:val="auto"/>
              </w:rPr>
            </w:pPr>
            <w:r>
              <w:rPr>
                <w:rFonts w:ascii="Arial" w:cs="Arial" w:eastAsia="Arial" w:hAnsi="Arial"/>
                <w:sz w:val="18"/>
                <w:szCs w:val="18"/>
                <w:color w:val="auto"/>
              </w:rPr>
              <w:t>212,958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130,996</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345,891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299,651</w:t>
            </w: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(76,970)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jc w:val="right"/>
              <w:ind w:right="217"/>
              <w:spacing w:after="0"/>
              <w:rPr>
                <w:sz w:val="20"/>
                <w:szCs w:val="20"/>
                <w:color w:val="auto"/>
              </w:rPr>
            </w:pPr>
            <w:r>
              <w:rPr>
                <w:rFonts w:ascii="Arial" w:cs="Arial" w:eastAsia="Arial" w:hAnsi="Arial"/>
                <w:sz w:val="18"/>
                <w:szCs w:val="18"/>
                <w:color w:val="auto"/>
              </w:rPr>
              <w:t>(86,420)</w:t>
            </w:r>
          </w:p>
        </w:tc>
        <w:tc>
          <w:tcPr>
            <w:tcW w:w="32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(120,875)</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80" w:type="dxa"/>
            <w:vAlign w:val="bottom"/>
            <w:gridSpan w:val="2"/>
            <w:shd w:val="clear" w:color="auto" w:fill="CFF0FC"/>
          </w:tcPr>
          <w:p>
            <w:pPr>
              <w:jc w:val="right"/>
              <w:ind w:right="100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r>
      <w:tr>
        <w:trPr>
          <w:trHeight w:val="459"/>
        </w:trPr>
        <w:tc>
          <w:tcPr>
            <w:tcW w:w="3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jc w:val="right"/>
              <w:ind w:right="637"/>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2018</w:t>
            </w:r>
          </w:p>
        </w:tc>
      </w:tr>
      <w:tr>
        <w:trPr>
          <w:trHeight w:val="156"/>
        </w:trPr>
        <w:tc>
          <w:tcPr>
            <w:tcW w:w="3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297"/>
              <w:spacing w:after="0"/>
              <w:rPr>
                <w:sz w:val="20"/>
                <w:szCs w:val="20"/>
                <w:color w:val="auto"/>
              </w:rPr>
            </w:pPr>
            <w:r>
              <w:rPr>
                <w:rFonts w:ascii="Arial" w:cs="Arial" w:eastAsia="Arial" w:hAnsi="Arial"/>
                <w:sz w:val="18"/>
                <w:szCs w:val="18"/>
                <w:color w:val="auto"/>
              </w:rPr>
              <w:t>126,266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89,258</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468,609</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297"/>
              <w:spacing w:after="0"/>
              <w:rPr>
                <w:sz w:val="20"/>
                <w:szCs w:val="20"/>
                <w:color w:val="auto"/>
              </w:rPr>
            </w:pPr>
            <w:r>
              <w:rPr>
                <w:rFonts w:ascii="Arial" w:cs="Arial" w:eastAsia="Arial" w:hAnsi="Arial"/>
                <w:sz w:val="18"/>
                <w:szCs w:val="18"/>
                <w:color w:val="auto"/>
              </w:rPr>
              <w:t>28,455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63,684</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year ended December 31, 2019 included the revenues recognized related to the following:</w:t>
      </w:r>
    </w:p>
    <w:p>
      <w:pPr>
        <w:spacing w:after="0" w:line="117" w:lineRule="exact"/>
        <w:rPr>
          <w:sz w:val="20"/>
          <w:szCs w:val="20"/>
          <w:color w:val="auto"/>
        </w:rPr>
      </w:pPr>
    </w:p>
    <w:p>
      <w:pPr>
        <w:ind w:left="380" w:right="300" w:hanging="372"/>
        <w:spacing w:after="0" w:line="232" w:lineRule="auto"/>
        <w:tabs>
          <w:tab w:leader="none" w:pos="3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Two regulatory milestones totaling $130.0 million associated with the planned MAA submission to the EMA under the collaboration agreement with Astellas for roxadustat as a treatment for dialysis and non-dialysis CKD patients;</w:t>
      </w:r>
    </w:p>
    <w:p>
      <w:pPr>
        <w:spacing w:after="0" w:line="1" w:lineRule="exact"/>
        <w:rPr>
          <w:rFonts w:ascii="Arial" w:cs="Arial" w:eastAsia="Arial" w:hAnsi="Arial"/>
          <w:sz w:val="22"/>
          <w:szCs w:val="22"/>
          <w:color w:val="auto"/>
        </w:rPr>
      </w:pPr>
    </w:p>
    <w:p>
      <w:pPr>
        <w:ind w:left="380" w:right="720" w:hanging="372"/>
        <w:spacing w:after="0" w:line="225" w:lineRule="auto"/>
        <w:tabs>
          <w:tab w:leader="none" w:pos="3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 $50.0 million regulatory milestone associated with the NDA submission to the FDA under the collaboration agreement with AstraZeneca for roxadustat as a treatment for dialysis and non-dialysis CKD patients;</w:t>
      </w:r>
    </w:p>
    <w:p>
      <w:pPr>
        <w:ind w:left="380" w:right="660" w:hanging="372"/>
        <w:spacing w:after="0" w:line="225" w:lineRule="auto"/>
        <w:tabs>
          <w:tab w:leader="none" w:pos="3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Three regulatory milestones totaling $22.0 million associated with roxadustat being included on the updated National Reimbursement Drug List (“NRDL”) released by China’s National Healthcare Security Administration (“NHSA”); and</w:t>
      </w:r>
    </w:p>
    <w:p>
      <w:pPr>
        <w:ind w:left="380" w:hanging="372"/>
        <w:spacing w:after="0" w:line="205" w:lineRule="auto"/>
        <w:tabs>
          <w:tab w:leader="none" w:pos="38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 regulatory milestone of $12.5 million associated with the NDA approval in Japan.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right="160"/>
        <w:spacing w:after="0" w:line="264" w:lineRule="auto"/>
        <w:rPr>
          <w:sz w:val="20"/>
          <w:szCs w:val="20"/>
          <w:color w:val="auto"/>
        </w:rPr>
      </w:pPr>
      <w:r>
        <w:rPr>
          <w:rFonts w:ascii="Arial" w:cs="Arial" w:eastAsia="Arial" w:hAnsi="Arial"/>
          <w:sz w:val="18"/>
          <w:szCs w:val="18"/>
          <w:color w:val="auto"/>
        </w:rPr>
        <w:t>Meanwhile, our overall revenue for the year ended December 31, 2019 was reduced by $36.3 million of a change in estimated variable consideration related to the API product revenue that was recognized in 2018 discussed below, which reflected the total difference between estimated and actual listed price and yield from the manufacture of bulk product tablets.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comparison, our revenue for the year ended December 31, 2018 included the revenues recognized related to the following:</w:t>
      </w:r>
    </w:p>
    <w:p>
      <w:pPr>
        <w:spacing w:after="0" w:line="117" w:lineRule="exact"/>
        <w:rPr>
          <w:sz w:val="20"/>
          <w:szCs w:val="20"/>
          <w:color w:val="auto"/>
        </w:rPr>
      </w:pPr>
    </w:p>
    <w:p>
      <w:pPr>
        <w:ind w:left="380" w:hanging="372"/>
        <w:spacing w:after="0" w:line="256"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$64.8 million product revenue for API delivered during 2018, under the amendment to the collaboration agreement with Astellas for roxadustat for the treatment of anemia in Japan (“Japan Agreement”), to conduct commercial scale manufacturing validation for roxadustat drug product in anticipation of commercial launch in Japan;</w:t>
      </w: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regulatory milestone of $15.0 million associated with an NDA submission during 2018 in Japan;</w:t>
      </w:r>
    </w:p>
    <w:p>
      <w:pPr>
        <w:spacing w:after="0" w:line="9" w:lineRule="exact"/>
        <w:rPr>
          <w:rFonts w:ascii="Arial" w:cs="Arial" w:eastAsia="Arial" w:hAnsi="Arial"/>
          <w:sz w:val="18"/>
          <w:szCs w:val="18"/>
          <w:color w:val="auto"/>
        </w:rPr>
      </w:pPr>
    </w:p>
    <w:p>
      <w:pPr>
        <w:ind w:left="380" w:right="680" w:hanging="372"/>
        <w:spacing w:after="0" w:line="25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$6.0 million milestone under the collaboration agreements with AstraZeneca upon our receipt of marketing authorization from the NMPA for roxadustat, a first-in-class HIF-PH inhibitor, for the treatment of anemia caused by CKD in patients on dialysis; and</w:t>
      </w:r>
    </w:p>
    <w:p>
      <w:pPr>
        <w:jc w:val="both"/>
        <w:ind w:left="380" w:right="160" w:hanging="372"/>
        <w:spacing w:after="0" w:line="255"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$6.0 million milestone payable under the collaboration agreement with AstraZeneca upon our receipt of First Manufacturing Approval for a Product in the Field in the Territory, which allows production for Phase 4 clinical studies, patients’ early experience programs, donation programs, as well as to supply products for testing and assessments required prior to launch.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for the year ended December 31, 2019 compared to the prior year primarily due to the following:</w:t>
      </w:r>
    </w:p>
    <w:p>
      <w:pPr>
        <w:spacing w:after="0" w:line="117"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outside service expenses related to co-promotional activities and scientific contract expenses;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stock-based compensation related to the cumulative impact of stock option grant activities;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Amortization of finance lease ROU assets and higher depreciation expenses related to the adoption of lease accounting guidance under ASC 842;</w:t>
      </w:r>
    </w:p>
    <w:p>
      <w:pPr>
        <w:spacing w:after="0" w:line="20" w:lineRule="exact"/>
        <w:rPr>
          <w:rFonts w:ascii="Arial" w:cs="Arial" w:eastAsia="Arial" w:hAnsi="Arial"/>
          <w:sz w:val="17"/>
          <w:szCs w:val="17"/>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legal expenses mainly associated with patent-related and international activities; and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employee-related expenses resulting from higher average compensation level.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w:t>
      </w:r>
    </w:p>
    <w:p>
      <w:pPr>
        <w:spacing w:after="0" w:line="117"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clinical trial expenses related to lower activities for roxadustat offset by higher activities for pamrevlumab; and</w:t>
      </w:r>
    </w:p>
    <w:p>
      <w:pPr>
        <w:spacing w:after="0" w:line="23" w:lineRule="exact"/>
        <w:rPr>
          <w:rFonts w:ascii="Arial" w:cs="Arial" w:eastAsia="Arial" w:hAnsi="Arial"/>
          <w:sz w:val="18"/>
          <w:szCs w:val="18"/>
          <w:color w:val="auto"/>
        </w:rPr>
      </w:pPr>
    </w:p>
    <w:p>
      <w:pPr>
        <w:ind w:left="380" w:right="420" w:hanging="372"/>
        <w:spacing w:after="0" w:line="261"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drug development expenses associated with drug substance manufacturing activities related to pamrevlumab, and capitalization of inventory manufacturing costs.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research and development expenses were $209.3 million, $235.8 million and $196.5 million for the years ended December 31, 2019, 2018 and 2017, respectively. Since inception and through December 31, 2019, we have incurred a total of approximately $2 billion in research and development expenses, a majority of which relates to the development of roxadustat, pamrevlumab and other HIF-PH inhibitors. We expect to continue to incur significant expenses and operating losses over at least the next several years and we expect our research and development expenses to increase in the future as we advance our product candidates through clinical trials and expand our product candidate portfolio. In addition, we expect to incur significant expenses relating to seeking regulatory approval for our product candidates and commercializing those products in various markets, including China. We consider the active management and development of our clinical pipeline to be particularly crucial to our long-term success. The process of conducting the necessary clinical research to obtain regulatory approval is costly and time consuming.</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year ended December 31, 2019, we had a net loss of $77.0 million, or net loss per basic and diluted share of $0.89, as compared to a net loss of $86.4 million, or net loss per basic and diluted share of $1.03 for the prior year, primarily due to an increase in revenue, partially offset by an increase in operating expenses.</w:t>
      </w:r>
    </w:p>
    <w:p>
      <w:pPr>
        <w:spacing w:after="0" w:line="1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Cash and cash equivalents, investments and accounts receivable totaled $623.3 million at December 31, 2019, a decrease of $117.6 million from December 31, 2018, primarily due to cash used in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Roxadustat, our most advanced product, is an oral small molecule inhibitor of HIF-PH activity that has received marketing authorization in China for the treatment of anemia caused by CKD in non-dialysis-dependent patients (adding the non-dialysis indication to the label for dialysis-dependent patients, which was approved in December 2018). In September 2019, roxadustat (Evrenzo</w:t>
      </w:r>
      <w:r>
        <w:rPr>
          <w:rFonts w:ascii="Arial" w:cs="Arial" w:eastAsia="Arial" w:hAnsi="Arial"/>
          <w:sz w:val="26"/>
          <w:szCs w:val="26"/>
          <w:color w:val="auto"/>
          <w:vertAlign w:val="superscript"/>
        </w:rPr>
        <w:t>®</w:t>
      </w:r>
      <w:r>
        <w:rPr>
          <w:rFonts w:ascii="Arial" w:cs="Arial" w:eastAsia="Arial" w:hAnsi="Arial"/>
          <w:sz w:val="17"/>
          <w:szCs w:val="17"/>
          <w:color w:val="auto"/>
        </w:rPr>
        <w:t>) was approved in Japan for the treatment of anemia associated with CKD in dialysis-dependent patients. In January 2020, Astellas submitted a supplemental NDA in Japan for the treatment of anemia in non-dialysis CKD patients. Our U.S. NDA filing for roxadustat for the treatment of anemia patients with dialysis-dependent CKD and non-dialysis-dependent CKD was accepted for review by the FDA in February 2020, and Astellas is in the process of preparing an MAA for submission to the EMA in the second quarter of 2020 for the same indications. Roxadustat is in Phase 3 clinical development in the U.S. and Europe and in Phase 2/3 development in China for anemia associated with MDS. Roxadustat is in Phase 2 clinical development for chemotherapy-induced anemia.</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Pamrevlumab, an anti-CTGF human monoclonal antibody, is in Phase 3 clinical development for the treatment of both IPF and pancreatic cancer.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Pamrevlumab is also currently in a Phase 2 trial for DMD.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Europe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December 31, 2019 totals $500.1 million. Additionally, under these agreements, Astellas pays 100% of the commercialization costs in its territories. Astellas will pay FibroGen a transfer price, based on net sales, in the low 20% range for our manufacture and delivery of roxadustat.</w:t>
      </w:r>
    </w:p>
    <w:p>
      <w:pPr>
        <w:spacing w:after="0" w:line="15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September 2019, Japan’s Ministry of Health, Labour and Welfare approved roxadustat for the treatment of anemia associated with dialysis CKD patients. Accordingly, the consideration of $12.5 million associated with this milestone was included in the transaction price and allocated to performance obligations under the Japan Agreement in the third quarter of 2019. This milestone payment was received in October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8" w:name="page89"/>
    <w:bookmarkEnd w:id="88"/>
    <w:p>
      <w:pPr>
        <w:ind w:right="20"/>
        <w:spacing w:after="0" w:line="273" w:lineRule="auto"/>
        <w:rPr>
          <w:sz w:val="20"/>
          <w:szCs w:val="20"/>
          <w:color w:val="auto"/>
        </w:rPr>
      </w:pPr>
      <w:r>
        <w:rPr>
          <w:rFonts w:ascii="Arial" w:cs="Arial" w:eastAsia="Arial" w:hAnsi="Arial"/>
          <w:sz w:val="17"/>
          <w:szCs w:val="17"/>
          <w:color w:val="auto"/>
        </w:rPr>
        <w:t>During the second quarter of 2019, we received positive topline results from analyses of pooled major adverse cardiac event (“MACE”) and MACE+ data from its Phase 3 trials evaluating roxadustat as a treatment for dialysis and non-dialysis CKD patients, enabling Astellas to prepare for an MAA submission to the EMA in the second quarter of 2020, following our NDA submission to the FDA in 2019 and acceptance for review in February 2020. We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second quarter of 2018, Astellas reported positive results from the final Phase 3 CKD-dialysis trial of roxadustat in Japan, indicating that Astellas was ready to make an NDA submission for the treatment of anemia with roxadustat in CKD-dialysis patients in 2018. We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substantially all of which was recognized as revenue in 2018.</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30, 2018, FibroGen and Astellas entered into an amendment to the Japan Agreement that will allow Astellas to manufacture roxadustat drug product for commercialization in Japan (the “Japan Amendment”). Under this amendment, FibroGen would continue to manufacture and deliver to Astellas roxadustat API. The commercial terms of the Japan Agreement relating to the transfer price for roxadustat for commercial use remain substantially the same, reflecting an adjustment for the manufacture of drug product by Astellas rather than FibroGen. This amendment obligated Astellas to purchase a total of $64.7 million API from FibroGen, all of which was delivered to Astellas in 2018. In 2019, a change in estimated variable consideration resulted in a $36.3 million reduction to revenue, at the time the listed price for roxadustat was issued by the Japanese Ministry of Health, Labour and Welfare, which reflected the total difference between estimated and actual listed price and yield from the manufacture of bulk product tablets.</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fourth quarter of 2018, we were engaged in the final stages of review with our partners over the proposed development of roxadustat for the treatment of chemotherapy-induced anemia. AstraZeneca and Astellas approved the program in December 2018 and January 2019, respectively. Costs associated with the development of this indication are shared 50-50 between our two partners. For revenue recognition purposes, we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December 31, 2019, Astellas had separate investments of $80.5 million in the equity of FibroGen,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December 31, 2019 totals $444.2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9" w:name="page90"/>
    <w:bookmarkEnd w:id="89"/>
    <w:p>
      <w:pPr>
        <w:ind w:right="4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Under the China Agreement, which is conducted through FibroGen China Anemia Holdings, Ltd. (“FibroGen China”), the commercial collaboration is structured as a 50/50 profit share. AstraZeneca will conduct sales and marketing activities in China and fund roxadustat launch costs in China until FibroGen Beijing has achieved profitability. At that time, AstraZeneca will recoup 50% of their historical launch costs out of initial roxadustat profits in China. As of December 31, 2019, we accrued $53.1 million of co-promotional expenses related to the estimated amount payable to AstraZeneca for such sales and marketing efforts. The payment for such amount is not expected to occur within the next year.</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2019, roxadustat has been included on the updated NRDL released by China’s NHSA for the treatment of anemia in CKD, covering patients who are non-dialysis-dependent as well as those who are dialysis-dependent. The inclusion on the NRDL triggered a total of $22.0 million milestones payable to us by AstraZeneca. Accordingly, the total consideration of $22.0 million associated with these milestones was included in the transaction price and allocated to performance obligations under the U.S./ RoW Agreement in the fourth quarter of 2019.</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mentioned above, during the second quarter of 2019, we received positive topline results from analyses of pooled MACE and MACE+ data from its Phase 3 trials for roxadustat, enabling our U.S. NDA submission to the FDA. We evaluated the regulatory milestone payment associated with this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 We submitted our NDA to the FDA in December 2019, which was accepted for review in February 2020.</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17, 2018, FibroGen Beijing, received marketing authorization from the NMPA for roxadustat, a first-in-class HIF-PH inhibitor, for the treatment of anemia caused by CKD in patients on dialysis. This approval triggered a $6.0 million milestone payable to us by AstraZeneca. On December 29, 2018, FibroGen Beijing received First Manufacturing Approval for a Product in the Field in the Territory, which allows production for Phase 4 clinical studies, patients’ early experience programs, donation programs, as well as to supply products for testing and assessments required prior to launch. This approval triggered a $6.0 million milestone payable to us by AstraZeneca.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mentioned above, in the fourth quarter of 2018, we were engaged in the final stages of review with our partners over the proposed development of roxadustat for the treatment of CIA. AstraZeneca and Astellas approved the program in December 2018 and January 2019, respectively. Costs associated with the development of this indication are expected to be shared 50-50 between our two partners. In addition to CIA, in December 2018, anemia of chronic inflammation (“ACI”) and multiple myeloma (“MM”) have been approved for development by AstraZeneca and is expected to be fully funded by them. For revenue recognition purposes, we concluded that the approval of additional research and development services for these new indications represent modifications to our collaboration agreements in the periods in which approval was received. The research and development services associated with the new indications are distinct from other promises in our collaboration agreements, and will be accounted for separately. The development service period for roxadustat for the treatment of CIA, ACI and MM under the AstraZeneca agreements is estimated to continue through the end of 2024, to allow for development of these additional indications.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Additional Information Related to Collaboration Agreements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the $1.1 billion in development and regulatory milestones payable in the aggregate under our Astellas and AstraZeneca collaboration agreements, $425.0 million is payable upon achievement of milestones relating to the submission and approval of roxadustat in dialysis-dependent CKD and non-dialysis-dependent CKD in the U.S. and Europe.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more detailed discussions on the accounting for these agreements, refer to Note 3 to the consolidated financial statements. In addition, refer to “</w:t>
      </w:r>
      <w:r>
        <w:rPr>
          <w:rFonts w:ascii="Arial" w:cs="Arial" w:eastAsia="Arial" w:hAnsi="Arial"/>
          <w:sz w:val="16"/>
          <w:szCs w:val="16"/>
          <w:i w:val="1"/>
          <w:iCs w:val="1"/>
          <w:color w:val="auto"/>
        </w:rPr>
        <w:t>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Collaborations</w:t>
      </w:r>
      <w:r>
        <w:rPr>
          <w:rFonts w:ascii="Arial" w:cs="Arial" w:eastAsia="Arial" w:hAnsi="Arial"/>
          <w:sz w:val="18"/>
          <w:szCs w:val="18"/>
          <w:color w:val="auto"/>
        </w:rPr>
        <w:t>” for a more detailed description of our collaboration agreements.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cash consideration received through December 31, 2019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Cash</w:t>
            </w:r>
          </w:p>
        </w:tc>
        <w:tc>
          <w:tcPr>
            <w:tcW w:w="340" w:type="dxa"/>
            <w:vAlign w:val="bottom"/>
          </w:tcPr>
          <w:p>
            <w:pPr>
              <w:spacing w:after="0"/>
              <w:rPr>
                <w:sz w:val="14"/>
                <w:szCs w:val="14"/>
                <w:color w:val="auto"/>
              </w:rPr>
            </w:pPr>
          </w:p>
        </w:tc>
        <w:tc>
          <w:tcPr>
            <w:tcW w:w="182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40" w:type="dxa"/>
            <w:vAlign w:val="bottom"/>
          </w:tcPr>
          <w:p>
            <w:pPr>
              <w:spacing w:after="0"/>
              <w:rPr>
                <w:sz w:val="12"/>
                <w:szCs w:val="12"/>
                <w:color w:val="auto"/>
              </w:rPr>
            </w:pPr>
          </w:p>
        </w:tc>
        <w:tc>
          <w:tcPr>
            <w:tcW w:w="18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4"/>
                <w:szCs w:val="14"/>
                <w:color w:val="auto"/>
              </w:rPr>
            </w:pPr>
          </w:p>
        </w:tc>
        <w:tc>
          <w:tcPr>
            <w:tcW w:w="1820" w:type="dxa"/>
            <w:vAlign w:val="bottom"/>
          </w:tcPr>
          <w:p>
            <w:pPr>
              <w:jc w:val="center"/>
              <w:ind w:right="277"/>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Cash Payments</w:t>
            </w: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90,093</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82,500</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306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500,093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417,500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944,293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1,599,000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w w:val="99"/>
              </w:rPr>
              <w:t>Change 2019 vs. 2018</w:t>
            </w:r>
          </w:p>
        </w:tc>
        <w:tc>
          <w:tcPr>
            <w:tcW w:w="440" w:type="dxa"/>
            <w:vAlign w:val="bottom"/>
          </w:tcPr>
          <w:p>
            <w:pPr>
              <w:spacing w:after="0"/>
              <w:rPr>
                <w:sz w:val="14"/>
                <w:szCs w:val="14"/>
                <w:color w:val="auto"/>
              </w:rPr>
            </w:pPr>
          </w:p>
        </w:tc>
      </w:tr>
      <w:tr>
        <w:trPr>
          <w:trHeight w:val="156"/>
        </w:trPr>
        <w:tc>
          <w:tcPr>
            <w:tcW w:w="4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177,086</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22,269</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9,933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154,817</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695</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125,913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121,063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(11,798)</w:t>
            </w: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 %</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Arial" w:cs="Arial" w:eastAsia="Arial" w:hAnsi="Arial"/>
                <w:sz w:val="18"/>
                <w:szCs w:val="18"/>
                <w:color w:val="auto"/>
              </w:rPr>
              <w:t>(34,624)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(99,400)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(153) %</w:t>
            </w:r>
          </w:p>
        </w:tc>
      </w:tr>
      <w:tr>
        <w:trPr>
          <w:trHeight w:val="223"/>
        </w:trPr>
        <w:tc>
          <w:tcPr>
            <w:tcW w:w="4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4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License revenues represented 69%, 11% and 8% of total revenues for the years ended December 31, 2019, 2018 and 2017, respectively.</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Development and other revenue includes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based on a proportional performance method. As of December 31, 2019, the future non-contingent development periods range from 12 to 60 months. Other revenues consist of sales of research and development material and have been included with Development and other revenue in the consolidated statements of operations, as they have not been material for any of the periods presented. Development and other revenues represented 44%, 59% and 92% of total revenues for the years ended December 31, 2019, 2018 and 2017,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ind w:right="160"/>
        <w:spacing w:after="0" w:line="276" w:lineRule="auto"/>
        <w:rPr>
          <w:sz w:val="20"/>
          <w:szCs w:val="20"/>
          <w:color w:val="auto"/>
        </w:rPr>
      </w:pPr>
      <w:r>
        <w:rPr>
          <w:rFonts w:ascii="Arial" w:cs="Arial" w:eastAsia="Arial" w:hAnsi="Arial"/>
          <w:sz w:val="17"/>
          <w:szCs w:val="17"/>
          <w:color w:val="auto"/>
        </w:rPr>
        <w:t xml:space="preserve">In the third quarter of 2019, we started generating net product revenue from commercial sales of roxadustat drug product in China. In addition, product revenue for 2019 included a change in estimated variable consideration related to the product revenue recognized in 2018 associated with commercial-grade API sales to Astellas. Product revenue is recognized when our </w:t>
      </w:r>
      <w:r>
        <w:rPr>
          <w:rFonts w:ascii="Arial" w:cs="Arial" w:eastAsia="Arial" w:hAnsi="Arial"/>
          <w:sz w:val="17"/>
          <w:szCs w:val="17"/>
          <w:color w:val="212529"/>
        </w:rPr>
        <w:t>customer obtains control of promised goods or services in an amount that reflects the</w:t>
      </w:r>
      <w:r>
        <w:rPr>
          <w:rFonts w:ascii="Arial" w:cs="Arial" w:eastAsia="Arial" w:hAnsi="Arial"/>
          <w:sz w:val="17"/>
          <w:szCs w:val="17"/>
          <w:color w:val="auto"/>
        </w:rPr>
        <w:t xml:space="preserve"> </w:t>
      </w:r>
      <w:r>
        <w:rPr>
          <w:rFonts w:ascii="Arial" w:cs="Arial" w:eastAsia="Arial" w:hAnsi="Arial"/>
          <w:sz w:val="17"/>
          <w:szCs w:val="17"/>
          <w:color w:val="212529"/>
        </w:rPr>
        <w:t xml:space="preserve">consideration we expect to receive in exchange for those goods or services. </w:t>
      </w:r>
      <w:r>
        <w:rPr>
          <w:rFonts w:ascii="Arial" w:cs="Arial" w:eastAsia="Arial" w:hAnsi="Arial"/>
          <w:sz w:val="17"/>
          <w:szCs w:val="17"/>
          <w:color w:val="000000"/>
        </w:rPr>
        <w:t>Product revenue represented (13)% and 30% of total revenue for the year ended</w:t>
      </w:r>
      <w:r>
        <w:rPr>
          <w:rFonts w:ascii="Arial" w:cs="Arial" w:eastAsia="Arial" w:hAnsi="Arial"/>
          <w:sz w:val="17"/>
          <w:szCs w:val="17"/>
          <w:color w:val="212529"/>
        </w:rPr>
        <w:t xml:space="preserve"> </w:t>
      </w:r>
      <w:r>
        <w:rPr>
          <w:rFonts w:ascii="Arial" w:cs="Arial" w:eastAsia="Arial" w:hAnsi="Arial"/>
          <w:sz w:val="17"/>
          <w:szCs w:val="17"/>
          <w:color w:val="000000"/>
        </w:rPr>
        <w:t>December 31, 2019 and 2018. There was no product revenue for the year ended December 31, 2017.</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Total revenue increased $43.6 million, or 20% for the year ended December 31, 2019 compared to the year ended December 31, 2018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w w:val="94"/>
              </w:rPr>
              <w:t>Years Ended December 31,</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Change 2019 vs. 2018</w:t>
            </w:r>
          </w:p>
        </w:tc>
        <w:tc>
          <w:tcPr>
            <w:tcW w:w="440" w:type="dxa"/>
            <w:vAlign w:val="bottom"/>
          </w:tcPr>
          <w:p>
            <w:pPr>
              <w:spacing w:after="0"/>
              <w:rPr>
                <w:sz w:val="14"/>
                <w:szCs w:val="14"/>
                <w:color w:val="auto"/>
              </w:rPr>
            </w:pPr>
          </w:p>
        </w:tc>
      </w:tr>
      <w:tr>
        <w:trPr>
          <w:trHeight w:val="156"/>
        </w:trPr>
        <w:tc>
          <w:tcPr>
            <w:tcW w:w="3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2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129,405</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14,323</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115,082</w:t>
            </w:r>
          </w:p>
        </w:tc>
        <w:tc>
          <w:tcPr>
            <w:tcW w:w="1000" w:type="dxa"/>
            <w:vAlign w:val="bottom"/>
          </w:tcPr>
          <w:p>
            <w:pPr>
              <w:jc w:val="right"/>
              <w:spacing w:after="0"/>
              <w:rPr>
                <w:sz w:val="20"/>
                <w:szCs w:val="20"/>
                <w:color w:val="auto"/>
              </w:rPr>
            </w:pPr>
            <w:r>
              <w:rPr>
                <w:rFonts w:ascii="Arial" w:cs="Arial" w:eastAsia="Arial" w:hAnsi="Arial"/>
                <w:sz w:val="18"/>
                <w:szCs w:val="18"/>
                <w:color w:val="auto"/>
              </w:rPr>
              <w:t>803</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47,681</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326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1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177,086</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154,817</w:t>
            </w: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0"/>
        </w:trPr>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increased $154.8 million, or 695% for the year ended December 31, 2019 compared to the year ended December 31, 2018.</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License revenue recognized under our collaboration agreements with Astellas increased $115.1 million, or 803% for the year ended December 31, 2019 compared to the year ended December 31, 2018. License revenue recognized under our collaboration agreements with Astellas for the year ended December 31, 2019 represented the allocated revenue of $117.5 million related to two regulatory milestones totaling $130.0 million associated with the planned MAA submission in Europe that were included in the transaction price during the second quarter of 2019 when these milestones became probable of being achieved; and the allocated revenue of $11.9 million related to a regulatory milestone of $12.5 million associated with the NDA approval in Japan achieved during the third quarter of 2019. License revenue recognized under our collaboration agreements with Astellas for the year ended December 31, 2018 represented the allocated revenue related to a $15.0 million regulatory milestone associated with Astellas’ expected NDA submission in Japan that was included in the transaction price during the second quarter of 2018 when this milestone became probable of being achieved.</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License revenue recognized under our collaboration agreements with AstraZeneca increased $39.7 million, or 500% for the year ended December 31, 2019 compared to the year ended December 31, 2018. License revenue recognized under our collaboration agreements with AstraZeneca for the year ended December 31, 2019 represented the allocated revenue of $33.1 million related to a regulatory milestone of $50.0 million associated with the NDA submission in the U.S. that was included in the transaction price during the second quarter of 2019 when this milestone became probable of being achieved; and the allocated revenue of $14.6 million related to three regulatory milestones totaling $22.0 million associated with roxadustat being included on the updated NRDL released by China’s NHSA during the fourth quarter of 2019. License revenue recognized under our collaboration agreements with AstraZeneca for the year ended December 31, 2018 represented the allocated revenue related to a $6.0 million milestone associated with FibroGen Beijing’s receipt of marketing authorization from the NMPA for roxadustat, and a $6.0 million milestone associated with FibroGen Beijing’s receipt of First Manufacturing Approval for a Product in the Field in the Territory.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8"/>
              </w:rPr>
              <w:t>Change 2019 vs. 2018</w:t>
            </w:r>
          </w:p>
        </w:tc>
      </w:tr>
      <w:tr>
        <w:trPr>
          <w:trHeight w:val="156"/>
        </w:trPr>
        <w:tc>
          <w:tcPr>
            <w:tcW w:w="3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4"/>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29,394</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20,903</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20,111</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8,491</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41  %</w:t>
            </w: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84,719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104,970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(20,251)</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 %</w:t>
            </w:r>
          </w:p>
        </w:tc>
      </w:tr>
      <w:tr>
        <w:trPr>
          <w:trHeight w:val="223"/>
        </w:trPr>
        <w:tc>
          <w:tcPr>
            <w:tcW w:w="396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7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114,113</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125,873</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121,039</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 %</w:t>
            </w:r>
          </w:p>
        </w:tc>
      </w:tr>
      <w:tr>
        <w:trPr>
          <w:trHeight w:val="223"/>
        </w:trPr>
        <w:tc>
          <w:tcPr>
            <w:tcW w:w="3960" w:type="dxa"/>
            <w:vAlign w:val="bottom"/>
          </w:tcPr>
          <w:p>
            <w:pPr>
              <w:ind w:left="500"/>
              <w:spacing w:after="0"/>
              <w:rPr>
                <w:sz w:val="20"/>
                <w:szCs w:val="20"/>
                <w:color w:val="auto"/>
              </w:rPr>
            </w:pPr>
            <w:r>
              <w:rPr>
                <w:rFonts w:ascii="Arial" w:cs="Arial" w:eastAsia="Arial" w:hAnsi="Arial"/>
                <w:sz w:val="18"/>
                <w:szCs w:val="18"/>
                <w:color w:val="auto"/>
              </w:rPr>
              <w:t>Total development and other revenue</w:t>
            </w:r>
          </w:p>
        </w:tc>
        <w:tc>
          <w:tcPr>
            <w:tcW w:w="7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125,913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121,063</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r>
      <w:tr>
        <w:trPr>
          <w:trHeight w:val="20"/>
        </w:trPr>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Development revenue decreased $11.8 million, or 9% for the year ended December 31, 2019 compared to the year ended December 31, 2018.</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Development revenue recognized under our collaboration agreements with Astellas increased $8.5 million, or 41% for the year ended December 31, 2019 compared to the year ended December 31, 2018. Development revenue recognized under our collaboration agreements with Astellas for the year ended December 31, 2019 included the allocated revenue of $11.4 million related to the above-mentioned $130.0 million associated with the regulatory milestones of the planned MAA submission in Europe, and the allocated revenue of $0.5 million related to the above-mentioned $12.5 million associated with the NDA approval in Japan. Development revenue recognized under our collaboration agreements with Astellas for the year ended December 31, 2018 included the allocated revenue related to the above-mentioned $15.0 million associated with the regulatory milestone of NDA submission in Japan. The increase for the year ended December 31, 2019 was partially offset by a decrease in co-development billings related to the development of roxadustat as a result of the substantial completion of Phase 3 trials for roxadustat.</w:t>
      </w:r>
    </w:p>
    <w:p>
      <w:pPr>
        <w:spacing w:after="0" w:line="2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Development revenue recognized under our collaboration agreements with AstraZeneca decreased $20.3 million, or 19% for the year ended December 31, 2019 compared to the year ended December 31, 2018, primarily due to a decrease in co-development billings related to the development of roxadustat as a result of the substantial completion of Phase 3 trials for roxadustat. The decrease was partially offset by the allocated revenue of $9.3 million related to the above-mentioned $50.0 million associated with the regulatory milestone of the NDA submission in the U.S., and the allocated revenue of $4.1 million related to the above-mentioned regulatory milestones totaling $22.0 million associated with roxadustat being included on the updated NRDL released by China’s NHSA.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Change 2019 vs. 2018</w:t>
            </w:r>
          </w:p>
        </w:tc>
        <w:tc>
          <w:tcPr>
            <w:tcW w:w="440" w:type="dxa"/>
            <w:vAlign w:val="bottom"/>
          </w:tcPr>
          <w:p>
            <w:pPr>
              <w:spacing w:after="0"/>
              <w:rPr>
                <w:sz w:val="14"/>
                <w:szCs w:val="14"/>
                <w:color w:val="auto"/>
              </w:rPr>
            </w:pPr>
          </w:p>
        </w:tc>
      </w:tr>
      <w:tr>
        <w:trPr>
          <w:trHeight w:val="156"/>
        </w:trPr>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gridSpan w:val="6"/>
          </w:tcPr>
          <w:p>
            <w:pPr>
              <w:jc w:val="right"/>
              <w:ind w:right="9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color w:val="auto"/>
              </w:rPr>
              <w:t>API product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(36,324)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(101,100)</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(156) %</w:t>
            </w:r>
          </w:p>
        </w:tc>
      </w:tr>
      <w:tr>
        <w:trPr>
          <w:trHeight w:val="230"/>
        </w:trPr>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Drug product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Gross revenue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Price adjustment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Sales rebates and other discounts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Drug product revenue, net</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Pr>
          <w:p>
            <w:pPr>
              <w:ind w:left="500"/>
              <w:spacing w:after="0"/>
              <w:rPr>
                <w:sz w:val="20"/>
                <w:szCs w:val="20"/>
                <w:color w:val="auto"/>
              </w:rPr>
            </w:pPr>
            <w:r>
              <w:rPr>
                <w:rFonts w:ascii="Arial" w:cs="Arial" w:eastAsia="Arial" w:hAnsi="Arial"/>
                <w:sz w:val="18"/>
                <w:szCs w:val="18"/>
                <w:color w:val="auto"/>
              </w:rPr>
              <w:t>Total product revenue, net</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(99,400)</w:t>
            </w:r>
          </w:p>
        </w:tc>
        <w:tc>
          <w:tcPr>
            <w:tcW w:w="28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(153) %</w:t>
            </w:r>
          </w:p>
        </w:tc>
      </w:tr>
      <w:tr>
        <w:trPr>
          <w:trHeight w:val="20"/>
        </w:trPr>
        <w:tc>
          <w:tcPr>
            <w:tcW w:w="3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revenue of $64.8 million for the year ended December 31, 2018 represented the sales of commercial-grade API to Astellas to conduct commercial scale manufacturing validation for roxadustat drug product in anticipation of commercial launch in Japan. The product revenue was recorded in 2018 based on an estimated transaction price after we evaluated the latest available facts and circumstances, and was subject to potential future adjustments. A change in estimated variable consideration resulted in a $36.3 million reduction to revenue, at the time the listed price for roxadustat was issued by the Japanese Ministry of Health, Labour and Welfare, which reflected the total difference between estimated and actual listed price and yield from the manufacture of bulk product tablets.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ind w:right="260"/>
        <w:spacing w:after="0" w:line="257" w:lineRule="auto"/>
        <w:rPr>
          <w:sz w:val="20"/>
          <w:szCs w:val="20"/>
          <w:color w:val="auto"/>
        </w:rPr>
      </w:pPr>
      <w:r>
        <w:rPr>
          <w:rFonts w:ascii="Arial" w:cs="Arial" w:eastAsia="Arial" w:hAnsi="Arial"/>
          <w:sz w:val="18"/>
          <w:szCs w:val="18"/>
          <w:color w:val="auto"/>
        </w:rPr>
        <w:t>In addition, we started commercial sales of roxadustat drug product in China in the third quarter of 2019. Drug product revenue is recognized in an amount that reflects the consideration to which we expect to be entitled in exchange for those products, net of price adjustment, contractual sales rebate and other discounts. For the year ended December 31, 2019, upon roxadustat being included on the NRDL in December 2019, we recorded $0.9 million of price adjustment based on government-listed price guidance and estimated channel inventory levels. The contractual sales rebate and other discounts were immaterial for the year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w w:val="94"/>
              </w:rPr>
              <w:t>Years Ended December 31,</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6"/>
              </w:rPr>
              <w:t>Change 2019 vs. 2018</w:t>
            </w:r>
          </w:p>
        </w:tc>
        <w:tc>
          <w:tcPr>
            <w:tcW w:w="460" w:type="dxa"/>
            <w:vAlign w:val="bottom"/>
          </w:tcPr>
          <w:p>
            <w:pPr>
              <w:spacing w:after="0"/>
              <w:rPr>
                <w:sz w:val="14"/>
                <w:szCs w:val="14"/>
                <w:color w:val="auto"/>
              </w:rPr>
            </w:pPr>
          </w:p>
        </w:tc>
      </w:tr>
      <w:tr>
        <w:trPr>
          <w:trHeight w:val="156"/>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r>
      <w:tr>
        <w:trPr>
          <w:trHeight w:val="156"/>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(26,574)</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 %</w:t>
            </w:r>
          </w:p>
        </w:tc>
      </w:tr>
      <w:tr>
        <w:trPr>
          <w:trHeight w:val="23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135,479</w:t>
            </w:r>
          </w:p>
        </w:tc>
        <w:tc>
          <w:tcPr>
            <w:tcW w:w="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63,812</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71,667</w:t>
            </w:r>
          </w:p>
        </w:tc>
        <w:tc>
          <w:tcPr>
            <w:tcW w:w="2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112</w:t>
            </w:r>
          </w:p>
        </w:tc>
        <w:tc>
          <w:tcPr>
            <w:tcW w:w="4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costs and expenses</w:t>
            </w: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345,891</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299,651</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46,240</w:t>
            </w: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operating expenses increased $46.2 million, or 15%, for the year ended December 31, 2019 compared to the year ended December 31, 2018,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started commercial sales of roxadustat drug product in China in the third quarter of 2019. The associated cost of goods sold was $1.1 million for the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2019, 2018 and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1"/>
              </w:rPr>
              <w:t>Phase of Development</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Phase 3</w:t>
            </w:r>
          </w:p>
        </w:tc>
        <w:tc>
          <w:tcPr>
            <w:tcW w:w="4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125,429</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139,876</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Pamrevlumab</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Phase 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5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Preclinical</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 We expect development expenses to increase as we continue Phase 3 trials for pamrevlumab.</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expenses decreased $26.6 million, or 11%, for the year ended December 31, 2019 compared to the year ended December 31, 2018. The decrease was primarily due to decreases in drug development expenses of $29.8 million, clinical trials costs of $20.7 million, and $6.8 million of capitalization of inventory manufacturing costs. The decreases were partially offset by increases in allocated facility related expense of $11.9 million, stock-based compensation expense of $10.5 million, outside services of $7.3 million, and licenses and permits fees of $2.9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4" w:name="page95"/>
    <w:bookmarkEnd w:id="94"/>
    <w:p>
      <w:pPr>
        <w:ind w:right="40"/>
        <w:spacing w:after="0" w:line="289" w:lineRule="auto"/>
        <w:rPr>
          <w:sz w:val="20"/>
          <w:szCs w:val="20"/>
          <w:color w:val="auto"/>
        </w:rPr>
      </w:pPr>
      <w:r>
        <w:rPr>
          <w:rFonts w:ascii="Arial" w:cs="Arial" w:eastAsia="Arial" w:hAnsi="Arial"/>
          <w:sz w:val="16"/>
          <w:szCs w:val="16"/>
          <w:color w:val="auto"/>
        </w:rPr>
        <w:t>Drug development expenses decreased primarily due to lower drug substance manufacturing activities related to pamrevlumab, partially offset by higher activities for roxadustat in its global program. Clinical trial costs decreased as a result of the substantial completion of Phase 3 trials for roxadustat, partially offset by the increases resulted from Phase 3 trials for pamrevlumab and preparation work related to NDA submission in the U.S. Facility related expenses, as part of the allocated overhead costs, was higher due to increase in depreciation expenses related to China facilities, the amortization of finance lease ROU assets related to the adoption of ASC 842, and higher depreciation expenses primarily related to the change estimated useful life for our leasehold improvements, from the building life to the shorter of the building life and remaining lease term, as a result of the adoption of ASC 842. Stock-based compensation expense increased due to the cumulative impact of stock option grant activities. Outside services costs increased due to higher scientific contract work related to roxadustat submission activities, higher medical affairs expenses for roxadustat in China and higher consulting expenses related to pamrevlumab. Licenses and permits fees increased related to the Prescription Drug User Fee incurred for NDA submission to the FDA.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anticipate that our SG&amp;A expenses will increase in the future as we increase co-promotional expenses for roxadustat and our headcount to support potential commercialization of our product candidates. We also anticipate increased expenses, including exchange listing and SEC requirements, director and officer insurance premiums, legal, audit and tax fees, and regulatory compliance programs associated with being a public company. Additionally, we anticipate an increase in payroll and related expenses as a result of our preparation for commercial operations, especially as it relates to the sales and marketing of our product candidates.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SG&amp;A expenses increased $71.1 million, or 112%, for the year ended December 31, 2019 compared to the year ended December 31, 2018, primarily due to increases in outside service expenses of $54.1 million, employee-related costs of $5.1 million, legal expense of $4.7 million, stock-based compensation expense of $3.6 million, and facility related expenses of $2.9 million,</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Outside service expenses increased due to the recognition of our share of co-promotional expenses incurred with AstraZeneca sales and marketing efforts related to the commercial launch of roxadustat in China, and licensing agreement fees associated with pamrevlumab. Employee-related costs increased due to higher headcount primarily in the sales and marketing functions in China. Legal expenses increased mainly associated with patent-related and international activities. Stock-based compensation expense increased due to cumulative impact of stock option grant activities, partially offset by the cancellation of our founding chief executive officer’s unvested options upon his passing during the year. Facility related expenses, as part of the allocated overhead costs, was higher due to the amortization of finance lease ROU assets related to the adoption of ASC 842, and higher depreciation expenses primarily related to the change estimated useful life for our leasehold improvements, from the building life to the shorter of the building life and remaining lease term, as a result of the adoption of ASC 842.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8"/>
          </w:tcPr>
          <w:p>
            <w:pPr>
              <w:jc w:val="right"/>
              <w:ind w:right="125"/>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w w:val="95"/>
              </w:rPr>
              <w:t>Change 2019 vs. 2018</w:t>
            </w:r>
          </w:p>
        </w:tc>
        <w:tc>
          <w:tcPr>
            <w:tcW w:w="42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(2,876)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(10,991)</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(9,706)</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8,115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(74) %</w:t>
            </w: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12,095</w:t>
            </w: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Before December 31, 2018, interest expense included payments made for imputed interest related to the facility lease financing obligations for our leased facilities in San Francisco and China. After adoption of ASC 842 as of January 1, 2019, the 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decreased $8.1 million, or 74%, for the year ended December 31, 2019 compared to the year ended December 31, 2018 due to the different method of interest computation of interest expense under the old and new lease accounting rules.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and other, net increased $4.0 million, or 34%, for the year ended December 31, 2019 compared to the year ended December 31, 2018, primarily due to $3.9 million higher interest earned on our cash, cash equivalents and investments associated with the higher average balances and $1.2 million higher net unrealized gain on our marketable equity investments, partially offset by $1.2 million related to a one-time realized foreign currency gain during the prior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9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60" w:type="dxa"/>
            <w:vAlign w:val="bottom"/>
            <w:gridSpan w:val="2"/>
          </w:tcPr>
          <w:p>
            <w:pPr>
              <w:jc w:val="right"/>
              <w:ind w:right="21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(76,642)</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(86,116)</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(120,554)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9"/>
                <w:szCs w:val="19"/>
                <w:color w:val="auto"/>
              </w:rPr>
            </w:pPr>
          </w:p>
        </w:tc>
        <w:tc>
          <w:tcPr>
            <w:tcW w:w="1240" w:type="dxa"/>
            <w:vAlign w:val="bottom"/>
          </w:tcPr>
          <w:p>
            <w:pPr>
              <w:jc w:val="right"/>
              <w:ind w:right="194"/>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9"/>
                <w:szCs w:val="19"/>
                <w:color w:val="auto"/>
              </w:rPr>
            </w:pPr>
          </w:p>
        </w:tc>
      </w:tr>
      <w:tr>
        <w:trPr>
          <w:trHeight w:val="230"/>
        </w:trPr>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years end December 31, 2019 and 2018 were due to foreign taxes.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will continue to maintain a full valuation allowance on our net deferred tax assets until there is sufficient evidence to support the reversal of all or some portion of this allowance.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tables present unaudited quarterly results for 2019 and 2018. These tables include all adjustments, consisting only of normal recurring adjustments that we consider for the fair statement of our consolidated financial position and operating results for the quarters presented. Payments from our collaboration partners have caused, and are likely to continue to cause, fluctuations in our quarterly results. These unaudited quarterly results of operations should be read in conjunction with the consolidated financial statements and notes included in Item 8 of this Annual Report on Form 10-K. We have prepared the unaudited information on the same basis as our audited consolidated financial statements. Our operating results for any quarter are not necessarily indicative of results for any future quarters or for a full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Fourth Quarter</w:t>
            </w:r>
          </w:p>
        </w:tc>
        <w:tc>
          <w:tcPr>
            <w:tcW w:w="2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20"/>
                <w:szCs w:val="20"/>
                <w:color w:val="auto"/>
              </w:rPr>
            </w:pP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w w:val="95"/>
              </w:rPr>
              <w:t>Second Quarter</w:t>
            </w:r>
          </w:p>
        </w:tc>
        <w:tc>
          <w:tcPr>
            <w:tcW w:w="26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Quarter</w:t>
            </w:r>
          </w:p>
        </w:tc>
      </w:tr>
      <w:tr>
        <w:trPr>
          <w:trHeight w:val="156"/>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7,974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33,174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191,566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23,863</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expenses (2)</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108,410</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86,028</w:t>
            </w:r>
          </w:p>
        </w:tc>
        <w:tc>
          <w:tcPr>
            <w:tcW w:w="220" w:type="dxa"/>
            <w:vAlign w:val="bottom"/>
          </w:tcPr>
          <w:p>
            <w:pPr>
              <w:spacing w:after="0"/>
              <w:rPr>
                <w:sz w:val="19"/>
                <w:szCs w:val="19"/>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78,747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72,706</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(98,123)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(49,439)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116,003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(45,411)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(0.53)</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r>
      <w:tr>
        <w:trPr>
          <w:trHeight w:val="391"/>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9"/>
              </w:rPr>
              <w:t>Fourth Quarter</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5"/>
              </w:rPr>
              <w:t>Second Quarter</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 (3)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108,054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29,027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43,952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88,135</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71,799</w:t>
            </w:r>
          </w:p>
        </w:tc>
        <w:tc>
          <w:tcPr>
            <w:tcW w:w="220" w:type="dxa"/>
            <w:vAlign w:val="bottom"/>
          </w:tcPr>
          <w:p>
            <w:pPr>
              <w:spacing w:after="0"/>
              <w:rPr>
                <w:sz w:val="19"/>
                <w:szCs w:val="19"/>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67,193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72,524</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20,952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(42,556)</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(23,420)</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(41,396)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r>
    </w:tbl>
    <w:p>
      <w:pPr>
        <w:spacing w:after="0" w:line="66" w:lineRule="exact"/>
        <w:rPr>
          <w:sz w:val="20"/>
          <w:szCs w:val="20"/>
          <w:color w:val="auto"/>
        </w:rPr>
      </w:pPr>
    </w:p>
    <w:p>
      <w:pPr>
        <w:ind w:left="480" w:right="300" w:hanging="377"/>
        <w:spacing w:after="0" w:line="264"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 for the second quarter of 2019 was significantly higher compared to other quarters primarily due to the revenue recognized related to three milestone payments. Revenue for the fourth quarter of 2019 was significantly lower compared to other quarters primarily due to the change in estimated variable consideration related to the API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p>
      <w:pPr>
        <w:ind w:left="480" w:hanging="377"/>
        <w:spacing w:after="0" w:line="26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expenses for the fourth quarter of 2019 was significantly higher compared to other quarters primarily due to the recognition of our share of co-promotional expenses incurred with AstraZeneca for sales and marketing efforts related to the commercial launch of roxadustat in China, and permit fees for NDA filing to the FDA.</w:t>
      </w:r>
    </w:p>
    <w:p>
      <w:pPr>
        <w:spacing w:after="0" w:line="73" w:lineRule="exact"/>
        <w:rPr>
          <w:rFonts w:ascii="Arial" w:cs="Arial" w:eastAsia="Arial" w:hAnsi="Arial"/>
          <w:sz w:val="18"/>
          <w:szCs w:val="18"/>
          <w:color w:val="auto"/>
        </w:rPr>
      </w:pPr>
    </w:p>
    <w:p>
      <w:pPr>
        <w:ind w:left="480" w:right="280" w:hanging="377"/>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for the fourth quarter of 2018 was significantly higher compared to other quarters due to the API product revenue recognized, and revenue recognized on two milestone payments.</w:t>
      </w:r>
    </w:p>
    <w:p>
      <w:pPr>
        <w:spacing w:after="0" w:line="62" w:lineRule="exact"/>
        <w:rPr>
          <w:rFonts w:ascii="Arial" w:cs="Arial" w:eastAsia="Arial" w:hAnsi="Arial"/>
          <w:sz w:val="18"/>
          <w:szCs w:val="18"/>
          <w:color w:val="auto"/>
        </w:rPr>
      </w:pPr>
    </w:p>
    <w:p>
      <w:pPr>
        <w:ind w:left="480" w:right="180" w:hanging="377"/>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Basic and diluted net income (loss) per share is computed independently for each of the quarters presented. Therefore, the sum of quarterly basic and diluted net income (loss) per share may not equal annual basic and diluted net income (loss)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December 31, 2019, we had cash and cash equivalents of $126.3 million. Cash is invested in accordance with our investment policy, primarily with a view to liquidity and capital preservation. Investments, consisting of available-for-sale debt investments, marketable equity investments, term deposit and certificate of deposit, and stated at fair value, are also available as a source of liquidity. As of December 31, 2019 we had short-term and long-term investments of $407.5 million and $61.1 million, respectively. As of December 31, 2019, a total of $11.9 million of our cash and cash equivalents was held outside of the U.S. in our foreign subsidiaries to be used primarily for our China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third quarter of 2019, we started generating revenue from commercial sales of roxadustat drug product in China. Even with the expectation of increases in revenue from drug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from the filing date of this Annual Report on Form 10-K.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Arial" w:cs="Arial" w:eastAsia="Arial" w:hAnsi="Arial"/>
          <w:sz w:val="17"/>
          <w:szCs w:val="17"/>
          <w:i w:val="1"/>
          <w:iCs w:val="1"/>
          <w:color w:val="auto"/>
        </w:rPr>
        <w:t>Risk Fact</w:t>
      </w:r>
      <w:r>
        <w:rPr>
          <w:rFonts w:ascii="Arial" w:cs="Arial" w:eastAsia="Arial" w:hAnsi="Arial"/>
          <w:sz w:val="17"/>
          <w:szCs w:val="17"/>
          <w:color w:val="auto"/>
        </w:rPr>
        <w:t>ors” in this Annual Report on Form 10-K.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the years ended December 31, 2019, 2018 and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(78,705)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(76,144)</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(66,513)</w:t>
            </w: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(522,123)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69,866</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(4,300)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496,472</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499,876</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Net cash used in operating activities was $78.7 million for the year ended December 31, 2019 and consisted primarily of net loss of $77.0 million adjusted for non-cash items of $83.9 million and a net decrease in operating assets and liabilities of $85.7 million. The significant non-cash items included stock-based compensation expense of $66.3 million, depreciation expense of $11.1 million, amortization of finance lease ROU of $10.3 million, and net amortization of premium and discount on investments of $3.7 million. The significant items in the changes in operating assets and liabilities included decreases resulting from prepaid expenses and other current assets of $128.6 million, deferred revenue of $49.9 million, inventories of $6.9 million, other assets of $3.3 million, and accounts payable of $3.1 million, partially offset by increases resulting from other long-term liabilities of $52.4 million, accounts receivable of $35.2 million, and accrued and other liabilities of $18.3 million. The changes in prepaid expenses and other current assets and deferred revenue were primarily driven by a $130.0 million unbilled contract asset related to regulatory milestones under the Europe Agreement with Astellas associated with the planned MAA submission in Europe and a $50.0 million contract asset related to a regulatory milestone under the U.S./RoW Agreement with AstraZeneca associated with the NDA submission in the U.S., which were not billable to Astellas or AstraZeneca as of December 31, 2019, net of the associated deferred revenues of $4.8 million and $50.0 million, respectively. The change in deferred revenue was also related to the recognition of revenues under our collaboration agreements with Astellas and AstraZeneca. The change in inventories was due to the capitalization of inventory costs starting in June 2019 when FibroGen Beijing began productions of roxadustat for commercial sales purposes. The change in other assets was primarily related to the net accumulation of input value added tax by FibroGen Beijing. The changes in accounts payable, and accrued and other liabilities were primarily driven by the timing of invoicing and payments. The change in accrued and other liabilities was also driven by accrued $36.3 million related to the change in estimated variable consideration associated with the roxadustat API. The change in other long-term liabilities was primarily due to the accrual of co-promotional expenses with AstraZeneca for sales and marketing efforts related to the commercial launch of roxadustat in China that are not expected to be paid in the next year. The change in accounts receivable was primarily related to the collection of $43.9 million from Astellas for the API delivery in December 2018 under the Japan Amendment, as well as the timing of the receipt of upfront payments and recognition of revenues under our collaboration agreements with Astellas and AstraZeneca.</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cash used in operating activities was $76.1 million for the year ended December 31, 2018 and consisted primarily of net loss of $86.4 million adjusted for non-cash items of $58.7 million and a net decrease in operating assets and liabilities of $48.4 million. The significant non-cash items included stock-based compensation expense of $52.1 million, depreciation expense of $6.6 million, unrealized loss on our marketable equity investments of $1.1 million and realized foreign currency gain of $1.1 million. The significant items in the changes in operating assets and liabilities included decreases resulting from accounts receivable of $55.2 million and deferred revenue of $5.0 million, partially offset by increases resulting from accrued liabilities of $5.6 million, accounts payable of $3.6 million, other long-term liabilities of $1.6 million and other assets of $1.1 million. The change in accounts receivable was primarily related to the delivery of $43.9 million roxadustat API to Astellas in December 2018 under the Japan Amendment, as well as the timing of the receipt of payments and recognition of revenues under our collaboration agreements with Astellas and AstraZeneca. The change in deferred revenue was related to the recognition of revenues under our collaboration agreements with Astellas and AstraZeneca. The changes in accrued liabilities, accounts payable and other long-term liabilities were primarily driven by the timing of invoicing and payments. The change in other assets was primarily related to a cash refund for value added tax received by FibroGen Beijing during the third quarter of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cash provided by investing activities was $120.0 million for the year ended December 31, 2019 and consisted of proceeds from maturities of investments of $537.1 million, partially offset by cash used in purchases of available-for-sale securities and term deposit of $411.3 million, and purchases of property and equipment of $5.8 million.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used in investing activities was $522.1 million for the year ended December 31, 2018 and consisted of cash used in purchases of available-for-sale securities and term deposit of $576.9 million, and purchases of property and equipment of $8.0 million, partially offset by proceeds from maturities of investments of $54.4 million and sales of available-for-sale securities of $8.2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Net cash used in financing activities was $4.3 million for the year ended December 31, 2019 and consisted primarily of $12.8 million of cash paid for payroll taxes on restricted stock unit releases, $11.9 million of repayments of finance lease liabilities, and $0.4 million of repayments on our lease obligations, partially offset by $20.8 million of proceeds from the issuance of common stock upon exercise of stock options and purchases under ESPP.</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provided by financing activities was $13.9 million for the year ended December 31, 2018 and consisted primarily of $29.8 million of proceeds from the issuance of common stock upon exercise of stock options and purchases under ESPP, partially offset by $15.6 million of cash paid for payroll taxes on restricted stock unit releases, and $0.4 million of repayments on our lease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year ended December 31, 2019,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ordinary course of business, we provide indemnifications of varying scope and terms to vendors, lessors, business partners and other parties with respect to certain matters, including, but not limited to, losses arising out of breach of such agreements, solutions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our contractual obligations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Payments Due In</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Less Than 1</w:t>
            </w:r>
          </w:p>
        </w:tc>
        <w:tc>
          <w:tcPr>
            <w:tcW w:w="180" w:type="dxa"/>
            <w:vAlign w:val="bottom"/>
          </w:tcPr>
          <w:p>
            <w:pPr>
              <w:spacing w:after="0"/>
              <w:rPr>
                <w:sz w:val="11"/>
                <w:szCs w:val="11"/>
                <w:color w:val="auto"/>
              </w:rPr>
            </w:pPr>
          </w:p>
        </w:tc>
        <w:tc>
          <w:tcPr>
            <w:tcW w:w="10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3 - 5 Years</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More Than 5 Years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liabilities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contractual obligations table excludes uncertain tax benefits of approximately $31.8 million that are disclosed in Note 12 to the consolidated financial statements because these uncertain tax positions, if recognized, would be an adjustment to the deferred tax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spacing w:after="0" w:line="255" w:lineRule="auto"/>
        <w:rPr>
          <w:sz w:val="20"/>
          <w:szCs w:val="20"/>
          <w:color w:val="auto"/>
        </w:rPr>
      </w:pPr>
      <w:r>
        <w:rPr>
          <w:rFonts w:ascii="Arial" w:cs="Arial" w:eastAsia="Arial" w:hAnsi="Arial"/>
          <w:sz w:val="18"/>
          <w:szCs w:val="18"/>
          <w:color w:val="auto"/>
        </w:rPr>
        <w:t>Some of our license agreements provide for periodic maintenance fees over specified time periods, as well as payments by us upon the achievement of development, regulatory and commercial milestones. Future milestone payments for research and pre-clinical stage development programs consisted of up to $11.0 million in total potential future milestone payments under our license agreements with Dana-Farber Cancer Institute, University of Miami and Medarex, Inc. These milestone payments generally become due and payable only upon the achievement of certain developmental, clinical, regulatory and/or commercial milestones. These contingent payments have not been included in the above table as the event triggering such payment or obligation has not yet occurred.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2019,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Obligations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December 31, 2019, our FibroGen Europe Oy (“FibroGen Europe”) subsidiary had $10.6 million of principal outstanding and $6.2 million of interest accrued related to the TEKES loans, respectively, which have been included as product development obligations on our consolidated balance sheet.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December 31, 2019 and 2018, as we could not predict the ultimate outcome of these matters, or reasonably estimate the potential exposure.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provides entities the option to initially apply ASU 2016-02 at the adoption date and recognize a cumulative-effect adjustment to the opening balance of retained earnings in the period of adoption. We adopted the above guidance under ASC 842 as of January 1, 2019, using the modified retrospective transition method, through a cumulative-effect adjustment at the beginning of the first quarter of 2019. We elected the optional transition method under the guidance, which allowed it to continue applying previous lease guidance (ASC 840) for the comparative prior year periods presentation in the year of adoption. Accordingly, we recognized a cumulative-effect adjustment to the opening balance of retained earnings in the period of adoption. In addition, we elected the package of transitional practical expedients permitted under the transition guidance under ASC 842, which among other things allows us to carry forward its historical lease classification, and not to reassess initial direct costs for any existing leases. Meanwhile, we did not elect the hindsight practical expedient because it has limited number of leases, lease terms are straightforward, and most of its lease renewals are undefined until negotiated. In addition, we have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We have not elected the non-lease components practical expedient, and therefore accounts for each lease component separately from the non-lease components. Upon adoption of ASC 842, we classified our existing building leases that were previously accounted for as build-to-suit arrangements as finance leases, and applied the transition guidance. Accordingly, we derecognized the assets and liabilities previously recognized under ASC 840 build-to-suit guidance. In addition, as a result of applying the transition guidance, we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 The adoption of ASC 842 resulted in a recognition of approximately $50.3 million in right-of-use assets and approximately $62.0 million in lease liabilities, respectively, upon adoption of this guidance, for our operating leases and finance leases. The adoption of this guidance did not have a material impact to our consolidated statement of operations or consolidated statement of cash flows for the year ended December 31, 2019. Refer to Note 2 to the consolidated financial statements for details.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This guidance allows for the reclassification from accumulated other comprehensive income to retained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stranded tax effects arising from the reduction of the U.S. federal statutory income tax rate from 35% to 21%. This guidance was effective for annual reporting periods beginning after December 15, 2018, including interim periods. We adopted this guidance on January 1, 2019 using the modified retrospective approach, which resulted in a reclassification of $0.6 million, based on the aggregate portfolio approach, from accumulated other comprehensive loss to opening accumulated deficit. The adoption of this guidance had no impact to our consolidated statement of operations or consolidated statement of cash flows for the year ended December 31, 2019. Refer to Note 2 to the consolidated financial statements for details.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adopted this guidance on January 1, 2019 and the adoption of this guidance had no impact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1" w:name="page102"/>
    <w:bookmarkEnd w:id="101"/>
    <w:p>
      <w:pPr>
        <w:ind w:right="16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3 “Collaboration Agreements and Revenues” to our consolidated financial statements.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3 “Collaboration Agreements” to our consolidated financial statements.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5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and royalties on net sales of licensed products.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Co-development billings resulting from our research and development efforts, which are reimbursable under our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right="40"/>
        <w:spacing w:after="0" w:line="291" w:lineRule="auto"/>
        <w:rPr>
          <w:sz w:val="20"/>
          <w:szCs w:val="20"/>
          <w:color w:val="auto"/>
        </w:rPr>
      </w:pPr>
      <w:r>
        <w:rPr>
          <w:rFonts w:ascii="Arial" w:cs="Arial" w:eastAsia="Arial" w:hAnsi="Arial"/>
          <w:sz w:val="16"/>
          <w:szCs w:val="16"/>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3 “Collaboration Agreements and Revenues” to our consolidated financial statements.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We use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We believe this measure of progress provides a faithful depiction of the transfer of services because other measures do not measure as accurately how we transfer our performance obligations to our collaboration partners.</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2019, we started selling roxadustat in China through a number of pharmaceutical distributors located in China.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in exchange for the product.</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period between the transfer control of promised goods and when we receive payment is based on a general 60-day payment term. As such, product revenue is not adjusted for the effects of a significant financing component. We establish a bad debt allowance based on our judgment to consider factors such as the age of the receivables. Bad debt expense is included in selling, general and administrative expenses on the consolidated statements of operations. There was no bad debt allowance provided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Product drug revenue is recorded at the net sales prices (transaction price) which includes the following estimates of variable consideration:</w:t>
      </w:r>
    </w:p>
    <w:p>
      <w:pPr>
        <w:spacing w:after="0" w:line="117" w:lineRule="exact"/>
        <w:rPr>
          <w:sz w:val="20"/>
          <w:szCs w:val="20"/>
          <w:color w:val="auto"/>
        </w:rPr>
      </w:pPr>
    </w:p>
    <w:p>
      <w:pPr>
        <w:ind w:left="380" w:right="20" w:hanging="372"/>
        <w:spacing w:after="0" w:line="259"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Price adjustment:</w:t>
      </w:r>
      <w:r>
        <w:rPr>
          <w:rFonts w:ascii="Arial" w:cs="Arial" w:eastAsia="Arial" w:hAnsi="Arial"/>
          <w:sz w:val="18"/>
          <w:szCs w:val="18"/>
          <w:color w:val="auto"/>
        </w:rPr>
        <w:t xml:space="preserve"> In December 2019, China’s NHSA released price guidance for roxadustat under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78" w:lineRule="exact"/>
        <w:rPr>
          <w:rFonts w:ascii="Arial" w:cs="Arial" w:eastAsia="Arial" w:hAnsi="Arial"/>
          <w:sz w:val="18"/>
          <w:szCs w:val="18"/>
          <w:color w:val="auto"/>
        </w:rPr>
      </w:pPr>
    </w:p>
    <w:p>
      <w:pPr>
        <w:jc w:val="both"/>
        <w:ind w:left="380" w:right="260" w:hanging="372"/>
        <w:spacing w:after="0" w:line="264"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accrued at the point of sale to the distributor, and applied to future sales orders made by the distributor under our discretion;</w:t>
      </w:r>
    </w:p>
    <w:p>
      <w:pPr>
        <w:spacing w:after="0" w:line="73" w:lineRule="exact"/>
        <w:rPr>
          <w:rFonts w:ascii="Arial" w:cs="Arial" w:eastAsia="Arial" w:hAnsi="Arial"/>
          <w:sz w:val="18"/>
          <w:szCs w:val="18"/>
          <w:color w:val="auto"/>
        </w:rPr>
      </w:pPr>
    </w:p>
    <w:p>
      <w:pPr>
        <w:ind w:left="380" w:right="80" w:hanging="372"/>
        <w:spacing w:after="0" w:line="264"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accrued at the point of sale to the distributor and applied to future sales orders made by the distributor under our discretion;</w:t>
      </w:r>
    </w:p>
    <w:p>
      <w:pPr>
        <w:spacing w:after="0" w:line="73" w:lineRule="exact"/>
        <w:rPr>
          <w:rFonts w:ascii="Arial" w:cs="Arial" w:eastAsia="Arial" w:hAnsi="Arial"/>
          <w:sz w:val="18"/>
          <w:szCs w:val="18"/>
          <w:color w:val="auto"/>
        </w:rPr>
      </w:pPr>
    </w:p>
    <w:p>
      <w:pPr>
        <w:ind w:left="380" w:right="80" w:hanging="372"/>
        <w:spacing w:after="0" w:line="342"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Transfer fee discount</w:t>
      </w:r>
      <w:r>
        <w:rPr>
          <w:rFonts w:ascii="Arial" w:cs="Arial" w:eastAsia="Arial" w:hAnsi="Arial"/>
          <w:sz w:val="16"/>
          <w:szCs w:val="16"/>
          <w:color w:val="auto"/>
        </w:rPr>
        <w:t>: The transfer fee discount is offered to a distributor who has its downstream distributors supply to eligible hospitals. This discount is calculated based on a percentage of gross sales made to the downstream distributors, and accrued at the point of sale to the distributor;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3" w:name="page104"/>
    <w:bookmarkEnd w:id="103"/>
    <w:p>
      <w:pPr>
        <w:ind w:left="380" w:right="60" w:hanging="372"/>
        <w:spacing w:after="0" w:line="342"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Sales return</w:t>
      </w:r>
      <w:r>
        <w:rPr>
          <w:rFonts w:ascii="Arial" w:cs="Arial" w:eastAsia="Arial" w:hAnsi="Arial"/>
          <w:sz w:val="16"/>
          <w:szCs w:val="16"/>
          <w:color w:val="auto"/>
        </w:rPr>
        <w:t>: Distributors can request to return product to us only due to quality issues and for product within one year of its expiration date. We, at our sole discretion, decide whether to accept such return request. The sales return allowance provided as of December 31, 2019 was immaterial; and</w:t>
      </w:r>
    </w:p>
    <w:p>
      <w:pPr>
        <w:spacing w:after="0" w:line="15" w:lineRule="exact"/>
        <w:rPr>
          <w:rFonts w:ascii="Arial" w:cs="Arial" w:eastAsia="Arial" w:hAnsi="Arial"/>
          <w:sz w:val="16"/>
          <w:szCs w:val="16"/>
          <w:color w:val="auto"/>
        </w:rPr>
      </w:pPr>
    </w:p>
    <w:p>
      <w:pPr>
        <w:ind w:left="380" w:right="140" w:hanging="372"/>
        <w:spacing w:after="0" w:line="259"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Non-key account hospital listing award</w:t>
      </w:r>
      <w:r>
        <w:rPr>
          <w:rFonts w:ascii="Arial" w:cs="Arial" w:eastAsia="Arial" w:hAnsi="Arial"/>
          <w:sz w:val="18"/>
          <w:szCs w:val="18"/>
          <w:color w:val="auto"/>
        </w:rPr>
        <w:t>: A one-time fixed-amount award is offered to a distributor who successfully lists the product with an eligible hospital, and meets the sales volume and timing requirements. The non-key account hospital listing award is accrued when the distributor meets eligibility requirements, and applied against future sales orders made by the distributor. We consider this particular award to be a material right within the definitions of ASC 606 and therefore have treated it as a separate performance obligation.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above allowances are recorded as reductions of the gross accounts receivable from the distributor in the same period that the related revenue is recorded, with the exception of the non-key account hospital listing award, which is accrued when the distributor meets the eligibility requirements. The calculation of such allowances are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The functional currency of our FibroGen Europe Oy subsidiary is the local currency. Most of our revenue from collaboration agreements are denominated in U.S. dollars, and therefore our revenue is not currently subject to significant foreign currency risk.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2019, our financial assets and liabilities denominated in foreign currencies primarily included CNY14.3 million in cash and cash equivalent, CNY48.7 million in other current and long-term assets, and CNY434.1 million and EUR1.4 million in accounts payable, accrued liabilities and other long-term liabilities. These balances are subject to fluctuation in the exchange rate with the U.S. dollar. The effect of a hypothetical 10% change in foreign currency exchange rates would have resulted in a net gain or loss on foreign currency of approximately $5.5 million for the year ended December 31, 2019.</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primarily in U.S. government treasury bills and notes. A portion of our investments is also invested in certificates of deposit and demand deposits with high quality and established banking institutions. Given the nature of our investments as of December 31, 2019, we believe that our exposure to interest rate risk is not significant. We actively monitor changes in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hedging arrangements with respect to foreign currency risk or other derivative financial instruments.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FibroGen, Inc.</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860" w:type="dxa"/>
            <w:vAlign w:val="bottom"/>
            <w:gridSpan w:val="10"/>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109">
              <w:r>
                <w:rPr>
                  <w:rFonts w:ascii="Arial" w:cs="Arial" w:eastAsia="Arial" w:hAnsi="Arial"/>
                  <w:sz w:val="18"/>
                  <w:szCs w:val="18"/>
                  <w:color w:val="0000EE"/>
                  <w:w w:val="88"/>
                </w:rPr>
                <w:t>Consolidated Balance Sheets</w:t>
              </w:r>
            </w:hyperlink>
          </w:p>
        </w:tc>
        <w:tc>
          <w:tcPr>
            <w:tcW w:w="85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Comprehensive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Changes in Stockholders' Equity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Cash Flows</w:t>
              </w:r>
            </w:hyperlink>
          </w:p>
        </w:tc>
        <w:tc>
          <w:tcPr>
            <w:tcW w:w="1500" w:type="dxa"/>
            <w:vAlign w:val="bottom"/>
            <w:tcBorders>
              <w:top w:val="single" w:sz="8" w:color="0000EE"/>
            </w:tcBorders>
            <w:gridSpan w:val="4"/>
          </w:tcPr>
          <w:p>
            <w:pPr>
              <w:spacing w:after="0"/>
              <w:rPr>
                <w:sz w:val="24"/>
                <w:szCs w:val="24"/>
                <w:color w:val="auto"/>
              </w:rPr>
            </w:pPr>
          </w:p>
        </w:tc>
        <w:tc>
          <w:tcPr>
            <w:tcW w:w="62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Notes to Consolidated Financial Statements</w:t>
              </w:r>
            </w:hyperlink>
          </w:p>
        </w:tc>
        <w:tc>
          <w:tcPr>
            <w:tcW w:w="74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6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II Valuation and Qualifying Accounts for each of the three years ended December 31, 2019</w:t>
              </w:r>
            </w:hyperlink>
          </w:p>
        </w:tc>
        <w:tc>
          <w:tcPr>
            <w:tcW w:w="4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466"/>
        </w:trPr>
        <w:tc>
          <w:tcPr>
            <w:tcW w:w="10860" w:type="dxa"/>
            <w:vAlign w:val="bottom"/>
            <w:gridSpan w:val="10"/>
          </w:tcPr>
          <w:p>
            <w:pPr>
              <w:spacing w:after="0"/>
              <w:rPr>
                <w:sz w:val="20"/>
                <w:szCs w:val="20"/>
                <w:color w:val="auto"/>
              </w:rPr>
            </w:pPr>
            <w:r>
              <w:rPr>
                <w:rFonts w:ascii="Arial" w:cs="Arial" w:eastAsia="Arial" w:hAnsi="Arial"/>
                <w:sz w:val="18"/>
                <w:szCs w:val="18"/>
                <w:color w:val="auto"/>
                <w:w w:val="99"/>
              </w:rPr>
              <w:t>The supplementary financial information required by this Item 8 is included in Item 7 under the caption “Quarterly Results of Operations”.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800" w:type="dxa"/>
            <w:vAlign w:val="bottom"/>
            <w:gridSpan w:val="9"/>
          </w:tcPr>
          <w:p>
            <w:pPr>
              <w:ind w:left="5580"/>
              <w:spacing w:after="0"/>
              <w:rPr>
                <w:sz w:val="20"/>
                <w:szCs w:val="20"/>
                <w:color w:val="auto"/>
              </w:rPr>
            </w:pPr>
            <w:r>
              <w:rPr>
                <w:rFonts w:ascii="Arial" w:cs="Arial" w:eastAsia="Arial" w:hAnsi="Arial"/>
                <w:sz w:val="18"/>
                <w:szCs w:val="18"/>
                <w:color w:val="auto"/>
              </w:rPr>
              <w:t>105</w:t>
            </w:r>
          </w:p>
        </w:tc>
        <w:tc>
          <w:tcPr>
            <w:tcW w:w="4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FibroGen,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FibroGen, Inc. and its subsidiaries (the “Company”) as of December 31, 2019 and 2018, and the related consolidated statements of operations, of comprehensive loss, of changes in stockholders’ equity and of cash flows for each of the three years in the period ended December 31, 2019, including the related notes and financial statement schedule listed in the accompanying index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7" w:name="page108"/>
    <w:bookmarkEnd w:id="107"/>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Revenue Recognition - Estimated Variable Consideration Associated With Milestones Related to the United States New Drug Application (NDA) and the European Marketing Authorization Application (MAA) Submissions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described in Notes 2 and 3 to the consolidated financial statements, milestone payments are considered variable consideration, which requires management to make estimates of when achievement of a particular milestone becomes probable. Milestone payments are included in the transaction price when it becomes probable that such inclusion would not result in a significant revenue reversal. Management evaluated the two regulatory milestone payments associated with the planned European MAA submission and the regulatory milestone payment associated with the acceptance by the United States Food and Drug Administration (FDA) of the NDA submission and concluded that these milestones became probable of being achieved in the second quarter of 2019. Accordingly, the total consideration of $180.0 million associated with these milestones was included in the transaction price and allocated to performance obligations under the related agreements, of which $171.2 million was recognized as revenue during the year ended December 31, 2019 from performance obligations satisfied or partially satisfied as of December 31, 2019.</w:t>
      </w:r>
    </w:p>
    <w:p>
      <w:pPr>
        <w:spacing w:after="0" w:line="17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principal consideration for our determination that performing procedures relating to revenue recognition – estimated variable consideration associated with milestones related to the United States NDA submission and European MAA submission is a critical audit matter is there was significant judgment by management in determining that these milestones became probable of being achieved. This in turn led to a high degree of auditor judgment, subjectivity and effort in performing procedures and evaluating audit evidence related to the judgments made by management.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control over the milestone probability assessment performed by management. These procedures also included, among others, reading the collaboration agreements and testing management’s process for determining the acceptance of the United States NDA submission and the European MAA submission were probable.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70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126,266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receivable, net ($4,845 and $47,210 from a related party)</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 ($125,210 and $0 from a related party)</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Long-term investments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6,088</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current liabilities ($36,883 and $444 to a related party)</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 liabilities, current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Long-term portion of lease obligations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rent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321,991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outstanding at December 31, 2019 and December 31, 2018</w:t>
            </w: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Common stock, $0.01 par value; 225,000 shares authorized at December 31, 2019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and December 31, 2018; 87,657 and 85,432 shares issued and outstanding at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December 31, 2019 and December 31, 2018</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(784,720)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(715,827)</w:t>
            </w: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535,406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License revenue (includes $129,405, $14,323 and $0</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from a related party)</w:t>
            </w:r>
          </w:p>
        </w:tc>
        <w:tc>
          <w:tcPr>
            <w:tcW w:w="12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177,086</w:t>
            </w:r>
          </w:p>
        </w:tc>
        <w:tc>
          <w:tcPr>
            <w:tcW w:w="120" w:type="dxa"/>
            <w:vAlign w:val="bottom"/>
          </w:tcPr>
          <w:p>
            <w:pPr>
              <w:spacing w:after="0"/>
              <w:rPr>
                <w:sz w:val="20"/>
                <w:szCs w:val="20"/>
                <w:color w:val="auto"/>
              </w:rPr>
            </w:pP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22,269</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$29,393, $20,903</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and $20,111 from a related party)</w:t>
            </w: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125,913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Product revenue, net (includes $(36,324), $64,776</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and $0 from a related party)</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(34,624)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64,776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256,577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212,958</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135,479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63,812</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(86,693)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(10,991)</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(76,642)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(86,116)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(120,554)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(86,420)</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(120,875)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2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(0.89)</w:t>
            </w:r>
          </w:p>
        </w:tc>
        <w:tc>
          <w:tcPr>
            <w:tcW w:w="5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 basic and diluted</w:t>
            </w: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(76,970)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(120,875)</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(2,022)</w:t>
            </w: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09"/>
        </w:trPr>
        <w:tc>
          <w:tcPr>
            <w:tcW w:w="56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8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FF0FC"/>
          </w:tcPr>
          <w:p>
            <w:pPr>
              <w:spacing w:after="0"/>
              <w:rPr>
                <w:sz w:val="20"/>
                <w:szCs w:val="20"/>
                <w:color w:val="auto"/>
              </w:rPr>
            </w:pPr>
          </w:p>
        </w:tc>
      </w:tr>
      <w:tr>
        <w:trPr>
          <w:trHeight w:val="223"/>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8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(76,047)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(85,656)</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29"/>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89"/>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20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09"/>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900" w:type="dxa"/>
            <w:vAlign w:val="bottom"/>
          </w:tcPr>
          <w:p>
            <w:pPr>
              <w:jc w:val="center"/>
              <w:ind w:right="89"/>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3"/>
        </w:trPr>
        <w:tc>
          <w:tcPr>
            <w:tcW w:w="2200" w:type="dxa"/>
            <w:vAlign w:val="bottom"/>
          </w:tcPr>
          <w:p>
            <w:pPr>
              <w:spacing w:after="0"/>
              <w:rPr>
                <w:sz w:val="14"/>
                <w:szCs w:val="14"/>
                <w:color w:val="auto"/>
              </w:rPr>
            </w:pP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09"/>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4"/>
                <w:szCs w:val="14"/>
                <w:color w:val="auto"/>
              </w:rPr>
            </w:pPr>
          </w:p>
        </w:tc>
        <w:tc>
          <w:tcPr>
            <w:tcW w:w="900" w:type="dxa"/>
            <w:vAlign w:val="bottom"/>
          </w:tcPr>
          <w:p>
            <w:pPr>
              <w:jc w:val="center"/>
              <w:ind w:right="89"/>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55"/>
        </w:trPr>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(Note 2)</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9"/>
        </w:trPr>
        <w:tc>
          <w:tcPr>
            <w:tcW w:w="220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2016</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63,665,284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625,903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(960)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(509,782)</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135,069</w:t>
            </w:r>
          </w:p>
        </w:tc>
        <w:tc>
          <w:tcPr>
            <w:tcW w:w="120" w:type="dxa"/>
            <w:vAlign w:val="bottom"/>
            <w:shd w:val="clear" w:color="auto" w:fill="CFF0FC"/>
          </w:tcPr>
          <w:p>
            <w:pPr>
              <w:spacing w:after="0"/>
              <w:rPr>
                <w:sz w:val="14"/>
                <w:szCs w:val="14"/>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(120,875)</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(120,875)</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(2,022)</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Follow-on Offerings, net of</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underwriting discounts,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commission and issuance</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14,428,750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470,082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470,226</w:t>
            </w:r>
          </w:p>
        </w:tc>
        <w:tc>
          <w:tcPr>
            <w:tcW w:w="12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4,404,094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26,570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26,614</w:t>
            </w:r>
          </w:p>
        </w:tc>
        <w:tc>
          <w:tcPr>
            <w:tcW w:w="120" w:type="dxa"/>
            <w:vAlign w:val="bottom"/>
          </w:tcPr>
          <w:p>
            <w:pPr>
              <w:spacing w:after="0"/>
              <w:rPr>
                <w:sz w:val="14"/>
                <w:szCs w:val="14"/>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37,539</w:t>
            </w:r>
          </w:p>
        </w:tc>
        <w:tc>
          <w:tcPr>
            <w:tcW w:w="120" w:type="dxa"/>
            <w:vAlign w:val="bottom"/>
            <w:shd w:val="clear" w:color="auto" w:fill="CFF0FC"/>
          </w:tcPr>
          <w:p>
            <w:pPr>
              <w:spacing w:after="0"/>
              <w:rPr>
                <w:sz w:val="14"/>
                <w:szCs w:val="14"/>
                <w:color w:val="auto"/>
              </w:rPr>
            </w:pPr>
          </w:p>
        </w:tc>
      </w:tr>
      <w:tr>
        <w:trPr>
          <w:trHeight w:val="119"/>
        </w:trPr>
        <w:tc>
          <w:tcPr>
            <w:tcW w:w="2200" w:type="dxa"/>
            <w:vAlign w:val="bottom"/>
          </w:tcPr>
          <w:p>
            <w:pPr>
              <w:spacing w:after="0" w:line="119" w:lineRule="exact"/>
              <w:rPr>
                <w:sz w:val="20"/>
                <w:szCs w:val="20"/>
                <w:color w:val="auto"/>
              </w:rPr>
            </w:pPr>
            <w:r>
              <w:rPr>
                <w:rFonts w:ascii="Arial" w:cs="Arial" w:eastAsia="Arial" w:hAnsi="Arial"/>
                <w:sz w:val="13"/>
                <w:szCs w:val="13"/>
                <w:b w:val="1"/>
                <w:bCs w:val="1"/>
                <w:color w:val="auto"/>
              </w:rPr>
              <w:t>Balance at December 31,</w:t>
            </w:r>
          </w:p>
        </w:tc>
        <w:tc>
          <w:tcPr>
            <w:tcW w:w="10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1"/>
        </w:trPr>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spacing w:after="0"/>
              <w:rPr>
                <w:sz w:val="20"/>
                <w:szCs w:val="20"/>
                <w:color w:val="auto"/>
              </w:rPr>
            </w:pPr>
            <w:r>
              <w:rPr>
                <w:rFonts w:ascii="Arial" w:cs="Arial" w:eastAsia="Arial" w:hAnsi="Arial"/>
                <w:sz w:val="14"/>
                <w:szCs w:val="14"/>
                <w:color w:val="auto"/>
              </w:rPr>
              <w:t>82,498,128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1,160,094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(630,657)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547,738</w:t>
            </w:r>
          </w:p>
        </w:tc>
        <w:tc>
          <w:tcPr>
            <w:tcW w:w="120" w:type="dxa"/>
            <w:vAlign w:val="bottom"/>
          </w:tcPr>
          <w:p>
            <w:pPr>
              <w:spacing w:after="0"/>
              <w:rPr>
                <w:sz w:val="18"/>
                <w:szCs w:val="18"/>
                <w:color w:val="auto"/>
              </w:rPr>
            </w:pPr>
          </w:p>
        </w:tc>
      </w:tr>
      <w:tr>
        <w:trPr>
          <w:trHeight w:val="124"/>
        </w:trPr>
        <w:tc>
          <w:tcPr>
            <w:tcW w:w="22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4"/>
                <w:szCs w:val="14"/>
                <w:color w:val="auto"/>
              </w:rPr>
              <w:t>Impact of change in</w:t>
            </w:r>
          </w:p>
        </w:tc>
        <w:tc>
          <w:tcPr>
            <w:tcW w:w="10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49"/>
        </w:trPr>
        <w:tc>
          <w:tcPr>
            <w:tcW w:w="22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5"/>
        </w:trPr>
        <w:tc>
          <w:tcPr>
            <w:tcW w:w="220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adoption of ASU 2016-01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(Note 2)</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(86,420)</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(86,420)</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w:t>
            </w: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4"/>
                <w:szCs w:val="14"/>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 to issuance costs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 Follow-on Offerings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2,933,974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14,206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14,235</w:t>
            </w:r>
          </w:p>
        </w:tc>
        <w:tc>
          <w:tcPr>
            <w:tcW w:w="120" w:type="dxa"/>
            <w:vAlign w:val="bottom"/>
          </w:tcPr>
          <w:p>
            <w:pPr>
              <w:spacing w:after="0"/>
              <w:rPr>
                <w:sz w:val="14"/>
                <w:szCs w:val="14"/>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52,142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52,142</w:t>
            </w:r>
          </w:p>
        </w:tc>
        <w:tc>
          <w:tcPr>
            <w:tcW w:w="120" w:type="dxa"/>
            <w:vAlign w:val="bottom"/>
            <w:shd w:val="clear" w:color="auto" w:fill="CFF0FC"/>
          </w:tcPr>
          <w:p>
            <w:pPr>
              <w:spacing w:after="0"/>
              <w:rPr>
                <w:sz w:val="14"/>
                <w:szCs w:val="14"/>
                <w:color w:val="auto"/>
              </w:rPr>
            </w:pP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11"/>
        </w:trPr>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spacing w:after="0"/>
              <w:rPr>
                <w:sz w:val="20"/>
                <w:szCs w:val="20"/>
                <w:color w:val="auto"/>
              </w:rPr>
            </w:pPr>
            <w:r>
              <w:rPr>
                <w:rFonts w:ascii="Arial" w:cs="Arial" w:eastAsia="Arial" w:hAnsi="Arial"/>
                <w:sz w:val="14"/>
                <w:szCs w:val="14"/>
                <w:color w:val="auto"/>
              </w:rPr>
              <w:t>85,432,102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1,226,453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(715,827)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tcPr>
          <w:p>
            <w:pPr>
              <w:spacing w:after="0"/>
              <w:rPr>
                <w:sz w:val="18"/>
                <w:szCs w:val="18"/>
                <w:color w:val="auto"/>
              </w:rPr>
            </w:pPr>
          </w:p>
        </w:tc>
      </w:tr>
      <w:tr>
        <w:trPr>
          <w:trHeight w:val="120"/>
        </w:trPr>
        <w:tc>
          <w:tcPr>
            <w:tcW w:w="2200" w:type="dxa"/>
            <w:vAlign w:val="bottom"/>
            <w:tcBorders>
              <w:top w:val="single" w:sz="8" w:color="CFF0FC"/>
            </w:tcBorders>
            <w:shd w:val="clear" w:color="auto" w:fill="CFF0FC"/>
          </w:tcPr>
          <w:p>
            <w:pPr>
              <w:spacing w:after="0" w:line="120" w:lineRule="exact"/>
              <w:rPr>
                <w:sz w:val="20"/>
                <w:szCs w:val="20"/>
                <w:color w:val="auto"/>
              </w:rPr>
            </w:pPr>
            <w:r>
              <w:rPr>
                <w:rFonts w:ascii="Arial" w:cs="Arial" w:eastAsia="Arial" w:hAnsi="Arial"/>
                <w:sz w:val="13"/>
                <w:szCs w:val="13"/>
                <w:color w:val="auto"/>
              </w:rPr>
              <w:t>Impact of adoption of</w:t>
            </w:r>
          </w:p>
        </w:tc>
        <w:tc>
          <w:tcPr>
            <w:tcW w:w="10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xml:space="preserve">ASC 842 </w:t>
            </w:r>
            <w:r>
              <w:rPr>
                <w:rFonts w:ascii="Arial" w:cs="Arial" w:eastAsia="Arial" w:hAnsi="Arial"/>
                <w:sz w:val="14"/>
                <w:szCs w:val="14"/>
                <w:b w:val="1"/>
                <w:bCs w:val="1"/>
                <w:color w:val="auto"/>
              </w:rPr>
              <w:t>(Note 2)</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8,688</w:t>
            </w:r>
          </w:p>
        </w:tc>
        <w:tc>
          <w:tcPr>
            <w:tcW w:w="12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Impact of change in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2200" w:type="dxa"/>
            <w:vAlign w:val="bottom"/>
          </w:tcPr>
          <w:p>
            <w:pPr>
              <w:ind w:left="120"/>
              <w:spacing w:after="0" w:line="145" w:lineRule="exact"/>
              <w:rPr>
                <w:sz w:val="20"/>
                <w:szCs w:val="20"/>
                <w:color w:val="auto"/>
              </w:rPr>
            </w:pPr>
            <w:r>
              <w:rPr>
                <w:rFonts w:ascii="Arial" w:cs="Arial" w:eastAsia="Arial" w:hAnsi="Arial"/>
                <w:sz w:val="14"/>
                <w:szCs w:val="14"/>
                <w:color w:val="auto"/>
              </w:rPr>
              <w:t>adoption of ASU 2018-02</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(Note 2)</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(611)</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(76,970)</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(76,970)</w:t>
            </w: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4"/>
                <w:szCs w:val="14"/>
                <w:color w:val="auto"/>
              </w:rPr>
            </w:pP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FF0FC"/>
          </w:tcPr>
          <w:p>
            <w:pPr>
              <w:spacing w:after="0"/>
              <w:rPr>
                <w:sz w:val="14"/>
                <w:szCs w:val="14"/>
                <w:color w:val="auto"/>
              </w:rPr>
            </w:pPr>
          </w:p>
        </w:tc>
      </w:tr>
      <w:tr>
        <w:trPr>
          <w:trHeight w:val="143"/>
        </w:trPr>
        <w:tc>
          <w:tcPr>
            <w:tcW w:w="220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200" w:type="dxa"/>
            <w:vAlign w:val="bottom"/>
          </w:tcPr>
          <w:p>
            <w:pPr>
              <w:ind w:left="12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2,220,957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7,939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7,962</w:t>
            </w:r>
          </w:p>
        </w:tc>
        <w:tc>
          <w:tcPr>
            <w:tcW w:w="120" w:type="dxa"/>
            <w:vAlign w:val="bottom"/>
          </w:tcPr>
          <w:p>
            <w:pPr>
              <w:spacing w:after="0"/>
              <w:rPr>
                <w:sz w:val="14"/>
                <w:szCs w:val="14"/>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Warrants exercised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66,267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66,267</w:t>
            </w:r>
          </w:p>
        </w:tc>
        <w:tc>
          <w:tcPr>
            <w:tcW w:w="120" w:type="dxa"/>
            <w:vAlign w:val="bottom"/>
          </w:tcPr>
          <w:p>
            <w:pPr>
              <w:spacing w:after="0"/>
              <w:rPr>
                <w:sz w:val="14"/>
                <w:szCs w:val="14"/>
                <w:color w:val="auto"/>
              </w:rPr>
            </w:pPr>
          </w:p>
        </w:tc>
      </w:tr>
      <w:tr>
        <w:trPr>
          <w:trHeight w:val="133"/>
        </w:trPr>
        <w:tc>
          <w:tcPr>
            <w:tcW w:w="2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w w:val="88"/>
              </w:rPr>
              <w:t>Years Ended December 31,</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8"/>
              <w:spacing w:after="0" w:line="143" w:lineRule="exact"/>
              <w:rPr>
                <w:sz w:val="20"/>
                <w:szCs w:val="20"/>
                <w:color w:val="auto"/>
              </w:rPr>
            </w:pPr>
            <w:r>
              <w:rPr>
                <w:rFonts w:ascii="Arial" w:cs="Arial" w:eastAsia="Arial" w:hAnsi="Arial"/>
                <w:sz w:val="13"/>
                <w:szCs w:val="13"/>
                <w:b w:val="1"/>
                <w:bCs w:val="1"/>
                <w:color w:val="auto"/>
              </w:rPr>
              <w:t>2018</w:t>
            </w:r>
          </w:p>
        </w:tc>
        <w:tc>
          <w:tcPr>
            <w:tcW w:w="3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8"/>
              <w:spacing w:after="0" w:line="143"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6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Net loss</w:t>
            </w:r>
          </w:p>
        </w:tc>
        <w:tc>
          <w:tcPr>
            <w:tcW w:w="1620" w:type="dxa"/>
            <w:vAlign w:val="bottom"/>
            <w:gridSpan w:val="2"/>
          </w:tcPr>
          <w:p>
            <w:pPr>
              <w:jc w:val="right"/>
              <w:ind w:right="793"/>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(76,970)</w:t>
            </w: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(86,420)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(120,875)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11,147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6,562</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finance lease right-of-use assets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Net amortization (accretion) of premium (discount) on investments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(3,667)</w:t>
            </w:r>
          </w:p>
        </w:tc>
        <w:tc>
          <w:tcPr>
            <w:tcW w:w="36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loss (gain) on cash equivalents and short-term equity investments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(88)</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Loss (gain) on disposal of property and equipment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66,267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52,142</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Realized foreign currency gain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(1,074)</w:t>
            </w: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Realized gain on sales of available-for-sale securities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(87)</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receivable, net ($42,365, $(43,486) and $98 from a related party)</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35,229</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(55,232)</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(6,887)</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Prepaid expenses and other current assets ($(125,210), $0 and</w:t>
            </w:r>
          </w:p>
        </w:tc>
        <w:tc>
          <w:tcPr>
            <w:tcW w:w="6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$0 from a related party)</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(128,598)</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(129)</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(3,253)</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(3,051)</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3,630</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Accrued and other liabilities ($36,439, $172 and $(1,343) from a related party)</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18,288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5,606</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Deferred revenue</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(49,941)</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(5,031)</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Lease obligations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Accrued interest for finance lease liabilities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Other long-term liabilities</w:t>
            </w:r>
          </w:p>
        </w:tc>
        <w:tc>
          <w:tcPr>
            <w:tcW w:w="6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52,360</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ind w:left="480"/>
              <w:spacing w:after="0" w:line="155" w:lineRule="exact"/>
              <w:rPr>
                <w:sz w:val="20"/>
                <w:szCs w:val="20"/>
                <w:color w:val="auto"/>
              </w:rPr>
            </w:pPr>
            <w:r>
              <w:rPr>
                <w:rFonts w:ascii="Arial" w:cs="Arial" w:eastAsia="Arial" w:hAnsi="Arial"/>
                <w:sz w:val="14"/>
                <w:szCs w:val="14"/>
                <w:color w:val="auto"/>
              </w:rPr>
              <w:t>Net cash used in operating activities</w:t>
            </w:r>
          </w:p>
        </w:tc>
        <w:tc>
          <w:tcPr>
            <w:tcW w:w="680" w:type="dxa"/>
            <w:vAlign w:val="bottom"/>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(78,705)</w:t>
            </w:r>
          </w:p>
        </w:tc>
        <w:tc>
          <w:tcPr>
            <w:tcW w:w="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(76,144)</w:t>
            </w: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(5,762)</w:t>
            </w:r>
          </w:p>
        </w:tc>
        <w:tc>
          <w:tcPr>
            <w:tcW w:w="36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(8,020)</w:t>
            </w:r>
          </w:p>
        </w:tc>
        <w:tc>
          <w:tcPr>
            <w:tcW w:w="34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Purchases of available-for-sale securities and term deposit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(411,299)</w:t>
            </w:r>
          </w:p>
        </w:tc>
        <w:tc>
          <w:tcPr>
            <w:tcW w:w="36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(576,880)</w:t>
            </w:r>
          </w:p>
        </w:tc>
        <w:tc>
          <w:tcPr>
            <w:tcW w:w="34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available-for-sale securities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8,167</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maturities of investments</w:t>
            </w:r>
          </w:p>
        </w:tc>
        <w:tc>
          <w:tcPr>
            <w:tcW w:w="6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537,072</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54,426</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ind w:left="4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80" w:type="dxa"/>
            <w:vAlign w:val="bottom"/>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120,018</w:t>
            </w:r>
          </w:p>
        </w:tc>
        <w:tc>
          <w:tcPr>
            <w:tcW w:w="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(522,123)</w:t>
            </w: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69,866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Borrowings under capital lease obligations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Repayments of capital lease obligations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Repayments of finance lease liabilities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(11,925)</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lease obligations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(403)</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(403)</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tcPr>
          <w:p>
            <w:pPr>
              <w:spacing w:after="0" w:line="143" w:lineRule="exact"/>
              <w:rPr>
                <w:sz w:val="20"/>
                <w:szCs w:val="20"/>
                <w:color w:val="auto"/>
              </w:rPr>
            </w:pPr>
            <w:r>
              <w:rPr>
                <w:rFonts w:ascii="Arial" w:cs="Arial" w:eastAsia="Arial" w:hAnsi="Arial"/>
                <w:sz w:val="14"/>
                <w:szCs w:val="14"/>
                <w:color w:val="auto"/>
              </w:rPr>
              <w:t>Proceeds from follow-on offerings, net of underwriting discounts and</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Arial" w:cs="Arial" w:eastAsia="Arial" w:hAnsi="Arial"/>
                <w:sz w:val="14"/>
                <w:szCs w:val="14"/>
                <w:color w:val="auto"/>
              </w:rPr>
              <w:t>commission costs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471,205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(12,750)</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(15,612)</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Proceeds from issuance of common stock</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20,778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29,847</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Payments of deferred offering costs</w:t>
            </w:r>
          </w:p>
        </w:tc>
        <w:tc>
          <w:tcPr>
            <w:tcW w:w="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ind w:left="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6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(4,300)</w:t>
            </w:r>
          </w:p>
        </w:tc>
        <w:tc>
          <w:tcPr>
            <w:tcW w:w="2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13,875</w:t>
            </w:r>
          </w:p>
        </w:tc>
        <w:tc>
          <w:tcPr>
            <w:tcW w:w="3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496,472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6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(5)</w:t>
            </w:r>
          </w:p>
        </w:tc>
        <w:tc>
          <w:tcPr>
            <w:tcW w:w="3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(8)</w:t>
            </w: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37,008</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(584,400)</w:t>
            </w:r>
          </w:p>
        </w:tc>
        <w:tc>
          <w:tcPr>
            <w:tcW w:w="3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499,876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680" w:type="dxa"/>
            <w:vAlign w:val="bottom"/>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89,258</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673,658</w:t>
            </w:r>
          </w:p>
        </w:tc>
        <w:tc>
          <w:tcPr>
            <w:tcW w:w="3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173,782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gridSpan w:val="2"/>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680" w:type="dxa"/>
            <w:vAlign w:val="bottom"/>
          </w:tcPr>
          <w:p>
            <w:pPr>
              <w:spacing w:after="0"/>
              <w:rPr>
                <w:sz w:val="17"/>
                <w:szCs w:val="17"/>
                <w:color w:val="auto"/>
              </w:rPr>
            </w:pPr>
          </w:p>
        </w:tc>
        <w:tc>
          <w:tcPr>
            <w:tcW w:w="940" w:type="dxa"/>
            <w:vAlign w:val="bottom"/>
            <w:tcBorders>
              <w:bottom w:val="single" w:sz="8" w:color="auto"/>
            </w:tcBorders>
          </w:tcPr>
          <w:p>
            <w:pPr>
              <w:jc w:val="right"/>
              <w:ind w:right="793"/>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126,266</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89,258</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Interest payments</w:t>
            </w:r>
          </w:p>
        </w:tc>
        <w:tc>
          <w:tcPr>
            <w:tcW w:w="1620" w:type="dxa"/>
            <w:vAlign w:val="bottom"/>
            <w:gridSpan w:val="2"/>
            <w:shd w:val="clear" w:color="auto" w:fill="CFF0FC"/>
          </w:tcPr>
          <w:p>
            <w:pPr>
              <w:jc w:val="right"/>
              <w:ind w:right="793"/>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tcPr>
          <w:p>
            <w:pPr>
              <w:spacing w:after="0" w:line="143" w:lineRule="exact"/>
              <w:rPr>
                <w:sz w:val="20"/>
                <w:szCs w:val="20"/>
                <w:color w:val="auto"/>
              </w:rPr>
            </w:pPr>
            <w:r>
              <w:rPr>
                <w:rFonts w:ascii="Arial" w:cs="Arial" w:eastAsia="Arial" w:hAnsi="Arial"/>
                <w:sz w:val="14"/>
                <w:szCs w:val="14"/>
                <w:color w:val="auto"/>
              </w:rPr>
              <w:t>Balance in accounts payable and accrued liabilities related to purchases of</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Arial" w:cs="Arial" w:eastAsia="Arial" w:hAnsi="Arial"/>
                <w:sz w:val="14"/>
                <w:szCs w:val="14"/>
                <w:color w:val="auto"/>
              </w:rPr>
              <w:t>property and equipment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276</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Deferred offering costs recorded in accounts payable and accrued liabilities</w:t>
            </w:r>
          </w:p>
        </w:tc>
        <w:tc>
          <w:tcPr>
            <w:tcW w:w="1620" w:type="dxa"/>
            <w:vAlign w:val="bottom"/>
            <w:gridSpan w:val="2"/>
            <w:shd w:val="clear" w:color="auto" w:fill="CFF0FC"/>
          </w:tcPr>
          <w:p>
            <w:pPr>
              <w:jc w:val="right"/>
              <w:ind w:right="793"/>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9"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FibroGen, Inc. (“FibroGen” or the “Company”) was incorporated in 1993 in Delaware and are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connective tissue growth factor (“CTGF”) biology, and clinical development to advance innovative medicines for the treatment of anemia, fibrotic disease, and cancer. Roxadustat, FibroGen’s most advanced product, is an oral small molecule inhibitor of HIF prolyl hydroxylase (“HIF-PH”) activity that has received marketing authorization in China for the treatment of anemia caused by chronic kidney disease (“CKD”) in dialysis and non-dialysis patients. In September 2019, roxadustat (Evrenzo</w:t>
      </w:r>
      <w:r>
        <w:rPr>
          <w:rFonts w:ascii="Arial" w:cs="Arial" w:eastAsia="Arial" w:hAnsi="Arial"/>
          <w:sz w:val="26"/>
          <w:szCs w:val="26"/>
          <w:color w:val="auto"/>
          <w:vertAlign w:val="superscript"/>
        </w:rPr>
        <w:t>®</w:t>
      </w:r>
      <w:r>
        <w:rPr>
          <w:rFonts w:ascii="Arial" w:cs="Arial" w:eastAsia="Arial" w:hAnsi="Arial"/>
          <w:sz w:val="17"/>
          <w:szCs w:val="17"/>
          <w:color w:val="auto"/>
        </w:rPr>
        <w:t>) was approved in Japan for the treatment of anemia associated with CKD in dialysis-dependent patients. In January 2020, Astellas Pharma Inc. (“Astellas”) submitted a supplemental New Drug Application (“NDA”) in Japan for the treatment of anemia in non-dialysis CKD patients. The Company’s U.S. NDA filing for roxadustat for the treatment of anemia patients with dialysis-dependent CKD and non-dialysis-dependent CKD was accepted by the U.S. Food and Drug Administration (“FDA”) in February, 2020, and Astellas is in the process of preparing a Marketing Authorization Application (“MAA”) for submission to the European Medicines Agency (“EMA”) in the second quarter of 2020 for the same indications. Roxadustat is in Phase 3 clinical development in the U.S. and Europe and in Phase 2/3 development in China for anemia associated with myelodysplastic syndromes (“MDS”). Roxadustat is in Phase 2 clinical development for chemotherapy-induced anemia. Pamrevlumab, an anti-CTGF human monoclonal antibody, is in Phase 3 clinical development for the treatment of both idiopathic pulmonary fibrosis (“IPF”) and pancreatic cancer. Pamrevlumab is also currently in a Phase 2 trial for Duchenne muscular dystrophy (“DMD”).</w:t>
      </w:r>
    </w:p>
    <w:p>
      <w:pPr>
        <w:spacing w:after="0" w:line="339" w:lineRule="exact"/>
        <w:rPr>
          <w:sz w:val="20"/>
          <w:szCs w:val="20"/>
          <w:color w:val="auto"/>
        </w:rPr>
      </w:pPr>
    </w:p>
    <w:p>
      <w:pPr>
        <w:ind w:right="7620" w:firstLine="8"/>
        <w:spacing w:after="0" w:line="378" w:lineRule="auto"/>
        <w:tabs>
          <w:tab w:leader="none" w:pos="37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The consolidated financial statements include the accounts of the Company, its wholly owned subsidiaries and its majority-owned subsidiaries, FibroGen Europe and FibroGen China Anemia Holdings, Ltd. (“FibroGen China”). All inter-company transactions and balances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one segment — the discovery, development and commercialization of novel therapeutics to treat serious unmet medical needs.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reporting currency of the Company and its subsidiaries is the United States (“U.S.”) dollar. 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On an ongoing basis, management reviews these estimates and assumptions. Changes in facts and circumstances may alter such estimates and actual results could differ from those estimates.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subject to risks associated with concentration of credit for cash and cash equivalents. Outside of short-term operating needs, the majority of cash on hand is invested in US treasury instruments.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60"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Astellas Pharma Inc. (“Astellas”)—Related party</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AstraZeneca AB (“AstraZeneca”)</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Time Deposits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considers all highly liquid investments with maturities of three months or less and that are used in the Company’s cash management activities at the date of purchase to be cash equivalents. Cash and cash equivalents also include money market accounts and various deposit accounts. Restricted time deposits include an irrevocable standby letter of credit as security deposit for a long-term property lease with the Company’s landlord. Restricted time deposits as of December 31, 2019 and 2018 totaled $2.1 million and $4.1 million, respectively. As of December 31, 2019 and 2018, a total of $11.9 million and $21.9 million, respectively, of the Company’s cash and cash equivalents was held outside of the U.S. in the Company’s foreign subsidiaries to be used primarily for the Company’s China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2019, the Company’s investments consist of US treasuries, diversified bond funds, marketable equity investments, a term deposit and a certificate of deposit. Those investments with original maturities of greater than three months and remaining maturities of less than 12 months (365 days) are considered short-term investments. Those investments with maturities greater than 12 months (365 days)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Carrying amounts of certain of the Company’s financial instruments including cash equivalents, investments, receivables, accounts payable and accrued liabilities approximate fair value (refer to Note 4).</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Inventories are stated at the lower of cost or net realizable value. The cost of inventories is determined using full absorption and standard costing, which approximates cost based on a first-in, first-out method. The Company reviews the standard cost of raw materials, work-in-process and finished goods annually and more often as appropriate to ensure that its inventories approximate current actual cost. The cost of inventories includes direct material cost, direct labor and manufacturing overhead. The Company periodically reviews its inventories to identify obsolete, slow-moving, excess or otherwise unsaleable items. If obsolete, excess or unsaleable items are observed and there are no alternate uses for the inventory, an inventory valuation reserve is recorded through a charge to cost of goods sold on the Company’s consolidated statements of operations. The establishment of inventory valuation reserves, together with the calculation of the amount of such reserves, requires judgment including consideration of many factors, such as estimates of future product demand and product expiration period, among others.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Computer equipment, laboratory equipment, machinery and furniture and fixtures are depreciated over three to five years. Leasehold improvements are recorded at cost and amortized over the term of the lease or their useful life, whichever is shorter.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determines if an arrangement is or contains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4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The Company’s building leases previously accounted for as build-to-suit arrangements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are accounted for as finance leases under the requirements of ASC 842.</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reassesses the incremental borrowing rate periodically for application to any new leases or lease modifications, which approximates the rate at which the Company would borrow, on a secured basis, in the country where the lease was executed.</w:t>
      </w:r>
    </w:p>
    <w:p>
      <w:pPr>
        <w:spacing w:after="0" w:line="1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terms may include options to extend or terminate the lease when it is reasonably certain that the Company will exercise that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minimum lease payments is recognized on a straight-line basis over the lease terms.</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4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Finance leases are included in finance lease ROU assets, finance lease liabilities, current and non-current on the Company’s consolidated balance sheets. Operating leases are included in other assets, accrued and other current liabilities, and other long-term liabilities on the Company’s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under collaboration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3 “Collaboration Agreements.”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3 “Collaboration Agreements.”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and royalties on net sales of licensed products.</w:t>
      </w:r>
    </w:p>
    <w:p>
      <w:pPr>
        <w:spacing w:after="0" w:line="17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7" w:name="page118"/>
    <w:bookmarkEnd w:id="117"/>
    <w:p>
      <w:pPr>
        <w:ind w:right="200"/>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3 “Collaboration Agreements.”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The Company uses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The Company believes this measure of progress provides a faithful depiction of the transfer of services because other measures do not measure as accurately how the Company transfers its performance obligations to its collaboration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API product revenue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Product revenue in 2018 consisted of sales of commercial-grade API used in support of pre-commercial validation work. In 2018, the Company recorded revenue from commercial-grade API sales to Astellas based on a transaction price that was subject to potential future adjustments, which represented a form of variable consideration. The Company evaluated the latest available facts and circumstances in 2018, including listed prices of comparable drug products in Japan and historical bulk drug product manufacturing yields and costs, to determine whether any adjustments to the estimated transaction price was necessary. As of December 31, 2018, no new facts or circumstances were available to warrant an adjustment to the estimated transaction price. With respect to these sales in 2018, a change in estimated variable consideration occurred in 2019 at the time the actual listed price for roxadustat was issued by the Japanese Ministry of Health, Labour and Welfare, which resulted in a total difference of $36.3 million between the estimated and the actual listed price and yield from the manufacture of bulk product tablets.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revenue, net</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2019, the Company started selling roxadustat in China through a number of pharmaceutical distributors located in China.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in exchange for the product.</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period between the transfer control of promised goods and when the Company receives payment is based on a general 60-day payment term. As such, product revenue is not adjusted for the effects of a significant financing component. The Company established a bad debt allowance based on its judgment to consider factors such as the age of the receivables. Bad debt expense is included in selling, general and administrative expenses on the consolidated statements of operations. There was no bad debt allowance provided as of December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Product drug revenue is recorded at the net sales prices (transaction price) which includes the following estimates of variable consideration:</w:t>
      </w:r>
    </w:p>
    <w:p>
      <w:pPr>
        <w:spacing w:after="0" w:line="117" w:lineRule="exact"/>
        <w:rPr>
          <w:sz w:val="20"/>
          <w:szCs w:val="20"/>
          <w:color w:val="auto"/>
        </w:rPr>
      </w:pPr>
    </w:p>
    <w:p>
      <w:pPr>
        <w:ind w:left="380" w:right="40" w:hanging="372"/>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Price adjustment:</w:t>
      </w:r>
      <w:r>
        <w:rPr>
          <w:rFonts w:ascii="Arial" w:cs="Arial" w:eastAsia="Arial" w:hAnsi="Arial"/>
          <w:sz w:val="18"/>
          <w:szCs w:val="18"/>
          <w:color w:val="auto"/>
        </w:rPr>
        <w:t xml:space="preserve"> In December 2019, China’s NHSA released price guidance for roxadustat under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78" w:lineRule="exact"/>
        <w:rPr>
          <w:rFonts w:ascii="Arial" w:cs="Arial" w:eastAsia="Arial" w:hAnsi="Arial"/>
          <w:sz w:val="18"/>
          <w:szCs w:val="18"/>
          <w:color w:val="auto"/>
        </w:rPr>
      </w:pPr>
    </w:p>
    <w:p>
      <w:pPr>
        <w:jc w:val="both"/>
        <w:ind w:left="380" w:right="280" w:hanging="372"/>
        <w:spacing w:after="0" w:line="26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accrued at the point of sale to the distributor, and applied to future sales orders made by the distributor under the Company’s discretion;</w:t>
      </w:r>
    </w:p>
    <w:p>
      <w:pPr>
        <w:spacing w:after="0" w:line="73"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accrued at the point of sale to the distributor and applied to future sales orders made by the distributor under the Company’s discretion;</w:t>
      </w:r>
    </w:p>
    <w:p>
      <w:pPr>
        <w:spacing w:after="0" w:line="73" w:lineRule="exact"/>
        <w:rPr>
          <w:rFonts w:ascii="Arial" w:cs="Arial" w:eastAsia="Arial" w:hAnsi="Arial"/>
          <w:sz w:val="18"/>
          <w:szCs w:val="18"/>
          <w:color w:val="auto"/>
        </w:rPr>
      </w:pPr>
    </w:p>
    <w:p>
      <w:pPr>
        <w:ind w:left="380" w:right="100" w:hanging="372"/>
        <w:spacing w:after="0" w:line="342"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Transfer fee discount</w:t>
      </w:r>
      <w:r>
        <w:rPr>
          <w:rFonts w:ascii="Arial" w:cs="Arial" w:eastAsia="Arial" w:hAnsi="Arial"/>
          <w:sz w:val="16"/>
          <w:szCs w:val="16"/>
          <w:color w:val="auto"/>
        </w:rPr>
        <w:t>: The transfer fee discount is offered to a distributor who has its downstream distributors supply to eligible hospitals. This discount is calculated based on a percentage of gross sales made to the downstream distributors, and accrued at the point of sale to the distributor;</w:t>
      </w:r>
    </w:p>
    <w:p>
      <w:pPr>
        <w:spacing w:after="0" w:line="15" w:lineRule="exact"/>
        <w:rPr>
          <w:rFonts w:ascii="Arial" w:cs="Arial" w:eastAsia="Arial" w:hAnsi="Arial"/>
          <w:sz w:val="16"/>
          <w:szCs w:val="16"/>
          <w:color w:val="auto"/>
        </w:rPr>
      </w:pPr>
    </w:p>
    <w:p>
      <w:pPr>
        <w:ind w:left="380" w:right="140" w:hanging="372"/>
        <w:spacing w:after="0" w:line="26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Distributors can request to return product to the Company only due to quality issues and for product within one year of its expiration date. The Company, at its sole discretion, decides whether to accept such return request. The sales return allowance provided as of December 31, 2019 was immaterial; and</w:t>
      </w:r>
    </w:p>
    <w:p>
      <w:pPr>
        <w:spacing w:after="0" w:line="73" w:lineRule="exact"/>
        <w:rPr>
          <w:rFonts w:ascii="Arial" w:cs="Arial" w:eastAsia="Arial" w:hAnsi="Arial"/>
          <w:sz w:val="18"/>
          <w:szCs w:val="18"/>
          <w:color w:val="auto"/>
        </w:rPr>
      </w:pPr>
    </w:p>
    <w:p>
      <w:pPr>
        <w:ind w:left="380" w:right="280" w:hanging="372"/>
        <w:spacing w:after="0" w:line="279"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Non-key account hospital listing award</w:t>
      </w:r>
      <w:r>
        <w:rPr>
          <w:rFonts w:ascii="Arial" w:cs="Arial" w:eastAsia="Arial" w:hAnsi="Arial"/>
          <w:sz w:val="17"/>
          <w:szCs w:val="17"/>
          <w:color w:val="auto"/>
        </w:rPr>
        <w:t>: A one-time fixed-amount award is offered to a distributor who successfully lists the product with an eligible hospital, and meets the sales volume and timing requirements. The non-key account hospital listing award is accrued when the distributor meets eligibility requirements, and applied against future sales orders made by the distributor. The Company considers this particular award to be a material right within the definitions of ASC 606 and therefore have treated it as a separate performance obligation.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above allowances are recorded as reductions of gross accounts receivable from the distributor in the same period that the related revenue is recorded, with the exception of the non-key account hospital listing award, which is accrued when the distributor meets the eligibility requirements. The calculation of such allowances are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(“CROs”), other clinical and preclinical costs and allocated direct and indirect overhead costs, such as facilities costs, information technology costs and other overhead. All research and development costs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also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6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 xml:space="preserve">The Company has adopted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includes interest and penalties related to unrecognized tax benefits within income tax expense in the Consolidated Statements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Company maintains equity incentive plans under which incentive and nonqualified stock options are granted to employees and non-employee consultants. Compensation expense relating to non-employee stock options has not been material for all the periods presented.</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As such, the fair value of the unvested portion of the options granted to non-employees is re-measured each period. The resulting increase in value, if any, is recognized as expense during the period the related services are rendered on a straight-line basis.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842</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provides entities the option to initially apply ASU 2016-02 at the adoption date and recognize a cumulative-effect adjustment to the opening balance of retained earnings in the period of adoption.</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adopted the above guidance under ASC 842 as of January 1, 2019, using the modified retrospective transition method, through a cumulative-effect adjustment at the beginning of the first quarter of 2019. The Company elected the optional transition method under the guidance, which allowed it to continue applying previous lease guidance (ASC 840) for the comparative prior year periods presentation in the year of adoption. Accordingly, the Company recognized a cumulative-effect adjustment to the opening balance of retained earnings in the period of adoption.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elected the package of transitional practical expedients permitted under the transition guidance under ASC 842, which among other things allows the Company to carry forward its historical lease classification, and not to reassess initial direct costs for any existing leases. Meanwhile, the Company did not elect the hindsight practical expedient because it has a limited number of leases, lease terms are straightforward, and most of its lease renewals are undefined until negotiated.</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the Company has elected the short-term accounting policy practical expedient and does not apply the balance sheet recognition requirements for short-term leases (excluding expenses relating to leases with a lease term of one month or less), by class of underlying asset to which the right of use relates. The Company has not elected the non-lease components practical expedient, and therefore accounts for each lease component separately from the non-lease components.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Upon adoption of ASC 842, the Company classified its existing building leases that were previously accounted for as build-to-suit arrangements as finance leases and applied the transition guidance. Accordingly, the Company derecognized the assets and liabilities previously recognized under ASC 840 build-to-suit guidance. In addition, as a result of applying the transition guidance, the Company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impacts to the select line items from the Company’s consolidated balance sheet upon adoption of the ASC 842 guidance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Balance Sheet Line Item</w:t>
            </w:r>
          </w:p>
        </w:tc>
        <w:tc>
          <w:tcPr>
            <w:tcW w:w="53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Nature of 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New Lease Guidance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Adoption Adjustment</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5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assets - building shell, cost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(53,880)</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assets - building shell,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of useful life - leasehold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(38,877)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ROU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ROU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w:t>
            </w:r>
          </w:p>
        </w:tc>
        <w:tc>
          <w:tcPr>
            <w:tcW w:w="5380" w:type="dxa"/>
            <w:vAlign w:val="bottom"/>
          </w:tcPr>
          <w:p>
            <w:pPr>
              <w:spacing w:after="0"/>
              <w:rPr>
                <w:sz w:val="20"/>
                <w:szCs w:val="20"/>
                <w:color w:val="auto"/>
              </w:rPr>
            </w:pPr>
            <w:r>
              <w:rPr>
                <w:rFonts w:ascii="Arial" w:cs="Arial" w:eastAsia="Arial" w:hAnsi="Arial"/>
                <w:sz w:val="18"/>
                <w:szCs w:val="18"/>
                <w:color w:val="auto"/>
              </w:rPr>
              <w:t>Derecognition - deferred rent,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liabilities,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current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Long-term portion of lease obligations</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(95,613)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deferred rent,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5380" w:type="dxa"/>
            <w:vAlign w:val="bottom"/>
          </w:tcPr>
          <w:p>
            <w:pPr>
              <w:spacing w:after="0"/>
              <w:rPr>
                <w:sz w:val="20"/>
                <w:szCs w:val="20"/>
                <w:color w:val="auto"/>
              </w:rPr>
            </w:pPr>
            <w:r>
              <w:rPr>
                <w:rFonts w:ascii="Arial" w:cs="Arial" w:eastAsia="Arial" w:hAnsi="Arial"/>
                <w:sz w:val="18"/>
                <w:szCs w:val="18"/>
                <w:color w:val="auto"/>
              </w:rPr>
              <w:t>Recognition - finance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operating lease liabilities,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Cumulative decrease to accumulated deficit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Pr>
          <w:p>
            <w:pPr>
              <w:ind w:left="13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1" w:name="page122"/>
    <w:bookmarkEnd w:id="121"/>
    <w:p>
      <w:pPr>
        <w:ind w:right="140"/>
        <w:spacing w:after="0" w:line="277" w:lineRule="auto"/>
        <w:rPr>
          <w:sz w:val="20"/>
          <w:szCs w:val="20"/>
          <w:color w:val="auto"/>
        </w:rPr>
      </w:pPr>
      <w:r>
        <w:rPr>
          <w:rFonts w:ascii="Arial" w:cs="Arial" w:eastAsia="Arial" w:hAnsi="Arial"/>
          <w:sz w:val="18"/>
          <w:szCs w:val="18"/>
          <w:color w:val="auto"/>
        </w:rPr>
        <w:t>The adoption of this guidance did not have a material impact to the Company’s consolidated statement of operations or consolidated statement of cash flows for the year ended December 31,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2018-02</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This guidance allows for the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stranded tax effects arising from the reduction of the U.S. federal statutory income tax rate from 35% to 21%. This guidance was effective for annual reporting periods beginning after December 15, 2018, including interim periods. The Company adopted this guidance on January 1, 2019 using the modified retrospective approach. The impacts, based on the aggregate portfolio approach, to the Company’s accumulated other comprehensive loss and accumulated deficit upon adoption of this guidance are as follows (in thousands):</w:t>
      </w:r>
    </w:p>
    <w:tbl>
      <w:tblPr>
        <w:tblLayout w:type="fixed"/>
        <w:tblInd w:w="580" w:type="dxa"/>
        <w:tblCellMar>
          <w:top w:w="0" w:type="dxa"/>
          <w:left w:w="0" w:type="dxa"/>
          <w:bottom w:w="0" w:type="dxa"/>
          <w:right w:w="0" w:type="dxa"/>
        </w:tblCellMar>
      </w:tblPr>
      <w:tr>
        <w:trPr>
          <w:trHeight w:val="141"/>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Accumulated Deficit</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Comprehensive Loss</w:t>
            </w:r>
          </w:p>
        </w:tc>
        <w:tc>
          <w:tcPr>
            <w:tcW w:w="2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upon adoption of ASU 2018-02</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2019</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adoption of this guidance had no impact to the Company’s consolidated statement of operations or consolidated statement of cash flows for the year ended December 31,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2018-07</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was effective for annual reporting periods beginning after December 15, 2018, including interim periods. The Company adopted this guidance on January 1, 2019, and the adoption of this guidance had no impact to the Company’s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2016-01</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The Company adopted this guidance as of January 1, 2018 using the modified retrospective approach. The impacts to the Company’s accumulated other comprehensive loss and accumulated deficit upon adoption of this guidance are as follows (in thousands):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 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Comprehensive Loss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(1,795)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(630,657)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upon adoption of ASU 2016-01</w:t>
            </w:r>
          </w:p>
        </w:tc>
        <w:tc>
          <w:tcPr>
            <w:tcW w:w="180" w:type="dxa"/>
            <w:vAlign w:val="bottom"/>
          </w:tcPr>
          <w:p>
            <w:pPr>
              <w:spacing w:after="0"/>
              <w:rPr>
                <w:sz w:val="20"/>
                <w:szCs w:val="20"/>
                <w:color w:val="auto"/>
              </w:rPr>
            </w:pPr>
          </w:p>
        </w:tc>
        <w:tc>
          <w:tcPr>
            <w:tcW w:w="1940" w:type="dxa"/>
            <w:vAlign w:val="bottom"/>
            <w:gridSpan w:val="2"/>
          </w:tcPr>
          <w:p>
            <w:pPr>
              <w:ind w:left="118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2018</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(3,045)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guidance had no impact to the Company’s consolidated statement of cash flows for the year ended December 31,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The Company does not plan to early adopt this guidance and does not anticipate a material impact to its consolidated financial statements upon adoption of this guidance.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2" w:name="page123"/>
    <w:bookmarkEnd w:id="122"/>
    <w:p>
      <w:pPr>
        <w:ind w:right="10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This guidance requires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to develop or obtain internal-use software (and hosting arrangements that include an internal-use software license). This guidance should be applied either retrospectively or prospectively, and is effective for annual reporting periods beginning after December 15, 2019 including interim periods, with early adoption permitted. The Company will adopt this guidance on January 1, 2020 and does not anticipate a material impact to its consolidated financial statements upon adoption of this guidance.</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guidance is intended to provide financial statement users with more decision-useful information about the expected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Available-for-sale debt securities are scoped out of this guidance. This guidance is effective for annual reporting periods beginning after December 15, 2019 including interim periods. The Company’s investment portfolio primarily consists of U.S. Treasury bills and notes carried at fair value. Further, the Company’s trade receivables do not have abnormally long terms and the Company has never written off trade receivables. Accordingly, the Company has concluded that the adoption of this guidance on January 1, 2020 will not have a material impact on the Company’s consolidated financial statements.</w:t>
      </w:r>
    </w:p>
    <w:p>
      <w:pPr>
        <w:spacing w:after="0" w:line="287" w:lineRule="exact"/>
        <w:rPr>
          <w:sz w:val="20"/>
          <w:szCs w:val="20"/>
          <w:color w:val="auto"/>
        </w:rPr>
      </w:pPr>
    </w:p>
    <w:p>
      <w:pPr>
        <w:ind w:right="7880" w:firstLine="8"/>
        <w:spacing w:after="0" w:line="378" w:lineRule="auto"/>
        <w:tabs>
          <w:tab w:leader="none" w:pos="378"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$95.0 million in milestone payments upon achievement of specified regulatory milestone events, and (iii) up to approximately $15.0 million in milestone payments upon the achievement of specified commercial sales milestone. The Japan Agreement also provides for tiered payments based on net sales of product (as defined) in the low 20% range after commercial launch. The aggregate amount of such consideration received through December 31, 2019 totals $90.1 million.</w:t>
      </w:r>
    </w:p>
    <w:p>
      <w:pPr>
        <w:spacing w:after="0" w:line="1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September 2019, Japan’s Ministry of Health, Labour and Welfare approved Evrenzo® (generic name: roxadustat; tradename Evrenzo® in Japan) for the treatment of anemia associated with CKD in dialysis patients. This approval triggered a $12.5 million milestone payable to the Company by Astellas under the Japan Agreement. Accordingly, the consideration of $12.5 million associated with this milestone was included in the transaction price and allocated to performance obligations under the Japan Agreement in the third quarter of 2019, substantially all of which was recognized as revenue during the year ended December 31, 2019 from performance obligations satisfied or partially satisfied.</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second quarter of 2018, Astellas reported positive results from the final phase 3 CKD-dialysis trial of roxadustat in Japan, indicating that Astellas was ready to make an NDA submission for the treatment of anemia with roxadustat in CKD-dialysis patients in 2018. The Company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substantially all of which was recognized as revenue during the year ended December 31, 2018 from performance obligations satisfied or partially satisfied.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3" w:name="page124"/>
    <w:bookmarkEnd w:id="123"/>
    <w:p>
      <w:pPr>
        <w:ind w:right="100"/>
        <w:spacing w:after="0" w:line="270" w:lineRule="auto"/>
        <w:rPr>
          <w:sz w:val="20"/>
          <w:szCs w:val="20"/>
          <w:color w:val="auto"/>
        </w:rPr>
      </w:pPr>
      <w:r>
        <w:rPr>
          <w:rFonts w:ascii="Arial" w:cs="Arial" w:eastAsia="Arial" w:hAnsi="Arial"/>
          <w:sz w:val="17"/>
          <w:szCs w:val="17"/>
          <w:color w:val="auto"/>
        </w:rPr>
        <w:t>On November 30, 2018, FibroGen and Astellas entered into an amendment to the Japan Agreement that will allow Astellas to manufacture roxadustat drug product for commercialization in Japan (the “Japan Amendment”). Under this amendment, FibroGen would continue to manufacture and deliver to Astellas roxadustat API. The commercial terms of the Japan Agreement relating to the transfer price for roxadustat for commercial use remain substantially the same, reflecting an adjustment for the manufacture of drug product by Astellas rather than FibroGen. This amendment obligates Astellas to purchase API from the Company, of which $20.9 million was delivered to Astellas in the second quarter of 2018 under a material transfer agreement to conduct commercial scale manufacturing validation for roxadustat drug product in anticipation of commercial launch in Japan. The remaining $43.9 million of API was delivered to Astellas in December 2018. The transaction price of such API product was adjusted in 2019 at the time the listed price for roxadustat was issued by the Japanese Ministry of Health, Labour and Welfare to reflect a total difference of $36.3 million between estimated and actual listed price and yield from the manufacture of bulk product tablets.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treatment of anemia in Europe, the Middle East, the Commonwealth of Independent States and South Africa (“Europe Agreement”). Under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 Agreement, Astellas paid license fees and other upfront consideration totaling $320.0 million (such amounts were fully received as of February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Europe Agreement also provides for additional development and regulatory approval milestone payments up to $425.0 million, comprised of (i)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million in milestone payments upon achievement of specified clinical and development milestone events (such amounts were fully received as of 2012),</w:t>
      </w:r>
    </w:p>
    <w:p>
      <w:pPr>
        <w:spacing w:after="0" w:line="32" w:lineRule="exact"/>
        <w:rPr>
          <w:sz w:val="20"/>
          <w:szCs w:val="20"/>
          <w:color w:val="auto"/>
        </w:rPr>
      </w:pPr>
    </w:p>
    <w:p>
      <w:pPr>
        <w:ind w:right="20" w:firstLine="8"/>
        <w:spacing w:after="0" w:line="254"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such consideration received through December 31, 2019 totals $410.0 million.</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2019, the Company received positive topline results from analyses of pooled major adverse cardiac event (“MACE”) and MACE+ data from its Phase 3 trials evaluating roxadustat as a treatment for dialysis and non-dialysis CKD patients, enabling Astellas to prepare for an MAA submission to the EMA in the second quarter of 2020, following the Company’s NDA submission to the FDA that was accepted for review in February 2020. The Company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 of which $128.8 million was recognized as revenue during the year ended December 31, 2019 from performance obligations satisfied or partially satisfied. According to the Europe Agreement, these milestone payments are not billable to Astellas until the submission of an MAA, therefore this $130.0 million remained as an unbilled contract asset as of December 31, 2019.</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fourth quarter of 2018, the Company’s was engaged in the final stages of review with its partners over the proposed development of roxadustat for the treatment of chemotherapy induced anemia (“CIA”). AstraZeneca and Astellas approved the program in December 2018 and January 2019, respectively. Costs associated with the development of this indication are expected to be shared 50-50 between the Company’s two partners.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treatment of anemia in the U.S. and all other countries in the world, other than China, not previously licensed under the Astellas Europe and Astellas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Japan Agreements (“U.S./RoW Agreement”). It also excludes China, which is covered by a separate agreement with AstraZeneca described below.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of the U.S./RoW Agreement, AstraZeneca paid upfront, non-contingent, non-refundable and time-based payments totaling $374.0 million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were fully received as of June 2016). Under the U.S./RoW Agreement, the Company is also eligible to receive from AstraZeneca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$875.0 million in potential milestone payments, comprised of (i) up to $65.0 million in milestone payments upon achievement of specified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and development milestone events, $15.0 million of which was received in 2015 as a result of the finalization of its two audited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carcinogenicity study reports, (ii) up to $325.0 million in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milestone payments related to activity by potential competitors and (iv) up to approximately $325.0 million in milestone payments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commercial sales events. The aggregate amount of such consideration received through December 31, 2019 totals $389.0 million.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spacing w:after="0" w:line="255" w:lineRule="auto"/>
        <w:rPr>
          <w:sz w:val="20"/>
          <w:szCs w:val="20"/>
          <w:color w:val="auto"/>
        </w:rPr>
      </w:pPr>
      <w:r>
        <w:rPr>
          <w:rFonts w:ascii="Arial" w:cs="Arial" w:eastAsia="Arial" w:hAnsi="Arial"/>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which was reached in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Company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the year ended December 31, 2019 from performance obligations satisfied or partially satisfied. On December 23, 2019, the Company submitted such NDA, which was accepted by FDA in February 2020. According to the U.S/RoW Agreement, this milestone payment is not billable to AstraZeneca until the NDA is accepted by the FDA, therefore this $50.0 million remained as an unbilled contract asset as of December 31, 2019, and will be billed during the first quarter of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 The aggregate amount of such consideration received through December 31, 2019 totals $55.2 million.</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2019, roxadustat has been included on the updated NRDL released by China’s NHSA for the treatment of anemia in CKD, covering patients who are non-dialysis dependent as well as those who are dialysis-dependent. The inclusion on the NRDL triggered a total of $22.0 million milestones payable to the Company by AstraZeneca. Accordingly, the total consideration of $22.0 million associated with these milestones was included in the transaction price and allocated to performance obligations under the China Agreement, of which $18.7 million was recognized as revenue during the year ended December 31, 2019 from performance obligations satisfied or partially satisfied.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mentioned above, in the fourth quarter of 2018, the Company was engaged in the final stages of review with its partners over the proposed development of roxadustat for the treatment of CIA. AstraZeneca and Astellas approved the program in December 2018 and January 2019, respectively. Costs associated with the development of this indication are expected to be shared 50-50 between the Company’s two partners. In addition to CIA, in December 2018, anemia of chronic inflammation (“ACI”) and multiple myeloma (“MM”) have been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17, 2018, FibroGen (China) Medical Technology Development Co., Ltd. (“FibroGen China”), received marketing authorization from the NMPA for roxadustat, a first-in-class hypoxia-inducible factor prolyl hydroxylase inhibitor, for the treatment of anemia caused by CKD in patients on dialysis. This approval triggered a $6.0 million milestone payable to the Company by AstraZeneca. On December 29, 2018, FibroGen China received First Manufacturing Approval for a Product in the Field in the Territory , which allows production for Phase 4 clinical studies, patients’ early experience programs, donation programs, as well as to supply products for testing and assessments required prior to launch. This approval triggered a $6.0 million milestone payable to the Company by AstraZeneca. Approximately $9.9 million of the total $12.0 million milestone payables was recognized as revenue during the year ended December 31, 2018 from performance obligations satisfied or partially satisfied.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31, 2019, the transaction price for the Japan Agreement included $40.1 million of non-contingent upfront payments, $50.0 million of variable consideration related to payments for milestones considered probable of being achieved, and $11.4 million of variable consideration related to co-development billings. The transaction price for the Europe Agreement included $320.0 million of non-contingent upfront payments, $220.0 million of variable consideration related to payments for milestones considered probable of being achieved, and $229.2 million of variable consideration related to co-development billings.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88"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hanging="472"/>
        <w:spacing w:after="0" w:line="269" w:lineRule="auto"/>
        <w:tabs>
          <w:tab w:leader="none" w:pos="48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82" w:lineRule="exact"/>
        <w:rPr>
          <w:rFonts w:ascii="Arial" w:cs="Arial" w:eastAsia="Arial" w:hAnsi="Arial"/>
          <w:sz w:val="17"/>
          <w:szCs w:val="17"/>
          <w:i w:val="1"/>
          <w:iCs w:val="1"/>
          <w:color w:val="auto"/>
        </w:rPr>
      </w:pPr>
    </w:p>
    <w:p>
      <w:pPr>
        <w:ind w:left="480" w:right="60"/>
        <w:spacing w:after="0" w:line="293" w:lineRule="auto"/>
        <w:rPr>
          <w:rFonts w:ascii="Arial" w:cs="Arial" w:eastAsia="Arial" w:hAnsi="Arial"/>
          <w:sz w:val="17"/>
          <w:szCs w:val="17"/>
          <w:i w:val="1"/>
          <w:iCs w:val="1"/>
          <w:color w:val="auto"/>
        </w:rPr>
      </w:pPr>
      <w:r>
        <w:rPr>
          <w:rFonts w:ascii="Arial" w:cs="Arial" w:eastAsia="Arial" w:hAnsi="Arial"/>
          <w:sz w:val="16"/>
          <w:szCs w:val="16"/>
          <w:i w:val="1"/>
          <w:iCs w:val="1"/>
          <w:color w:val="auto"/>
        </w:rPr>
        <w:t xml:space="preserve">Manufacturing rights. </w:t>
      </w:r>
      <w:r>
        <w:rPr>
          <w:rFonts w:ascii="Arial" w:cs="Arial" w:eastAsia="Arial" w:hAnsi="Arial"/>
          <w:sz w:val="16"/>
          <w:szCs w:val="16"/>
          <w:color w:val="auto"/>
        </w:rPr>
        <w:t>In the case of the Japan Agreement, the Company retained manufacturing rights largely because of the way the parties chose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6" w:name="page127"/>
    <w:bookmarkEnd w:id="126"/>
    <w:p>
      <w:pPr>
        <w:ind w:left="472" w:right="520"/>
        <w:spacing w:after="0" w:line="342" w:lineRule="auto"/>
        <w:rPr>
          <w:sz w:val="20"/>
          <w:szCs w:val="20"/>
          <w:color w:val="auto"/>
        </w:rPr>
      </w:pPr>
      <w:r>
        <w:rPr>
          <w:rFonts w:ascii="Arial" w:cs="Arial" w:eastAsia="Arial" w:hAnsi="Arial"/>
          <w:sz w:val="16"/>
          <w:szCs w:val="16"/>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24" w:lineRule="exact"/>
        <w:rPr>
          <w:sz w:val="20"/>
          <w:szCs w:val="20"/>
          <w:color w:val="auto"/>
        </w:rPr>
      </w:pPr>
    </w:p>
    <w:p>
      <w:pPr>
        <w:ind w:left="452" w:right="60" w:hanging="452"/>
        <w:spacing w:after="0" w:line="288" w:lineRule="auto"/>
        <w:tabs>
          <w:tab w:leader="none" w:pos="452"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(Europe Agreement). </w:t>
      </w:r>
      <w:r>
        <w:rPr>
          <w:rFonts w:ascii="Arial" w:cs="Arial" w:eastAsia="Arial" w:hAnsi="Arial"/>
          <w:sz w:val="16"/>
          <w:szCs w:val="16"/>
          <w:color w:val="auto"/>
        </w:rPr>
        <w:t>This promise relates to co-development services that were reasonably expected to be performed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that is currently estimated to continue through the end of 2019. In addition, the Company concluded that the new indication related to CIA approved in January 2019 represents a modification to the Europe agreements at that time and will be accounted for separately, for which the development service period is estimated to continue through the end of 2023. There was no provision for co-development services in the Japan Agreement.</w:t>
      </w:r>
    </w:p>
    <w:p>
      <w:pPr>
        <w:spacing w:after="0" w:line="169" w:lineRule="exact"/>
        <w:rPr>
          <w:rFonts w:ascii="Arial" w:cs="Arial" w:eastAsia="Arial" w:hAnsi="Arial"/>
          <w:sz w:val="16"/>
          <w:szCs w:val="16"/>
          <w:i w:val="1"/>
          <w:iCs w:val="1"/>
          <w:color w:val="auto"/>
        </w:rPr>
      </w:pPr>
    </w:p>
    <w:p>
      <w:pPr>
        <w:ind w:left="472" w:right="500" w:hanging="472"/>
        <w:spacing w:after="0" w:line="277" w:lineRule="auto"/>
        <w:tabs>
          <w:tab w:leader="none" w:pos="472"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170" w:lineRule="exact"/>
        <w:rPr>
          <w:rFonts w:ascii="Arial" w:cs="Arial" w:eastAsia="Arial" w:hAnsi="Arial"/>
          <w:sz w:val="18"/>
          <w:szCs w:val="18"/>
          <w:i w:val="1"/>
          <w:iCs w:val="1"/>
          <w:color w:val="auto"/>
        </w:rPr>
      </w:pPr>
    </w:p>
    <w:p>
      <w:pPr>
        <w:ind w:left="472" w:right="40" w:hanging="472"/>
        <w:spacing w:after="0" w:line="277" w:lineRule="auto"/>
        <w:tabs>
          <w:tab w:leader="none" w:pos="472"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72" w:hanging="472"/>
        <w:spacing w:after="0"/>
        <w:tabs>
          <w:tab w:leader="none" w:pos="472"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5" w:lineRule="exact"/>
        <w:rPr>
          <w:rFonts w:ascii="Arial" w:cs="Arial" w:eastAsia="Arial" w:hAnsi="Arial"/>
          <w:sz w:val="18"/>
          <w:szCs w:val="18"/>
          <w:i w:val="1"/>
          <w:iCs w:val="1"/>
          <w:color w:val="auto"/>
        </w:rPr>
      </w:pPr>
    </w:p>
    <w:p>
      <w:pPr>
        <w:ind w:left="472" w:right="120" w:firstLine="4"/>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Items (3)-(5) are bundled into a single performance obligation which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2" w:lineRule="exact"/>
        <w:rPr>
          <w:rFonts w:ascii="Arial" w:cs="Arial" w:eastAsia="Arial" w:hAnsi="Arial"/>
          <w:sz w:val="18"/>
          <w:szCs w:val="18"/>
          <w:i w:val="1"/>
          <w:iCs w:val="1"/>
          <w:color w:val="auto"/>
        </w:rPr>
      </w:pPr>
    </w:p>
    <w:p>
      <w:pPr>
        <w:ind w:left="472" w:right="40" w:hanging="472"/>
        <w:spacing w:after="0" w:line="259" w:lineRule="auto"/>
        <w:tabs>
          <w:tab w:leader="none" w:pos="472"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To date, no such revenue has been recognized.</w:t>
      </w:r>
    </w:p>
    <w:p>
      <w:pPr>
        <w:spacing w:after="0" w:line="186" w:lineRule="exact"/>
        <w:rPr>
          <w:rFonts w:ascii="Arial" w:cs="Arial" w:eastAsia="Arial" w:hAnsi="Arial"/>
          <w:sz w:val="18"/>
          <w:szCs w:val="18"/>
          <w:i w:val="1"/>
          <w:iCs w:val="1"/>
          <w:color w:val="auto"/>
        </w:rPr>
      </w:pPr>
    </w:p>
    <w:p>
      <w:pPr>
        <w:ind w:left="472"/>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2018, the Company recorded revenue from commercial-grade API sales to Astellas to conduct commercial scale manufacturing validation based on a transaction price that was subject to potential future adjustments. This represents a form of variable consideration. The Company evaluated the latest available facts and circumstances in 2018, including listed prices of comparable drug products in Japan and historical bulk drug product manufacturing yields and costs, to determine whether any adjustments to the estimated transaction price was necessary. As of December 31, 2018, no new facts or circumstances were available to warrant an adjustment to the transaction price. The transaction price was later adjusted in 2019 at the time the listed price for roxadustat was issued by the Japanese Ministry of Health, Labour and Welfare to reflect the difference between estimated and actual listed price and yield from the manufacture of bulk product tablets.</w:t>
      </w:r>
    </w:p>
    <w:p>
      <w:pPr>
        <w:spacing w:after="0" w:line="17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52"/>
          </w:cols>
          <w:pgMar w:left="248" w:top="557" w:right="2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evaluated whether the U.S./RoW Agreement and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39" w:lineRule="exact"/>
        <w:rPr>
          <w:sz w:val="20"/>
          <w:szCs w:val="20"/>
          <w:color w:val="auto"/>
        </w:rPr>
      </w:pPr>
    </w:p>
    <w:p>
      <w:pPr>
        <w:ind w:left="380" w:right="920" w:hanging="372"/>
        <w:spacing w:after="0" w:line="27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0" w:lineRule="exact"/>
        <w:rPr>
          <w:rFonts w:ascii="Arial" w:cs="Arial" w:eastAsia="Arial" w:hAnsi="Arial"/>
          <w:sz w:val="18"/>
          <w:szCs w:val="18"/>
          <w:color w:val="auto"/>
        </w:rPr>
      </w:pPr>
    </w:p>
    <w:p>
      <w:pPr>
        <w:ind w:left="380" w:right="14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1" w:lineRule="exact"/>
        <w:rPr>
          <w:rFonts w:ascii="Arial" w:cs="Arial" w:eastAsia="Arial" w:hAnsi="Arial"/>
          <w:sz w:val="18"/>
          <w:szCs w:val="18"/>
          <w:color w:val="auto"/>
        </w:rPr>
      </w:pPr>
    </w:p>
    <w:p>
      <w:pPr>
        <w:ind w:left="380" w:right="4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China Agreement based on their relative SSPs.</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2019, the transaction price for the U.S./RoW Agreement and China Agreement included $402.2 million of non-contingent upfront payments, $114.0 million of variable consideration related to payments for milestones considered probable of being achieved, and $598.8 million of variable consideration related to co-development billings.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AstraZeneca agreements, the Company allocated the transaction price to the various performance obligations based on the relative SSP of each performance obligation, with the exception of co-development billings. Co-development billings under the U.S./RoW Agreement were allocated entirely to the U.S./RoW co-development services performance obligation, and co-development billings under the China Agreement were allocated entirely to the combined performance obligation under the China Agreement.</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right="80" w:hanging="472"/>
        <w:spacing w:after="0" w:line="271" w:lineRule="auto"/>
        <w:tabs>
          <w:tab w:leader="none" w:pos="4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the U.S./RoW Agreement, the license was delivered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78" w:lineRule="exact"/>
        <w:rPr>
          <w:rFonts w:ascii="Arial" w:cs="Arial" w:eastAsia="Arial" w:hAnsi="Arial"/>
          <w:sz w:val="17"/>
          <w:szCs w:val="17"/>
          <w:i w:val="1"/>
          <w:iCs w:val="1"/>
          <w:color w:val="auto"/>
        </w:rPr>
      </w:pPr>
    </w:p>
    <w:p>
      <w:pPr>
        <w:ind w:left="480" w:right="80" w:hanging="472"/>
        <w:spacing w:after="0" w:line="270" w:lineRule="auto"/>
        <w:tabs>
          <w:tab w:leader="none" w:pos="4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Co-development services. </w:t>
      </w:r>
      <w:r>
        <w:rPr>
          <w:rFonts w:ascii="Arial" w:cs="Arial" w:eastAsia="Arial" w:hAnsi="Arial"/>
          <w:sz w:val="17"/>
          <w:szCs w:val="17"/>
          <w:color w:val="auto"/>
        </w:rPr>
        <w:t>This promise relates to co-development services that were reasonably expected to be performed by the Company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that is currently estimated to continue through the end of 2020. In addition, the Company concluded that the addition of the new indications related to CIA, ACI and MM approved during the fourth quarter of 2018 represents a modification to the collaboration agreements and will be accounted for separately, for which the joint development service period is estimated to continue through the end of 2024.</w:t>
      </w:r>
    </w:p>
    <w:p>
      <w:pPr>
        <w:spacing w:after="0" w:line="177" w:lineRule="exact"/>
        <w:rPr>
          <w:rFonts w:ascii="Arial" w:cs="Arial" w:eastAsia="Arial" w:hAnsi="Arial"/>
          <w:sz w:val="17"/>
          <w:szCs w:val="17"/>
          <w:i w:val="1"/>
          <w:iCs w:val="1"/>
          <w:color w:val="auto"/>
        </w:rPr>
      </w:pPr>
    </w:p>
    <w:p>
      <w:pPr>
        <w:ind w:left="480" w:right="100" w:hanging="472"/>
        <w:spacing w:after="0" w:line="277" w:lineRule="auto"/>
        <w:tabs>
          <w:tab w:leader="none" w:pos="4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80" w:hanging="472"/>
        <w:spacing w:after="0"/>
        <w:tabs>
          <w:tab w:leader="none" w:pos="480"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6" w:lineRule="exact"/>
        <w:rPr>
          <w:rFonts w:ascii="Arial" w:cs="Arial" w:eastAsia="Arial" w:hAnsi="Arial"/>
          <w:sz w:val="17"/>
          <w:szCs w:val="17"/>
          <w:i w:val="1"/>
          <w:iCs w:val="1"/>
          <w:color w:val="auto"/>
        </w:rPr>
      </w:pPr>
    </w:p>
    <w:p>
      <w:pPr>
        <w:ind w:left="480" w:right="180"/>
        <w:spacing w:after="0" w:line="276" w:lineRule="auto"/>
        <w:rPr>
          <w:rFonts w:ascii="Arial" w:cs="Arial" w:eastAsia="Arial" w:hAnsi="Arial"/>
          <w:sz w:val="17"/>
          <w:szCs w:val="17"/>
          <w:i w:val="1"/>
          <w:iCs w:val="1"/>
          <w:color w:val="auto"/>
        </w:rPr>
      </w:pPr>
      <w:r>
        <w:rPr>
          <w:rFonts w:ascii="Arial" w:cs="Arial" w:eastAsia="Arial" w:hAnsi="Arial"/>
          <w:sz w:val="17"/>
          <w:szCs w:val="17"/>
          <w:color w:val="auto"/>
        </w:rPr>
        <w:t>Items (3)-(4) are bundled into a single performance obligation which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2" w:lineRule="exact"/>
        <w:rPr>
          <w:rFonts w:ascii="Arial" w:cs="Arial" w:eastAsia="Arial" w:hAnsi="Arial"/>
          <w:sz w:val="17"/>
          <w:szCs w:val="17"/>
          <w:i w:val="1"/>
          <w:iCs w:val="1"/>
          <w:color w:val="auto"/>
        </w:rPr>
      </w:pPr>
    </w:p>
    <w:p>
      <w:pPr>
        <w:ind w:left="480" w:right="60" w:hanging="472"/>
        <w:spacing w:after="0" w:line="259" w:lineRule="auto"/>
        <w:tabs>
          <w:tab w:leader="none" w:pos="4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 is distinct as services are not interrelated with any of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received for commercial supplies of products represent sales-based royalties related predominately to the license of intellectual property under the agreement. Revenue is recognized as supplies are shipped for commercial use during the commercialization period. To date, no such revenue has been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obligation that were analyzed, along with their general timing of satisfaction and recognition as revenue, are as follows:</w:t>
      </w:r>
    </w:p>
    <w:p>
      <w:pPr>
        <w:spacing w:after="0" w:line="117" w:lineRule="exact"/>
        <w:rPr>
          <w:sz w:val="20"/>
          <w:szCs w:val="20"/>
          <w:color w:val="auto"/>
        </w:rPr>
      </w:pPr>
    </w:p>
    <w:p>
      <w:pPr>
        <w:ind w:left="520" w:hanging="512"/>
        <w:spacing w:after="0" w:line="273"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 </w:t>
      </w:r>
      <w:r>
        <w:rPr>
          <w:rFonts w:ascii="Arial" w:cs="Arial" w:eastAsia="Arial" w:hAnsi="Arial"/>
          <w:sz w:val="17"/>
          <w:szCs w:val="17"/>
          <w:color w:val="auto"/>
        </w:rPr>
        <w:t>The license was delivered at the beginning of the agreement term.</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9" w:name="page130"/>
    <w:bookmarkEnd w:id="129"/>
    <w:p>
      <w:pPr>
        <w:ind w:right="140"/>
        <w:spacing w:after="0" w:line="253" w:lineRule="auto"/>
        <w:rPr>
          <w:sz w:val="20"/>
          <w:szCs w:val="20"/>
          <w:color w:val="auto"/>
        </w:rPr>
      </w:pPr>
      <w:r>
        <w:rPr>
          <w:rFonts w:ascii="Arial" w:cs="Arial" w:eastAsia="Arial" w:hAnsi="Arial"/>
          <w:sz w:val="18"/>
          <w:szCs w:val="18"/>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Due to certain regulatory restrictions in China, manufacturing services of commercial drug product in China are not readily available to AstraZeneca or any other parties. Therefore, AstraZeneca cannot benefit from the license on its own or together with other readily available resources. Accordingly, all the promises identified, including co-development services, under the China Agreement have been bundled into a single performance obligation and amounts of the transaction price allocable to this performance obligation are deferred until control of the manufactured commercial drug product has begun to transfer to AstraZeneca. Upon commencement of the transfer of control to commercial drug product, revenue would be recognized in a pattern consistent with estimated deliveries of the commercial drug product.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table below summarizes the accounting treatment for the various performance obligations pursuant to each of the Astellas and AstraZeneca agreements. License amounts identified below are included in the “License revenue” line item in the consolidated statements of operations. All other elements identified below are included in the “Development and other revenue” line item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with Astellas were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vMerge w:val="continue"/>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11,935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100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1,222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20"/>
                <w:szCs w:val="20"/>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101,154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revenue recognized under the Japan Agreement for the year ended December 31, 2019 included an increase of $12.1 million resulting from changes to estimated variable consideration in the current year relating to performance obligations satisfied or partially satisfied in previous periods. The remainder of the transaction price related to the Japan Agreement includes no further variable consideration from estimated future co-development billing.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with Astellas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Agreement</w:t>
            </w:r>
          </w:p>
        </w:tc>
        <w:tc>
          <w:tcPr>
            <w:tcW w:w="3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00" w:type="dxa"/>
            <w:vAlign w:val="bottom"/>
            <w:gridSpan w:val="2"/>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117,470</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06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28,172</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18,503</w:t>
            </w:r>
          </w:p>
        </w:tc>
        <w:tc>
          <w:tcPr>
            <w:tcW w:w="160" w:type="dxa"/>
            <w:vAlign w:val="bottom"/>
          </w:tcPr>
          <w:p>
            <w:pPr>
              <w:spacing w:after="0"/>
              <w:rPr>
                <w:sz w:val="20"/>
                <w:szCs w:val="20"/>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60" w:type="dxa"/>
            <w:vAlign w:val="bottom"/>
            <w:gridSpan w:val="2"/>
          </w:tcPr>
          <w:p>
            <w:pPr>
              <w:jc w:val="right"/>
              <w:ind w:right="687"/>
              <w:spacing w:after="0"/>
              <w:rPr>
                <w:sz w:val="20"/>
                <w:szCs w:val="20"/>
                <w:color w:val="auto"/>
              </w:rPr>
            </w:pPr>
            <w:r>
              <w:rPr>
                <w:rFonts w:ascii="Arial" w:cs="Arial" w:eastAsia="Arial" w:hAnsi="Arial"/>
                <w:sz w:val="18"/>
                <w:szCs w:val="18"/>
                <w:color w:val="auto"/>
                <w:w w:val="93"/>
              </w:rPr>
              <w:t>129</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with Astellas, along with any associated deferred revenue as follows (in thousands):</w:t>
      </w:r>
    </w:p>
    <w:tbl>
      <w:tblPr>
        <w:tblLayout w:type="fixed"/>
        <w:tblInd w:w="0" w:type="dxa"/>
        <w:tblCellMar>
          <w:top w:w="0" w:type="dxa"/>
          <w:left w:w="0" w:type="dxa"/>
          <w:bottom w:w="0" w:type="dxa"/>
          <w:right w:w="0" w:type="dxa"/>
        </w:tblCellMar>
      </w:tblPr>
      <w:tr>
        <w:trPr>
          <w:trHeight w:val="148"/>
        </w:trPr>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Europe Agreement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231,008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718,959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00" w:right="140" w:hanging="292"/>
        <w:spacing w:after="0" w:line="312" w:lineRule="auto"/>
        <w:tabs>
          <w:tab w:leader="none" w:pos="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condensed consolidated balance sheets. As of December 31, 2019, prepaid expenses and other current assets included a net unbilled contract asset of $125.2 million related to the Europe Agreement, which represents the net of the above-mentioned unbilled contract asset of $130.0 million, and $4.8 million of deferred revenue presented above.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revenue recognized under the Europe Agreement for the year ended December 31, 2019 included an increase in revenue of $124.7 million resulting from changes to estimated variable consideration in the current year relating to performance obligations satisfied or partially satisfied in previous periods. The remainder of the transaction price related to the Europe Agreement includes $45.4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and China Agreements with AstraZeneca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47,681</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84,629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China performance obligation</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0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493,266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8,452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501,718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835,200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149,324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984,524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right="40" w:hanging="372"/>
        <w:spacing w:after="0" w:line="286"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Contract assets and liabilities related to rights and obligations in the same contract are recorded net on the condensed consolidated balance sheets. As of December 31, 2019, long-term deferred revenue included $99.3 million related to the U.S./RoW and China Agreement, which represents the net of $149.3 million of deferred revenue presented above and the above-mentioned $50.0 million unbilled contract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9690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The revenue recognized under the U.S./RoW Agreement and China Agreement for the year ended December 31, 2019 included an increase in revenue of</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$62.6 million resulting from changes to estimated variable consideration in the current year relating to performance obligations satisfied or partially satisfied in previous periods. The remainder of the transaction price related to the U.S./RoW Agreement and China Agreement includes $130.4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93"/>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gridSpan w:val="4"/>
          </w:tcPr>
          <w:p>
            <w:pPr>
              <w:jc w:val="right"/>
              <w:ind w:right="105"/>
              <w:spacing w:after="0" w:line="155"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API product</w:t>
            </w:r>
          </w:p>
        </w:tc>
        <w:tc>
          <w:tcPr>
            <w:tcW w:w="2340" w:type="dxa"/>
            <w:vAlign w:val="bottom"/>
            <w:gridSpan w:val="2"/>
          </w:tcPr>
          <w:p>
            <w:pPr>
              <w:jc w:val="right"/>
              <w:ind w:right="87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(36,324)</w:t>
            </w:r>
          </w:p>
        </w:tc>
        <w:tc>
          <w:tcPr>
            <w:tcW w:w="720" w:type="dxa"/>
            <w:vAlign w:val="bottom"/>
            <w:gridSpan w:val="2"/>
          </w:tcPr>
          <w:p>
            <w:pPr>
              <w:jc w:val="right"/>
              <w:ind w:right="54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64,776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Drug product</w:t>
            </w:r>
          </w:p>
        </w:tc>
        <w:tc>
          <w:tcPr>
            <w:tcW w:w="1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Gross revenue</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Price adjustment</w:t>
            </w:r>
          </w:p>
        </w:tc>
        <w:tc>
          <w:tcPr>
            <w:tcW w:w="1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Sales rebates and other discounts</w:t>
            </w: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 net</w:t>
            </w:r>
          </w:p>
        </w:tc>
        <w:tc>
          <w:tcPr>
            <w:tcW w:w="1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Total product revenue, net</w:t>
            </w:r>
          </w:p>
        </w:tc>
        <w:tc>
          <w:tcPr>
            <w:tcW w:w="1280" w:type="dxa"/>
            <w:vAlign w:val="bottom"/>
          </w:tcPr>
          <w:p>
            <w:pPr>
              <w:spacing w:after="0"/>
              <w:rPr>
                <w:sz w:val="19"/>
                <w:szCs w:val="19"/>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above, the Japan Amendment obligates Astellas to purchase API from the Company to conduct commercial scale manufacturing validation for roxadustat drug product in anticipation of commercial launch in Japan. The Company fulfilled all the delivery obligations under the term of the Japan Amendment during the year ended December 31, 2018, and recognized the related product revenue of $64.8 million in the same period based on a transaction price that was subject to potential future adjustments, which represented a form of variable consideration. A change in estimated variable consideration incurred in 2019 at the time the actual listed price for roxadustat was issued by the Japanese Ministry of Health, Labour and Welfare, which resulted in a total difference of $36.3 million between the estimated and the actual listed price and yield from the manufacture of bulk product tablets.</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the Company started commercial sales of roxadustat drug product in China in the third quarter of 2019. Drug product revenue is recognized in an amount that reflects the consideration to which the Company expects to be entitled in exchange for those products, net of price adjustment, contractual sales rebate and other discounts. For the year ended December 31, 2019, a $0.9 million of price adjustment was recorded based on government-listed price guidance and estimated channel inventory levels. The contractual sales rebate and other discounts were immaterial for the year ended December 31,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each of the three years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Deferred revenue includes amounts allocated to the China unit of accounting under the AstraZeneca arrangement as revenue recognition associated with this unit of accounting is tied to the commercial launch of the products within China. As of December 31, 2018, such deferred revenue was included in long-term deferred revenue. As of December 31, 2019, following receipt of the Chinese Good Manufacturing Practices license by FibroGen Beijing in the second quarter of 2019, approximately $0.8 million of the related deferred revenue was included in short-term deferred revenue, which represents the amount of deferred revenue associated with the China unit of accounting that is expected to be recognized within the next 12 months, as a result of the transfer of control of commercial drug product in China.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32" w:name="page133"/>
    <w:bookmarkEnd w:id="132"/>
    <w:p>
      <w:pPr>
        <w:ind w:left="380" w:hanging="372"/>
        <w:spacing w:after="0"/>
        <w:tabs>
          <w:tab w:leader="none" w:pos="3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The availability of observable data is monitored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Bond and mutual funds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444,005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spacing w:after="0"/>
              <w:rPr>
                <w:sz w:val="20"/>
                <w:szCs w:val="20"/>
                <w:color w:val="auto"/>
              </w:rPr>
            </w:pPr>
            <w:r>
              <w:rPr>
                <w:rFonts w:ascii="Arial" w:cs="Arial" w:eastAsia="Arial" w:hAnsi="Arial"/>
                <w:sz w:val="18"/>
                <w:szCs w:val="18"/>
                <w:color w:val="auto"/>
              </w:rPr>
              <w:t>US treasury notes and bills</w:t>
            </w:r>
          </w:p>
        </w:tc>
        <w:tc>
          <w:tcPr>
            <w:tcW w:w="1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292,317</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224,953</w:t>
            </w:r>
          </w:p>
        </w:tc>
        <w:tc>
          <w:tcPr>
            <w:tcW w:w="240" w:type="dxa"/>
            <w:vAlign w:val="bottom"/>
          </w:tcPr>
          <w:p>
            <w:pPr>
              <w:spacing w:after="0"/>
              <w:rPr>
                <w:sz w:val="19"/>
                <w:szCs w:val="19"/>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517,270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Term deposit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334,863</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fourth quarter of 2019, there was a $29.8 million transfer of assets from Level 1 to Level 2 as such US treasury notes and bills were changed to off-the-run when they were issued before the most recent issue and were still outstanding at measurement day. There were no transfers of assets between levels for the years ended December 31, 2018 and 2017.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9"/>
                <w:szCs w:val="19"/>
                <w:color w:val="auto"/>
              </w:rPr>
            </w:pPr>
          </w:p>
        </w:tc>
      </w:tr>
      <w:tr>
        <w:trPr>
          <w:trHeight w:val="392"/>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As of December 31, 2018, the Company had $96.2 million in lease obligations related to its building leases under build-to-suit arrangements. Upon the adoption of ASC 842 as of January 1, 2019, using the modified retrospective transition method, the Company derecognized these liabilities previously recognized under ASC 840 build-to-suit designation. Refer to Note 2 for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liabilities between levels for the years ended December 31, 2019, 2018 and 2017.</w:t>
      </w:r>
    </w:p>
    <w:p>
      <w:pPr>
        <w:spacing w:after="0" w:line="329"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two building leases treated as finance leases.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2006, the Company entered into a long-term property lease with Alexandria for its corporate headquarters in San Francisco, California, with an initial term of 15 years, scheduled to expire in 2023. The Company has an option to extend the lease for an additional 10 years through 2033. The lease contract provides for a fixed annual rent, with scheduled increases of two percent that occur on each anniversary of the rent commencement date. This lease requires the Company to pay all costs of ownership, operation, and maintenance of the premises, including without limitation all operating costs, insurance costs, and taxes.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2013, the Company entered into a long-term property lease with Beijing Economic-Technological Development Area (“BDA”) Management Committee for a pilot plant located in Beijing Yizhuang Biomedical Park (“BYBP”) of BDA. The building is leased for an initial lease term of eight years, scheduled to expire in 2021. Renewal options are not specified within the lease contract. The lease contract provides for fixed quarterly rent payments, with scheduled increases that occur as detailed in the lease contract. This lease requires the Company to pay all operating and maintenance costs, and a fixed amount for property management fees.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currently has seven additional real estate leases for space within a building, which are treated as operating leases. These leases have lease terms ranging from two to four years. These lease contracts provide for fixed quarterly rent payments, and require the Company to pay operating and maintenance costs, and a fixed amount for property management fees.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the Company has several immaterial lease arrangements for office equipment, scientific devices and automobile leases, with contracted lease terms ranging from two to five years, treated as finance leases or operating leases,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4" w:name="page135"/>
    <w:bookmarkEnd w:id="134"/>
    <w:p>
      <w:pPr>
        <w:ind w:left="40"/>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Sheet Line Item</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center"/>
              <w:ind w:left="754"/>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49,909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(10,307)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Finance lease right-of-use assets, net</w:t>
            </w:r>
          </w:p>
        </w:tc>
        <w:tc>
          <w:tcPr>
            <w:tcW w:w="120" w:type="dxa"/>
            <w:vAlign w:val="bottom"/>
            <w:tcBorders>
              <w:top w:val="single" w:sz="8" w:color="CFF0FC"/>
            </w:tcBorders>
            <w:shd w:val="clear" w:color="auto" w:fill="CFF0FC"/>
          </w:tcPr>
          <w:p>
            <w:pPr>
              <w:spacing w:after="0"/>
              <w:rPr>
                <w:sz w:val="19"/>
                <w:szCs w:val="19"/>
                <w:color w:val="auto"/>
              </w:rPr>
            </w:pPr>
          </w:p>
        </w:tc>
        <w:tc>
          <w:tcPr>
            <w:tcW w:w="3500" w:type="dxa"/>
            <w:vAlign w:val="bottom"/>
            <w:tcBorders>
              <w:top w:val="single" w:sz="8" w:color="CFF0FC"/>
            </w:tcBorders>
            <w:gridSpan w:val="3"/>
            <w:shd w:val="clear" w:color="auto" w:fill="CFF0FC"/>
          </w:tcPr>
          <w:p>
            <w:pPr>
              <w:ind w:left="80"/>
              <w:spacing w:after="0"/>
              <w:rPr>
                <w:sz w:val="20"/>
                <w:szCs w:val="20"/>
                <w:color w:val="auto"/>
              </w:rPr>
            </w:pPr>
            <w:r>
              <w:rPr>
                <w:rFonts w:ascii="Arial" w:cs="Arial" w:eastAsia="Arial" w:hAnsi="Arial"/>
                <w:sz w:val="18"/>
                <w:szCs w:val="18"/>
                <w:color w:val="auto"/>
              </w:rPr>
              <w:t>Finance lease right-of-use assets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39,602</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(805)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Borders>
              <w:top w:val="single" w:sz="8" w:color="CFF0FC"/>
            </w:tcBorders>
            <w:shd w:val="clear" w:color="auto" w:fill="CFF0FC"/>
          </w:tcPr>
          <w:p>
            <w:pPr>
              <w:spacing w:after="0"/>
              <w:rPr>
                <w:sz w:val="19"/>
                <w:szCs w:val="19"/>
                <w:color w:val="auto"/>
              </w:rPr>
            </w:pPr>
          </w:p>
        </w:tc>
        <w:tc>
          <w:tcPr>
            <w:tcW w:w="3500" w:type="dxa"/>
            <w:vAlign w:val="bottom"/>
            <w:tcBorders>
              <w:top w:val="single" w:sz="8" w:color="CFF0FC"/>
            </w:tcBorders>
            <w:gridSpan w:val="3"/>
            <w:shd w:val="clear" w:color="auto" w:fill="CFF0FC"/>
          </w:tcPr>
          <w:p>
            <w:pPr>
              <w:ind w:left="8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1,931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3720" w:type="dxa"/>
            <w:vAlign w:val="bottom"/>
            <w:tcBorders>
              <w:bottom w:val="single" w:sz="8" w:color="CFF0FC"/>
            </w:tcBorders>
          </w:tcPr>
          <w:p>
            <w:pPr>
              <w:jc w:val="right"/>
              <w:ind w:right="2350"/>
              <w:spacing w:after="0"/>
              <w:rPr>
                <w:sz w:val="20"/>
                <w:szCs w:val="20"/>
                <w:color w:val="auto"/>
              </w:rPr>
            </w:pPr>
            <w:r>
              <w:rPr>
                <w:rFonts w:ascii="Arial" w:cs="Arial" w:eastAsia="Arial" w:hAnsi="Arial"/>
                <w:sz w:val="18"/>
                <w:szCs w:val="18"/>
                <w:color w:val="auto"/>
                <w:w w:val="86"/>
              </w:rPr>
              <w:t>Total lease assets</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1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center"/>
              <w:ind w:right="1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41,533</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Finance lease liabilities</w:t>
            </w:r>
          </w:p>
        </w:tc>
        <w:tc>
          <w:tcPr>
            <w:tcW w:w="120" w:type="dxa"/>
            <w:vAlign w:val="bottom"/>
          </w:tcPr>
          <w:p>
            <w:pPr>
              <w:spacing w:after="0"/>
              <w:rPr>
                <w:sz w:val="19"/>
                <w:szCs w:val="19"/>
                <w:color w:val="auto"/>
              </w:rPr>
            </w:pP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Finance lease liabilities, current</w:t>
            </w:r>
          </w:p>
        </w:tc>
        <w:tc>
          <w:tcPr>
            <w:tcW w:w="1140" w:type="dxa"/>
            <w:vAlign w:val="bottom"/>
            <w:gridSpan w:val="5"/>
          </w:tcPr>
          <w:p>
            <w:pPr>
              <w:jc w:val="center"/>
              <w:ind w:left="754"/>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FF0FC"/>
          </w:tcPr>
          <w:p>
            <w:pPr>
              <w:spacing w:after="0"/>
              <w:rPr>
                <w:sz w:val="19"/>
                <w:szCs w:val="19"/>
                <w:color w:val="auto"/>
              </w:rPr>
            </w:pPr>
          </w:p>
        </w:tc>
        <w:tc>
          <w:tcPr>
            <w:tcW w:w="35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Finance lease liabilities</w:t>
            </w:r>
          </w:p>
        </w:tc>
        <w:tc>
          <w:tcPr>
            <w:tcW w:w="120" w:type="dxa"/>
            <w:vAlign w:val="bottom"/>
            <w:shd w:val="clear" w:color="auto" w:fill="CFF0FC"/>
          </w:tcPr>
          <w:p>
            <w:pPr>
              <w:spacing w:after="0"/>
              <w:rPr>
                <w:sz w:val="19"/>
                <w:szCs w:val="19"/>
                <w:color w:val="auto"/>
              </w:rPr>
            </w:pPr>
          </w:p>
        </w:tc>
        <w:tc>
          <w:tcPr>
            <w:tcW w:w="35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Finance lease liabilities, non-current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37,610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gridSpan w:val="3"/>
          </w:tcPr>
          <w:p>
            <w:pPr>
              <w:ind w:left="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00" w:type="dxa"/>
            <w:vAlign w:val="bottom"/>
            <w:tcBorders>
              <w:bottom w:val="single" w:sz="8" w:color="CFF0FC"/>
            </w:tcBorders>
            <w:gridSpan w:val="2"/>
            <w:shd w:val="clear" w:color="auto" w:fill="CFF0FC"/>
          </w:tcPr>
          <w:p>
            <w:pPr>
              <w:jc w:val="right"/>
              <w:ind w:right="235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1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51,886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ind w:left="40"/>
              <w:spacing w:after="0"/>
              <w:rPr>
                <w:sz w:val="20"/>
                <w:szCs w:val="20"/>
                <w:color w:val="auto"/>
              </w:rPr>
            </w:pPr>
            <w:r>
              <w:rPr>
                <w:rFonts w:ascii="Arial" w:cs="Arial" w:eastAsia="Arial" w:hAnsi="Arial"/>
                <w:sz w:val="18"/>
                <w:szCs w:val="18"/>
                <w:color w:val="auto"/>
                <w:w w:val="91"/>
              </w:rPr>
              <w:t>The components of lease expense were as follows (in thousands):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Statement of Operations Line Item</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91"/>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3620" w:type="dxa"/>
            <w:vAlign w:val="bottom"/>
            <w:gridSpan w:val="4"/>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20" w:type="dxa"/>
            <w:vAlign w:val="bottom"/>
            <w:gridSpan w:val="4"/>
          </w:tcPr>
          <w:p>
            <w:pPr>
              <w:ind w:left="120"/>
              <w:spacing w:after="0"/>
              <w:rPr>
                <w:sz w:val="20"/>
                <w:szCs w:val="20"/>
                <w:color w:val="auto"/>
              </w:rPr>
            </w:pPr>
            <w:r>
              <w:rPr>
                <w:rFonts w:ascii="Arial" w:cs="Arial" w:eastAsia="Arial" w:hAnsi="Arial"/>
                <w:sz w:val="18"/>
                <w:szCs w:val="18"/>
                <w:color w:val="auto"/>
                <w:w w:val="97"/>
              </w:rPr>
              <w:t>Selling, general and administrative expenses</w:t>
            </w:r>
          </w:p>
        </w:tc>
        <w:tc>
          <w:tcPr>
            <w:tcW w:w="840" w:type="dxa"/>
            <w:vAlign w:val="bottom"/>
            <w:gridSpan w:val="3"/>
          </w:tcPr>
          <w:p>
            <w:pPr>
              <w:jc w:val="right"/>
              <w:ind w:right="3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10,307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lease liabilities</w:t>
            </w:r>
          </w:p>
        </w:tc>
        <w:tc>
          <w:tcPr>
            <w:tcW w:w="36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lease cost</w:t>
            </w:r>
          </w:p>
        </w:tc>
        <w:tc>
          <w:tcPr>
            <w:tcW w:w="3620" w:type="dxa"/>
            <w:vAlign w:val="bottom"/>
            <w:gridSpan w:val="4"/>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20" w:type="dxa"/>
            <w:vAlign w:val="bottom"/>
            <w:gridSpan w:val="4"/>
          </w:tcPr>
          <w:p>
            <w:pPr>
              <w:ind w:left="120"/>
              <w:spacing w:after="0"/>
              <w:rPr>
                <w:sz w:val="20"/>
                <w:szCs w:val="20"/>
                <w:color w:val="auto"/>
              </w:rPr>
            </w:pPr>
            <w:r>
              <w:rPr>
                <w:rFonts w:ascii="Arial" w:cs="Arial" w:eastAsia="Arial" w:hAnsi="Arial"/>
                <w:sz w:val="18"/>
                <w:szCs w:val="18"/>
                <w:color w:val="auto"/>
                <w:w w:val="97"/>
              </w:rPr>
              <w:t>Selling, general and administrative expenses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6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w w:val="97"/>
              </w:rPr>
              <w:t>Selling, general and administrative expenses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Total lease cost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12,186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gridSpan w:val="7"/>
            <w:vMerge w:val="restart"/>
          </w:tcPr>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0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9"/>
          </w:tcPr>
          <w:p>
            <w:pPr>
              <w:jc w:val="center"/>
              <w:ind w:right="920"/>
              <w:spacing w:after="0"/>
              <w:rPr>
                <w:sz w:val="20"/>
                <w:szCs w:val="20"/>
                <w:color w:val="auto"/>
              </w:rPr>
            </w:pPr>
            <w:r>
              <w:rPr>
                <w:rFonts w:ascii="Arial" w:cs="Arial" w:eastAsia="Arial" w:hAnsi="Arial"/>
                <w:sz w:val="14"/>
                <w:szCs w:val="14"/>
                <w:b w:val="1"/>
                <w:bCs w:val="1"/>
                <w:color w:val="auto"/>
                <w:w w:val="91"/>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1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3620" w:type="dxa"/>
            <w:vAlign w:val="bottom"/>
            <w:gridSpan w:val="4"/>
          </w:tcPr>
          <w:p>
            <w:pPr>
              <w:ind w:left="3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11,925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3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49,909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620" w:type="dxa"/>
            <w:vAlign w:val="bottom"/>
            <w:gridSpan w:val="4"/>
            <w:shd w:val="clear" w:color="auto" w:fill="CFF0FC"/>
          </w:tcPr>
          <w:p>
            <w:pPr>
              <w:ind w:left="3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80" w:type="dxa"/>
            <w:vAlign w:val="bottom"/>
            <w:gridSpan w:val="3"/>
          </w:tcPr>
          <w:p>
            <w:pPr>
              <w:ind w:left="70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5" w:name="page136"/>
    <w:bookmarkEnd w:id="135"/>
    <w:p>
      <w:pPr>
        <w:ind w:left="40"/>
        <w:spacing w:after="0"/>
        <w:rPr>
          <w:sz w:val="20"/>
          <w:szCs w:val="20"/>
          <w:color w:val="auto"/>
        </w:rPr>
      </w:pPr>
      <w:r>
        <w:rPr>
          <w:rFonts w:ascii="Arial" w:cs="Arial" w:eastAsia="Arial" w:hAnsi="Arial"/>
          <w:sz w:val="18"/>
          <w:szCs w:val="18"/>
          <w:color w:val="auto"/>
        </w:rPr>
        <w:t>Lease term and discount rate were as follows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December 31, 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4.75%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12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Finance Leases</w:t>
            </w:r>
          </w:p>
        </w:tc>
        <w:tc>
          <w:tcPr>
            <w:tcW w:w="220" w:type="dxa"/>
            <w:vAlign w:val="bottom"/>
          </w:tcPr>
          <w:p>
            <w:pPr>
              <w:spacing w:after="0"/>
              <w:rPr>
                <w:sz w:val="24"/>
                <w:szCs w:val="24"/>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Operating Leases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4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14,078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2021</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13,676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2023</w:t>
            </w:r>
          </w:p>
        </w:tc>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12,523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554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54,155</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580" w:type="dxa"/>
            <w:vAlign w:val="bottom"/>
          </w:tcPr>
          <w:p>
            <w:pPr>
              <w:spacing w:after="0"/>
              <w:rPr>
                <w:sz w:val="19"/>
                <w:szCs w:val="19"/>
                <w:color w:val="auto"/>
              </w:rPr>
            </w:pPr>
          </w:p>
        </w:tc>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was previously disclosed under ASC 840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all non-cancelable operating lease obligations as of December 31, 2018 were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Future minimum lease payments, on a consolidated basis, under the Company’s facility lease financing obligations as of December 31, 2018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Year Ending</w:t>
            </w: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Lease financing</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4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14,379</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2020</w:t>
            </w: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14,664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2022</w:t>
            </w: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14,335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Total minimum payments</w:t>
            </w:r>
          </w:p>
        </w:tc>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80" w:type="dxa"/>
            <w:vAlign w:val="bottom"/>
            <w:vMerge w:val="restart"/>
          </w:tcPr>
          <w:p>
            <w:pPr>
              <w:jc w:val="right"/>
              <w:ind w:right="257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6" w:name="page137"/>
    <w:bookmarkEnd w:id="136"/>
    <w:p>
      <w:pPr>
        <w:ind w:right="8940" w:firstLine="8"/>
        <w:spacing w:after="0" w:line="453" w:lineRule="auto"/>
        <w:tabs>
          <w:tab w:leader="none" w:pos="378"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Components 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US treasury notes and bills</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Arial" w:cs="Arial" w:eastAsia="Arial" w:hAnsi="Arial"/>
                <w:sz w:val="18"/>
                <w:szCs w:val="18"/>
                <w:color w:val="auto"/>
              </w:rPr>
              <w:t>US treasury notes and bills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467,296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Term deposit</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587,885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available-for-sale investments and term deposit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407,491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one year through four years</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Bond and mutual funds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w:t>
      </w:r>
    </w:p>
    <w:p>
      <w:pPr>
        <w:ind w:right="60" w:firstLine="8"/>
        <w:spacing w:after="0" w:line="261"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amortized cost basis cannot be recovered as a result of credit losses. During the three years ended December 31, 2019, the Company did not recognize any other-than-temporary impairment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started capitalizing inventory costs in June 2019 when FibroGen China began productions of roxadustat for commercial sales purposes. The provision to write-down excess and obsolete inventory was nominal for the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6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180,000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(54,790)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125,210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Prepaid assets</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40" w:type="dxa"/>
            <w:vAlign w:val="bottom"/>
          </w:tcPr>
          <w:p>
            <w:pPr>
              <w:spacing w:after="0"/>
              <w:rPr>
                <w:sz w:val="19"/>
                <w:szCs w:val="19"/>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133,391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unbilled contract assets as of December 31, 2019 were related to two regulatory milestones totaling $130.0 million under the Europe Agreement with Astellas associated with the planned MAA submission in Europe, and a $50.0 million regulatory milestone under the U.S./RoW Agreement with AstraZeneca associated with the NDA submission in the U.S., which was submitted in December 2019 and accepted for review in February 2020. See Note 3 for details.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101,548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Building shell</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Machinery</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property and equipment</w:t>
            </w:r>
          </w:p>
        </w:tc>
        <w:tc>
          <w:tcPr>
            <w:tcW w:w="16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143,107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(100,364)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9"/>
                <w:szCs w:val="19"/>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2018, the Company had $53.9 million building shell cost and $13.5 million accumulated depreciation related to its building leases under build-to-suit arrangements. Upon the adoption of ASC 842 as of January 1, 2019, using the modified retrospective transition method, the Company derecognized these assets previously recognized under ASC 840 build-to-suit designation. Up to December 31, 2018, the leasehold improvements related to these building leases were depreciated over the life of the building under ASC 840. Upon the adoption of ASC 842, these leasehold improvements should have a useful life based on the lease term. As a result, at the adoption date, the Company recorded a cumulative adjustment of $38.9 million to the opening accumulated depreciation for these leasehold improvements so that their net balance equals the undepreciated amount had the useful life of the leasehold improvements always been equal to the lease terms. Refer to Note 2 for details.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Depreciation expense for the years ended December 31, 2019, 2018 and 2017 was $11.1 million, $6.6 million, and $6.1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API product price adjustment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36,324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accruals</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taxes and other</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amount of $36.3 million accrued as of December 31, 2019 was related to the change in estimated variable consideration of API product at the time the roxadustat listed price was issued by the Japanese Ministry of Health, Labour and Welfare. Refer to Note 3 for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long-term co-promotional expenses</w:t>
            </w: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53,071</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10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accrued long-term co-promotional expenses of $53.1 million as of December 31, 2019 was related to the estimated amount payable to AstraZeneca for its sales and marketing efforts related to the commercial launch for roxadustat in China. The payment for such amount is not expected to occur within the next year.</w:t>
      </w:r>
    </w:p>
    <w:p>
      <w:pPr>
        <w:spacing w:after="0" w:line="285"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Obligations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 by 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2019 and 2018, the Company had USD equivalent of $10.6 million and $10.8 million of principal outstanding, respectively, and $6.2 million and $6.0 million of interest accrued, respectively, which were presented in the product development obligations line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guarantor of these loans, and these loans are not repayable by FibroGen Europe until it has distributable funds.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9" w:name="page140"/>
    <w:bookmarkEnd w:id="139"/>
    <w:p>
      <w:pPr>
        <w:ind w:right="8480" w:firstLine="8"/>
        <w:spacing w:after="0" w:line="378" w:lineRule="auto"/>
        <w:tabs>
          <w:tab w:leader="none" w:pos="37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Obligations</w:t>
      </w:r>
    </w:p>
    <w:p>
      <w:pPr>
        <w:spacing w:after="0" w:line="272" w:lineRule="auto"/>
        <w:rPr>
          <w:sz w:val="20"/>
          <w:szCs w:val="20"/>
          <w:color w:val="auto"/>
        </w:rPr>
      </w:pPr>
      <w:r>
        <w:rPr>
          <w:rFonts w:ascii="Arial" w:cs="Arial" w:eastAsia="Arial" w:hAnsi="Arial"/>
          <w:sz w:val="17"/>
          <w:szCs w:val="17"/>
          <w:color w:val="auto"/>
        </w:rPr>
        <w:t>In 2006, upon signing the Company’s above-mentioned long-term property lease agreement with Alexandria, a stand-by letter of credit $7.3 million was established which has been included in restricted time deposits on the Company’s consolidated balance sheet. Starting the fourth quarter of 2016, on an annual basis, a portion of this letter of credit was released. As a result, the restriction of a $2.1 million was removed during the year ended December 31, 2019. The agreement also included an expansion option to occupy part of an adjacent building, for which the Company gave notice to its landlord that it would not exercise this expansion option. This resulted in a $5.0 million payment liability to the landlord which is being financed over the remaining lease term of its lease. The related balance was $1.5 million as of December 31, 2019, with $0.4 million included in accrued and other current liabilities, and $1.1 million included in long-term portion of lease obligations on the Company’s consolidated balance sheet.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 party to various legal actions that arose in the ordinary course of its business. The Company recognizes accruals for any legal action when it concludes that a loss is probable and reasonably estimable. The Company did not have any material accruals for any currently active legal action in its consolidated balance sheets as of December 31, 2019 and 2018, as it could not predict the ultimate outcome of these matters, or reasonably estimate the potential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 Company’s license agreements provide for periodic maintenance fees over specified time periods, as well as payments by the Company upon the achievement of development, regulatory and commercial milestones. Future milestone payments for research and pre-clinical stage development programs consisted of up to approximately $11.0 million in total potential future milestone payments under the Company’s license agreements with Dana-Farber Cancer Institute, University of Miami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262" w:lineRule="exact"/>
        <w:rPr>
          <w:sz w:val="20"/>
          <w:szCs w:val="20"/>
          <w:color w:val="auto"/>
        </w:rPr>
      </w:pPr>
    </w:p>
    <w:p>
      <w:pPr>
        <w:ind w:right="7740" w:firstLine="8"/>
        <w:spacing w:after="0" w:line="425" w:lineRule="auto"/>
        <w:tabs>
          <w:tab w:leader="none" w:pos="378"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Equity and Stock-based Compensation Subsidiary Stock and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Europe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December 31, 2019 and 2018,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 The holders of FibroGen Europe’s shares of Preferred Stock (“Preferred Shares”) have the following rights, preferences and privileges:</w:t>
      </w:r>
    </w:p>
    <w:p>
      <w:pPr>
        <w:spacing w:after="0" w:line="5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When the assets of FibroGen Europe are distributed (except for distribution in a liquidation), Preferred Shares shall have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0" w:name="page141"/>
    <w:bookmarkEnd w:id="140"/>
    <w:p>
      <w:pPr>
        <w:ind w:left="580" w:right="220"/>
        <w:spacing w:after="0" w:line="259" w:lineRule="auto"/>
        <w:rPr>
          <w:sz w:val="20"/>
          <w:szCs w:val="20"/>
          <w:color w:val="auto"/>
        </w:rPr>
      </w:pPr>
      <w:r>
        <w:rPr>
          <w:rFonts w:ascii="Arial" w:cs="Arial" w:eastAsia="Arial" w:hAnsi="Arial"/>
          <w:sz w:val="18"/>
          <w:szCs w:val="18"/>
          <w:i w:val="1"/>
          <w:iCs w:val="1"/>
          <w:color w:val="auto"/>
        </w:rPr>
        <w:t xml:space="preserve">Pre-emptive Right </w:t>
      </w:r>
      <w:r>
        <w:rPr>
          <w:rFonts w:ascii="Arial" w:cs="Arial" w:eastAsia="Arial" w:hAnsi="Arial"/>
          <w:sz w:val="18"/>
          <w:szCs w:val="18"/>
          <w:color w:val="auto"/>
        </w:rPr>
        <w:t>— Preferred Shares shall have pre-emptive subscription right in accordance with the Finnish Limited Liability Companies Act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shares are issued, option rights are given, or convertible loan is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9"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 If a Preferred Share can be redeemed by a majority shareholder owning more than ninety percent (90%)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FibroGen Europe in accordance with the provisions of the Finnish Limited Liability Companies Act, the minority holders of Preferred Shares have the right to request redemption of their shares.</w:t>
      </w:r>
    </w:p>
    <w:p>
      <w:pPr>
        <w:spacing w:after="0" w:line="73" w:lineRule="exact"/>
        <w:rPr>
          <w:sz w:val="20"/>
          <w:szCs w:val="20"/>
          <w:color w:val="auto"/>
        </w:rPr>
      </w:pPr>
    </w:p>
    <w:p>
      <w:pPr>
        <w:ind w:left="580" w:right="380"/>
        <w:spacing w:after="0" w:line="286" w:lineRule="auto"/>
        <w:rPr>
          <w:sz w:val="20"/>
          <w:szCs w:val="20"/>
          <w:color w:val="auto"/>
        </w:rPr>
      </w:pPr>
      <w:r>
        <w:rPr>
          <w:rFonts w:ascii="Arial" w:cs="Arial" w:eastAsia="Arial" w:hAnsi="Arial"/>
          <w:sz w:val="17"/>
          <w:szCs w:val="17"/>
          <w:i w:val="1"/>
          <w:iCs w:val="1"/>
          <w:color w:val="auto"/>
        </w:rPr>
        <w:t xml:space="preserve">Voting Right </w:t>
      </w:r>
      <w:r>
        <w:rPr>
          <w:rFonts w:ascii="Arial" w:cs="Arial" w:eastAsia="Arial" w:hAnsi="Arial"/>
          <w:sz w:val="17"/>
          <w:szCs w:val="17"/>
          <w:color w:val="auto"/>
        </w:rPr>
        <w:t>— Each share has one vote. Preferred Shares have voting rights only in situations that are specifically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Conversion Right </w:t>
      </w:r>
      <w:r>
        <w:rPr>
          <w:rFonts w:ascii="Arial" w:cs="Arial" w:eastAsia="Arial" w:hAnsi="Arial"/>
          <w:sz w:val="18"/>
          <w:szCs w:val="18"/>
          <w:color w:val="auto"/>
        </w:rPr>
        <w:t>(1-for-1 basis into Common Stock of FibroGen Europe):</w:t>
      </w:r>
    </w:p>
    <w:p>
      <w:pPr>
        <w:spacing w:after="0" w:line="117" w:lineRule="exact"/>
        <w:rPr>
          <w:sz w:val="20"/>
          <w:szCs w:val="20"/>
          <w:color w:val="auto"/>
        </w:rPr>
      </w:pPr>
    </w:p>
    <w:p>
      <w:pPr>
        <w:ind w:left="1040" w:right="140" w:hanging="505"/>
        <w:spacing w:after="0" w:line="286"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57" w:lineRule="exact"/>
        <w:rPr>
          <w:rFonts w:ascii="Arial" w:cs="Arial" w:eastAsia="Arial" w:hAnsi="Arial"/>
          <w:sz w:val="17"/>
          <w:szCs w:val="17"/>
          <w:color w:val="auto"/>
        </w:rPr>
      </w:pPr>
    </w:p>
    <w:p>
      <w:pPr>
        <w:ind w:left="1040" w:right="100" w:hanging="505"/>
        <w:spacing w:after="0" w:line="271"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1" w:lineRule="exact"/>
        <w:rPr>
          <w:sz w:val="20"/>
          <w:szCs w:val="20"/>
          <w:color w:val="auto"/>
        </w:rPr>
      </w:pPr>
    </w:p>
    <w:p>
      <w:pPr>
        <w:ind w:left="480" w:right="100"/>
        <w:spacing w:after="0" w:line="259" w:lineRule="auto"/>
        <w:rPr>
          <w:sz w:val="20"/>
          <w:szCs w:val="20"/>
          <w:color w:val="auto"/>
        </w:rPr>
      </w:pPr>
      <w:r>
        <w:rPr>
          <w:rFonts w:ascii="Arial" w:cs="Arial" w:eastAsia="Arial" w:hAnsi="Arial"/>
          <w:sz w:val="18"/>
          <w:szCs w:val="18"/>
          <w:i w:val="1"/>
          <w:iCs w:val="1"/>
          <w:color w:val="auto"/>
        </w:rPr>
        <w:t xml:space="preserve">Liquidation Right </w:t>
      </w:r>
      <w:r>
        <w:rPr>
          <w:rFonts w:ascii="Arial" w:cs="Arial" w:eastAsia="Arial" w:hAnsi="Arial"/>
          <w:sz w:val="18"/>
          <w:szCs w:val="18"/>
          <w:color w:val="auto"/>
        </w:rPr>
        <w:t>— In the event of a dissolution of FibroGen Europe, holders of Preferred Shares are entitled to be paid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China</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FibroGen China had 6,758,000 Series A Preference Shares outstanding as of December 31, 2019 and 2018, respectively. The holders of the FibroGen China Series A Preference Shares have the following rights, preferences and privileges:</w:t>
      </w:r>
    </w:p>
    <w:p>
      <w:pPr>
        <w:spacing w:after="0" w:line="62" w:lineRule="exact"/>
        <w:rPr>
          <w:sz w:val="20"/>
          <w:szCs w:val="20"/>
          <w:color w:val="auto"/>
        </w:rPr>
      </w:pPr>
    </w:p>
    <w:p>
      <w:pPr>
        <w:ind w:left="480" w:right="80"/>
        <w:spacing w:after="0" w:line="27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either voluntary or involuntary, including by means of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FibroGen China Series A Preference Shares are entitled to be paid an amount equal to the product of the number of shares held by a holder of shares of FibroGen China Series A Preference Shares and the original issue price of $1.00 (subject to equitable adjustment for any stock dividend, combination, split, reclassification, recapitalization) plus all declared and unpaid dividends thereon.</w:t>
      </w:r>
    </w:p>
    <w:p>
      <w:pPr>
        <w:spacing w:after="0" w:line="63" w:lineRule="exact"/>
        <w:rPr>
          <w:sz w:val="20"/>
          <w:szCs w:val="20"/>
          <w:color w:val="auto"/>
        </w:rPr>
      </w:pPr>
    </w:p>
    <w:p>
      <w:pPr>
        <w:ind w:left="480" w:right="340"/>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FibroGen China Series A Preference Shares is convertible into the number of fully paid and non-assessable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FibroGen China that results from dividing the original issue price by the conversion price in effect at the time of the conversion, subject to adjustments for stock splits, stock dividends, reclassifications and like events. The FibroGen China Series A Preference Shares have a conversion price that is equal to the original issuance price such that the conversion ratio to FibroGen China Common Stock is 1:1 as of all periods presented.</w:t>
      </w:r>
    </w:p>
    <w:p>
      <w:pPr>
        <w:spacing w:after="0" w:line="80" w:lineRule="exact"/>
        <w:rPr>
          <w:sz w:val="20"/>
          <w:szCs w:val="20"/>
          <w:color w:val="auto"/>
        </w:rPr>
      </w:pPr>
    </w:p>
    <w:p>
      <w:pPr>
        <w:ind w:left="480" w:right="120"/>
        <w:spacing w:after="0" w:line="264"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The holders of FibroGen China Series A Preference Shares are entitled to vote together with the FibroGen China Common Stock 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matters submitted for a vote of the stockholders. The holder of each share of FibroGen China Series A Preference Shares has the number of votes equal to the number of shares of FibroGen China Common Stock into which it is convertible.</w:t>
      </w:r>
    </w:p>
    <w:p>
      <w:pPr>
        <w:spacing w:after="0" w:line="73" w:lineRule="exact"/>
        <w:rPr>
          <w:sz w:val="20"/>
          <w:szCs w:val="20"/>
          <w:color w:val="auto"/>
        </w:rPr>
      </w:pPr>
    </w:p>
    <w:p>
      <w:pPr>
        <w:jc w:val="center"/>
        <w:ind w:left="260"/>
        <w:spacing w:after="0"/>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The holders of FibroGen China Series A Preference Shares are entitled to receive cash dividends when and if declared, at a rate of 6%.</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Non-controlling interest positions related to the issuance of subsidiary stock as described above are reported as a separate component of consolidated equity from the equity attributable to the Company’s stockholders at December 31, 2019 and 2018.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of Common Stock outstanding, shares of stock plans outstanding and shares reserved for future issuance related to stock options and RSU grants and the Company’s Employee Stock Purchase Plan (“ESPP”) purchases are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stock options and RSUs grant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future ESPP offering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shares of common stock reserved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110,220</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105,953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Plans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the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2019, the Company has reserved 7,724,691 shares of its common stock that remains unissued for issuance under the 2014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42" w:name="page143"/>
    <w:bookmarkEnd w:id="142"/>
    <w:p>
      <w:pPr>
        <w:ind w:right="200"/>
        <w:spacing w:after="0" w:line="279" w:lineRule="auto"/>
        <w:rPr>
          <w:sz w:val="20"/>
          <w:szCs w:val="20"/>
          <w:color w:val="auto"/>
        </w:rPr>
      </w:pPr>
      <w:r>
        <w:rPr>
          <w:rFonts w:ascii="Arial" w:cs="Arial" w:eastAsia="Arial" w:hAnsi="Arial"/>
          <w:sz w:val="17"/>
          <w:szCs w:val="17"/>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2019 and 2018, no shares of Common Stock were subject to repurchase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including forfeited options granted under the 2014 Plan as well as prior plans, are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per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53.75</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Outstanding at December 31, 2019</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26.63</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193,226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2019</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180" w:type="dxa"/>
            <w:vAlign w:val="bottom"/>
          </w:tcPr>
          <w:p>
            <w:pPr>
              <w:jc w:val="right"/>
              <w:spacing w:after="0"/>
              <w:rPr>
                <w:sz w:val="20"/>
                <w:szCs w:val="20"/>
                <w:color w:val="auto"/>
              </w:rPr>
            </w:pPr>
            <w:r>
              <w:rPr>
                <w:rFonts w:ascii="Arial" w:cs="Arial" w:eastAsia="Arial" w:hAnsi="Arial"/>
                <w:sz w:val="18"/>
                <w:szCs w:val="18"/>
                <w:color w:val="auto"/>
              </w:rPr>
              <w:t>7,318</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183,707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2019, 2018 and 2017 was $59.2 million, $97.5 million, and $111.9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RSU activity:</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Among the vested RSUs during the year ended December 31, 2019, 448,647 shares were released and issued, while the remaining was withheld for the related payroll taxes. The estimated weighted-average fair value of the awards granted during the years ended December 31, 2019, 2018 and 2017 was $54.74, $53.69 and $26.59,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2014, the Company adopted a 2014 ESPP that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135,115 shares, 230,317 shares and 250,834 shares purchased by employees under the 2014 Purchased Plan for the years ended December 31, 2019, 2018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expected term of 2014 ESPP shares is the average of the remaining purchase periods under each offering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Stock-based compensation expense allocated to research and development and selling, general and administrative expense for the years ended December 31, 2019, 2018 and 2017 was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41,015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25,252</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66,267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valuation model. The fair value of employee stock options is being amortized on a straight-line basis over the requisite service period of the awards.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the Company’s initial public offering, the Company, in making its determinations of the fair value of its Common Stock, considered a variety of quantitative and qualitative factors, including (i) net present value of the Company’s projected earnings, (ii) fair market value of the stock of comparable publicly-traded companies, (iii) any third party transactions involving the Company’s convertible preferred stock, (iv) liquidation preferences of the Company’s preferred stock and the likelihood of conversion of the preferred stock, (v) changes in the Company’s business operations, financial condition and results of operations over time, including cash balances and burn-rate, (vi) the status of new product development, and (vii) general financial market conditions. Subsequent to the IPO, the fair market value of common stock is based on the closing price of the Company’s common stock as reported on the NASDAQ Global Select Market on the date of the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stock-based compensation was estimated using the following assumptions:</w:t>
      </w:r>
    </w:p>
    <w:p>
      <w:pPr>
        <w:spacing w:after="0" w:line="117" w:lineRule="exact"/>
        <w:rPr>
          <w:sz w:val="20"/>
          <w:szCs w:val="20"/>
          <w:color w:val="auto"/>
        </w:rPr>
      </w:pPr>
    </w:p>
    <w:p>
      <w:pPr>
        <w:ind w:left="380" w:right="320" w:hanging="372"/>
        <w:spacing w:after="0" w:line="264"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Expected Term.</w:t>
      </w:r>
      <w:r>
        <w:rPr>
          <w:rFonts w:ascii="Arial" w:cs="Arial" w:eastAsia="Arial" w:hAnsi="Arial"/>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73" w:lineRule="exact"/>
        <w:rPr>
          <w:rFonts w:ascii="Arial" w:cs="Arial" w:eastAsia="Arial" w:hAnsi="Arial"/>
          <w:sz w:val="18"/>
          <w:szCs w:val="18"/>
          <w:color w:val="auto"/>
        </w:rPr>
      </w:pPr>
    </w:p>
    <w:p>
      <w:pPr>
        <w:ind w:left="380" w:right="280" w:hanging="372"/>
        <w:spacing w:after="0" w:line="264"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The Company considers its historical volatility data for volatility considerations for its ESPP. The expected volatility for all other stock-based compensation is currently based upon the historical volatility of comparable public entities. In evaluating comparable companies, the Company considered factors such as industry, stage of life cycle, size and duration as a public company.</w:t>
      </w:r>
    </w:p>
    <w:p>
      <w:pPr>
        <w:spacing w:after="0" w:line="73" w:lineRule="exact"/>
        <w:rPr>
          <w:rFonts w:ascii="Arial" w:cs="Arial" w:eastAsia="Arial" w:hAnsi="Arial"/>
          <w:sz w:val="18"/>
          <w:szCs w:val="18"/>
          <w:color w:val="auto"/>
        </w:rPr>
      </w:pPr>
    </w:p>
    <w:p>
      <w:pPr>
        <w:ind w:left="380" w:right="260" w:hanging="372"/>
        <w:spacing w:after="0" w:line="277"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Expected Dividend Yield.</w:t>
      </w:r>
      <w:r>
        <w:rPr>
          <w:rFonts w:ascii="Arial" w:cs="Arial" w:eastAsia="Arial" w:hAnsi="Arial"/>
          <w:sz w:val="16"/>
          <w:szCs w:val="16"/>
          <w:color w:val="auto"/>
        </w:rPr>
        <w:t xml:space="preserve"> The Company has never declared or paid any cash dividends and does not plan to pay cash dividends in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estimate the fair value of stock options granted and ESPPs using the Black-Scholes option valuation model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31.98</w:t>
            </w:r>
          </w:p>
        </w:tc>
        <w:tc>
          <w:tcPr>
            <w:tcW w:w="3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32.12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16.96</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0.5 - 2.0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48.1 - 62.1 %</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47.3 - 75.3 %</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52.8 - 77.2 %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1.3 - 2.9 %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0.8 - 2.9 %</w:t>
            </w:r>
          </w:p>
        </w:tc>
        <w:tc>
          <w:tcPr>
            <w:tcW w:w="20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0.5 - 1.6 %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19.27</w:t>
            </w:r>
          </w:p>
        </w:tc>
        <w:tc>
          <w:tcPr>
            <w:tcW w:w="3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9.41</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931"/>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4" w:name="page145"/>
    <w:bookmarkEnd w:id="144"/>
    <w:p>
      <w:pPr>
        <w:ind w:right="180"/>
        <w:spacing w:after="0" w:line="259" w:lineRule="auto"/>
        <w:rPr>
          <w:sz w:val="20"/>
          <w:szCs w:val="20"/>
          <w:color w:val="auto"/>
        </w:rPr>
      </w:pPr>
      <w:r>
        <w:rPr>
          <w:rFonts w:ascii="Arial" w:cs="Arial" w:eastAsia="Arial" w:hAnsi="Arial"/>
          <w:sz w:val="18"/>
          <w:szCs w:val="18"/>
          <w:color w:val="auto"/>
        </w:rPr>
        <w:t>As of December 31, 2019, there was $57.5 million of total unrecognized compensation costs, net of estimated forfeitures, related to non-vested stock option awards granted that will be recognized on a straight-line basis over the weighted-average period of 2.32 years. As of December 31, 2019, there was $52.9 million of total unrecognized compensation costs, net of estimated forfeitures, related to non-vested RSUs granted that will be recognized on a straight-line basis over the weighted-average period of 2.36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2019, a warrant to purchase 4,430 shares of our common stock was exercised and there was no warrant to purchase shares of Common Stock outstanding at December 31, 2019.</w:t>
      </w: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weighted impacts of outstanding securities were excluded from the calculation of diluted net loss per share because their effect would have been anti-dilutive for the three years presented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4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170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48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7,602</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RSUs</w:t>
            </w:r>
          </w:p>
        </w:tc>
        <w:tc>
          <w:tcPr>
            <w:tcW w:w="1460" w:type="dxa"/>
            <w:vAlign w:val="bottom"/>
          </w:tcPr>
          <w:p>
            <w:pPr>
              <w:jc w:val="right"/>
              <w:spacing w:after="0"/>
              <w:rPr>
                <w:sz w:val="20"/>
                <w:szCs w:val="20"/>
                <w:color w:val="auto"/>
              </w:rPr>
            </w:pPr>
            <w:r>
              <w:rPr>
                <w:rFonts w:ascii="Arial" w:cs="Arial" w:eastAsia="Arial" w:hAnsi="Arial"/>
                <w:sz w:val="18"/>
                <w:szCs w:val="18"/>
                <w:color w:val="auto"/>
              </w:rPr>
              <w:t>1,187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Warrants</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FibroGen, Inc. 401(k) Plan</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Substantially all of the Company’s full-time United States of America-based employees are eligible to make contributions to the Company’s 401(k) Plan. Under this plan, participating employees may defer up to 60% of their pretax salary during the year, but not more than statutory limits. The Company may elect to match employee contributions. Matching contributions of $3.0 million, $2.9 million and $2.5 million were made during years ended December 31, 2019, 2018 and 2017, respectively.</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(80,735)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(79,180)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(47,644)</w:t>
            </w: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(39,819)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4"/>
              </w:rPr>
              <w:t>The provision for income taxes consists of the following (in thousands):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State</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1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1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80" w:type="dxa"/>
            <w:vAlign w:val="bottom"/>
            <w:vMerge w:val="restart"/>
          </w:tcPr>
          <w:p>
            <w:pPr>
              <w:jc w:val="right"/>
              <w:ind w:right="730"/>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tax rate:</w:t>
      </w:r>
    </w:p>
    <w:p>
      <w:pPr>
        <w:spacing w:after="0" w:line="298"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gridSpan w:val="2"/>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7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8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3"/>
              </w:rPr>
              <w:t>21.0%</w:t>
            </w:r>
          </w:p>
        </w:tc>
        <w:tc>
          <w:tcPr>
            <w:tcW w:w="10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State tax</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6.3%</w:t>
            </w:r>
          </w:p>
        </w:tc>
        <w:tc>
          <w:tcPr>
            <w:tcW w:w="8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w w:val="93"/>
              </w:rPr>
              <w:t>14.5%</w:t>
            </w:r>
          </w:p>
        </w:tc>
        <w:tc>
          <w:tcPr>
            <w:tcW w:w="152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Change in deferred tax assets due to rate change</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5"/>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Change in valuation allowance due to rate change</w:t>
            </w:r>
          </w:p>
        </w:tc>
        <w:tc>
          <w:tcPr>
            <w:tcW w:w="80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Net operating losses not benefitted</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(23.2)%</w:t>
            </w:r>
          </w:p>
        </w:tc>
        <w:tc>
          <w:tcPr>
            <w:tcW w:w="1520" w:type="dxa"/>
            <w:vAlign w:val="bottom"/>
            <w:gridSpan w:val="5"/>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net operating losses not benefitted</w:t>
            </w:r>
          </w:p>
        </w:tc>
        <w:tc>
          <w:tcPr>
            <w:tcW w:w="8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8"/>
              </w:rPr>
              <w:t>(21.7)%</w:t>
            </w:r>
          </w:p>
        </w:tc>
        <w:tc>
          <w:tcPr>
            <w:tcW w:w="1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c>
          <w:tcPr>
            <w:tcW w:w="15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Orphan drug credit</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Deduction limitation on executive compensation</w:t>
            </w:r>
          </w:p>
        </w:tc>
        <w:tc>
          <w:tcPr>
            <w:tcW w:w="8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84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1520" w:type="dxa"/>
            <w:vAlign w:val="bottom"/>
            <w:gridSpan w:val="5"/>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4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gridSpan w:val="2"/>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100" w:type="dxa"/>
            <w:vAlign w:val="bottom"/>
            <w:vMerge w:val="continue"/>
            <w:shd w:val="clear" w:color="auto" w:fill="CFF0FC"/>
          </w:tcPr>
          <w:p>
            <w:pPr>
              <w:spacing w:after="0"/>
              <w:rPr>
                <w:sz w:val="19"/>
                <w:szCs w:val="19"/>
                <w:color w:val="auto"/>
              </w:rPr>
            </w:pPr>
          </w:p>
        </w:tc>
        <w:tc>
          <w:tcPr>
            <w:tcW w:w="14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gridSpan w:val="4"/>
          </w:tcPr>
          <w:p>
            <w:pPr>
              <w:jc w:val="right"/>
              <w:ind w:right="428"/>
              <w:spacing w:after="0"/>
              <w:rPr>
                <w:sz w:val="20"/>
                <w:szCs w:val="20"/>
                <w:color w:val="auto"/>
              </w:rPr>
            </w:pPr>
            <w:r>
              <w:rPr>
                <w:rFonts w:ascii="Arial" w:cs="Arial" w:eastAsia="Arial" w:hAnsi="Arial"/>
                <w:sz w:val="18"/>
                <w:szCs w:val="18"/>
                <w:color w:val="auto"/>
                <w:w w:val="90"/>
              </w:rPr>
              <w:t>Significant components of the Company’s deferred tax assets are as follows (in thousands):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and state net operating loss carryforwards</w:t>
            </w:r>
          </w:p>
        </w:tc>
        <w:tc>
          <w:tcPr>
            <w:tcW w:w="3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91,683</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45,885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net operating loss carryforwards</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21,295</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Reserves and accruals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16,454</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193,987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(213,847)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(193,987)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vMerge w:val="restart"/>
          </w:tcPr>
          <w:p>
            <w:pPr>
              <w:spacing w:after="0"/>
              <w:rPr>
                <w:sz w:val="19"/>
                <w:szCs w:val="19"/>
                <w:color w:val="auto"/>
              </w:rPr>
            </w:pPr>
          </w:p>
        </w:tc>
        <w:tc>
          <w:tcPr>
            <w:tcW w:w="5920" w:type="dxa"/>
            <w:vAlign w:val="bottom"/>
            <w:gridSpan w:val="2"/>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(8,266)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Net deferred tax liabilities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20" w:type="dxa"/>
            <w:vAlign w:val="bottom"/>
            <w:tcBorders>
              <w:top w:val="single" w:sz="8" w:color="CFF0FC"/>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center"/>
              <w:ind w:right="34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valuation allowance increased by $19.9 million, $34.4 million and $30.5 million for the years ended December 31, 2019, 2018 and 2017, respectively. Due to uncertainty surrounding the realization of the favorable tax attributes in the future tax returns, the Company has established a valuation allowance against its otherwise recognizable net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the Company had net operating loss carryforwards available to offset future taxable income of approximately $404.6 million and</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$129.4 million for federal and state tax purposes, respectively. These carryforwards will begin to expire in 2026 for federal and 2020 for state purposes, if not utilized before these dates. The Company also had foreign net operating loss carryforwards of approximately $152.2 million which expire between 2020 and 2029 if not utilized.</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2019, the Company had approximately $54.1 million of federal and $29.4 million of California research and development tax credit and other tax credit carryforwards available to offset future taxable income. The federal credits begin to expire in 2020 and the California research credits have no expiration dates.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6" w:name="page147"/>
    <w:bookmarkEnd w:id="146"/>
    <w:p>
      <w:pPr>
        <w:ind w:right="20"/>
        <w:spacing w:after="0" w:line="293" w:lineRule="auto"/>
        <w:rPr>
          <w:sz w:val="20"/>
          <w:szCs w:val="20"/>
          <w:color w:val="auto"/>
        </w:rPr>
      </w:pPr>
      <w:r>
        <w:rPr>
          <w:rFonts w:ascii="Arial" w:cs="Arial" w:eastAsia="Arial" w:hAnsi="Arial"/>
          <w:sz w:val="16"/>
          <w:szCs w:val="16"/>
          <w:color w:val="auto"/>
        </w:rPr>
        <w:t>On December 22,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In the fourth quarter of 2018, the Company completed its analysis to determine the effect of the Tax Act and no material adjustments were recognized as of December 31, 2018. Developing interpretations of the provisions of the Tax Act, changes to U.S. Treasury regulations, administrative interpretations or court decisions interpreting the Tax Act in the future periods may require further adjustments to the Company’s analysis.</w:t>
      </w:r>
    </w:p>
    <w:p>
      <w:pPr>
        <w:spacing w:after="0" w:line="16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2019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had unrecognized tax benefits of approximately $32.3 million as of December 31, 2019. Approximately $0.5 million of unrecognized tax benefits, if recognized, would affect the effective tax rate. The interest accrued as of December 31, 2019 and 2018 was immaterial.</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the beginning and ending amounts of unrecognized income tax benefits during the three years ended December 31, 2019 is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Federal and State</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jc w:val="right"/>
              <w:ind w:right="2690"/>
              <w:spacing w:after="0"/>
              <w:rPr>
                <w:sz w:val="20"/>
                <w:szCs w:val="20"/>
                <w:color w:val="auto"/>
              </w:rPr>
            </w:pPr>
            <w:r>
              <w:rPr>
                <w:rFonts w:ascii="Arial" w:cs="Arial" w:eastAsia="Arial" w:hAnsi="Arial"/>
                <w:sz w:val="18"/>
                <w:szCs w:val="18"/>
                <w:color w:val="auto"/>
                <w:w w:val="88"/>
              </w:rPr>
              <w:t>Balance as of December 31, 2016</w:t>
            </w:r>
          </w:p>
        </w:tc>
        <w:tc>
          <w:tcPr>
            <w:tcW w:w="2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Increase due to prior positions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Decrease due to U.S. tax rate change</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as of December 31, 2017</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Increase due to prior positions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gridSpan w:val="2"/>
          </w:tcPr>
          <w:p>
            <w:pPr>
              <w:jc w:val="right"/>
              <w:ind w:right="2690"/>
              <w:spacing w:after="0"/>
              <w:rPr>
                <w:sz w:val="20"/>
                <w:szCs w:val="20"/>
                <w:color w:val="auto"/>
              </w:rPr>
            </w:pPr>
            <w:r>
              <w:rPr>
                <w:rFonts w:ascii="Arial" w:cs="Arial" w:eastAsia="Arial" w:hAnsi="Arial"/>
                <w:sz w:val="18"/>
                <w:szCs w:val="18"/>
                <w:color w:val="auto"/>
                <w:w w:val="88"/>
              </w:rPr>
              <w:t>Balance as of December 31, 2018</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prior positions</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FF0FC"/>
            </w:tcBorders>
            <w:shd w:val="clear" w:color="auto" w:fill="CFF0FC"/>
          </w:tcPr>
          <w:p>
            <w:pPr>
              <w:jc w:val="right"/>
              <w:ind w:right="2690"/>
              <w:spacing w:after="0"/>
              <w:rPr>
                <w:sz w:val="20"/>
                <w:szCs w:val="20"/>
                <w:color w:val="auto"/>
              </w:rPr>
            </w:pPr>
            <w:r>
              <w:rPr>
                <w:rFonts w:ascii="Arial" w:cs="Arial" w:eastAsia="Arial" w:hAnsi="Arial"/>
                <w:sz w:val="18"/>
                <w:szCs w:val="18"/>
                <w:color w:val="auto"/>
                <w:w w:val="88"/>
              </w:rPr>
              <w:t>Balance as of December 31, 2019</w:t>
            </w:r>
          </w:p>
        </w:tc>
        <w:tc>
          <w:tcPr>
            <w:tcW w:w="2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as a component of tax expense, if any.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2010 to 2019. The Company is not currently under audit in any tax jurisdiction.</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Astellas is an equity investor in the Company and considered a related party. During the years ended December 31, 2019, 2018 and 2017, the Company recorded revenue related to collaboration agreements with Astellas of $122.5 million, $100.0 million, and $20.1 million, respectively. The related party revenue for the year ended December 31, 2019 included a change in estimated variable consideration that resulted in a $36.3 million reduction to revenue related to the product revenue of $64.8 million for API recorded in 2018. See Note 3 and below for details.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years ended December 31, 2019, 2018 and 2017, the Company recorded expense related to collaboration agreements with Astellas of $2.8 million, $1.5 million and $1.0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7" w:name="page148"/>
    <w:bookmarkEnd w:id="147"/>
    <w:p>
      <w:pPr>
        <w:ind w:right="40"/>
        <w:spacing w:after="0" w:line="255" w:lineRule="auto"/>
        <w:rPr>
          <w:sz w:val="20"/>
          <w:szCs w:val="20"/>
          <w:color w:val="auto"/>
        </w:rPr>
      </w:pPr>
      <w:r>
        <w:rPr>
          <w:rFonts w:ascii="Arial" w:cs="Arial" w:eastAsia="Arial" w:hAnsi="Arial"/>
          <w:sz w:val="18"/>
          <w:szCs w:val="18"/>
          <w:color w:val="auto"/>
        </w:rPr>
        <w:t>As of December 31, 2019 and 2018, accounts receivable from Astellas were $4.8 million and $47.2 million, respectively, and amounts due to Astellas were $36.9 million and $0.4 million, respectively. The amounts due are included in accrued liabilities on the consolidated balance sheets. The accounts receivable from Astellas as of December 31, 2018 included $43.8 million related to the delivery of roxadustat API to Astellas during the fourth quarter of 2018. The sale of API was pursuant to the Japan Amendment allowing Astellas to manufacture roxadustat drug product for commercialization in Japan. The amount was received during the first quarter of 2019. The amounts due to Astellas as of December 31, 2019 included $36.3 million of a change in estimated variable consideration related to the API product revenue recognized in 2018, at the time the roxadustat listed price was issued by the Japanese Ministry of Health, Labour and Welfare. Refer to Note 3 for details.</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Prepaid expenses and other current assets as of December 31, 2019 included $125.2 million of net unbilled contract assets, representing a $130.0 million unbilled contract asset related to two regulatory milestones under the Europe Agreement with Astellas associated with the planned MAA submission to the EMA, net of $4.8 million of associated deferred revenue. See Note 3 for details. According to the Europe Agreement, this $130.0 million is not billable to Astellas until the submission of an MAA, therefore the net contract asset was included in the prepaid expenses and other current assets line on the Company’s consolidated balance sheet as of December 31, 2019. There was no such contract asset balance as of December 31, 2018.</w:t>
      </w:r>
    </w:p>
    <w:p>
      <w:pPr>
        <w:spacing w:after="0" w:line="26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and Geographic Information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revenues and development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Geographic revenues, which are based on the bill-to region,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0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7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132,400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110,861</w:t>
            </w:r>
          </w:p>
        </w:tc>
        <w:tc>
          <w:tcPr>
            <w:tcW w:w="10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Japan (related party)</w:t>
            </w: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122,475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20,111</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3"/>
        </w:trPr>
        <w:tc>
          <w:tcPr>
            <w:tcW w:w="32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720" w:type="dxa"/>
            <w:vAlign w:val="bottom"/>
          </w:tcPr>
          <w:p>
            <w:pPr>
              <w:spacing w:after="0"/>
              <w:rPr>
                <w:sz w:val="19"/>
                <w:szCs w:val="19"/>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256,577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130,996</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Revenues to other regions include the Company commercial sales of roxadustat drug product in China starting in the third quarter of 2019. See Note 3 for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by geographic location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20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23,659</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20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127,198</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60" w:type="dxa"/>
            <w:vAlign w:val="bottom"/>
            <w:vMerge w:val="restart"/>
          </w:tcPr>
          <w:p>
            <w:pPr>
              <w:jc w:val="right"/>
              <w:ind w:right="690"/>
              <w:spacing w:after="0"/>
              <w:rPr>
                <w:sz w:val="20"/>
                <w:szCs w:val="20"/>
                <w:color w:val="auto"/>
              </w:rPr>
            </w:pPr>
            <w:r>
              <w:rPr>
                <w:rFonts w:ascii="Arial" w:cs="Arial" w:eastAsia="Arial" w:hAnsi="Arial"/>
                <w:sz w:val="18"/>
                <w:szCs w:val="18"/>
                <w:color w:val="auto"/>
              </w:rPr>
              <w:t>147</w:t>
            </w: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Finance lease right-of-use assets and operating lease right-of-use assets, net by geographic location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39,237</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China</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finance lease right-of-use assets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40" w:type="dxa"/>
            <w:vAlign w:val="bottom"/>
            <w:gridSpan w:val="2"/>
            <w:shd w:val="clear" w:color="auto" w:fill="CFF0FC"/>
          </w:tcPr>
          <w:p>
            <w:pPr>
              <w:jc w:val="right"/>
              <w:ind w:right="88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7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China</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right-of-use assets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Substantially all of the Company’s revenues to date have been generated from the following collaboration partners that respectively accounted for 10% or more of the Company’s total revenue and accounts receivable: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0"/>
              </w:rPr>
              <w:t>Percentage of Revenue</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89"/>
              </w:rPr>
              <w:t>Percentage of Accounts Receivable</w:t>
            </w:r>
          </w:p>
        </w:tc>
      </w:tr>
      <w:tr>
        <w:trPr>
          <w:trHeight w:val="26"/>
        </w:trPr>
        <w:tc>
          <w:tcPr>
            <w:tcW w:w="3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56"/>
        </w:trPr>
        <w:tc>
          <w:tcPr>
            <w:tcW w:w="30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90"/>
              <w:spacing w:after="0" w:line="155" w:lineRule="exact"/>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Borders>
              <w:bottom w:val="single" w:sz="8" w:color="auto"/>
            </w:tcBorders>
            <w:gridSpan w:val="3"/>
          </w:tcPr>
          <w:p>
            <w:pPr>
              <w:jc w:val="center"/>
              <w:ind w:left="881"/>
              <w:spacing w:after="0" w:line="155"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30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Astellas—Related party</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60" w:type="dxa"/>
            <w:vAlign w:val="bottom"/>
            <w:gridSpan w:val="3"/>
          </w:tcPr>
          <w:p>
            <w:pPr>
              <w:jc w:val="right"/>
              <w:ind w:right="90"/>
              <w:spacing w:after="0"/>
              <w:rPr>
                <w:sz w:val="20"/>
                <w:szCs w:val="20"/>
                <w:color w:val="auto"/>
              </w:rPr>
            </w:pPr>
            <w:r>
              <w:rPr>
                <w:rFonts w:ascii="Arial" w:cs="Arial" w:eastAsia="Arial" w:hAnsi="Arial"/>
                <w:sz w:val="18"/>
                <w:szCs w:val="18"/>
                <w:color w:val="auto"/>
              </w:rPr>
              <w:t>53%</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755"/>
        </w:trPr>
        <w:tc>
          <w:tcPr>
            <w:tcW w:w="3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Charged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Charged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(Credited)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 Other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to Statement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Accounts -</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of Operation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End of Year</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Valuation allowances for deferred tax assets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193,987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19,860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213,847</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34,447</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128,995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11,039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159,540</w:t>
            </w:r>
          </w:p>
        </w:tc>
        <w:tc>
          <w:tcPr>
            <w:tcW w:w="100" w:type="dxa"/>
            <w:vAlign w:val="bottom"/>
          </w:tcPr>
          <w:p>
            <w:pPr>
              <w:spacing w:after="0"/>
              <w:rPr>
                <w:sz w:val="20"/>
                <w:szCs w:val="20"/>
                <w:color w:val="auto"/>
              </w:rPr>
            </w:pPr>
          </w:p>
        </w:tc>
      </w:tr>
      <w:tr>
        <w:trPr>
          <w:trHeight w:val="634"/>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0" w:name="page151"/>
    <w:bookmarkEnd w:id="150"/>
    <w:p>
      <w:pPr>
        <w:ind w:right="11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of December 31, 2019,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December 31, 2019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Management, with the participation and under the supervision of our Chief Executive Officer and our Chief Financial Officer, evaluated our internal control over financial reporting as of December 31, 2019, the end of our fiscal year, using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set forth by the Committee of Sponsoring Organizations of the Treadway Commission.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management’s evaluation of our internal control over financial reporting, management concluded that our internal control over financial reporting was effective as of December 31, 2019.</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2019 that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1" w:name="page152"/>
    <w:bookmarkEnd w:id="151"/>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Code of Business Conduct which applies to all of our directors, officers and employees. A copy of our Code of Business Conduct can be found on our website (</w:t>
      </w:r>
      <w:r>
        <w:rPr>
          <w:rFonts w:ascii="Arial" w:cs="Arial" w:eastAsia="Arial" w:hAnsi="Arial"/>
          <w:sz w:val="17"/>
          <w:szCs w:val="17"/>
          <w:u w:val="single" w:color="auto"/>
          <w:color w:val="auto"/>
        </w:rPr>
        <w:t>www.FibroGen.com</w:t>
      </w:r>
      <w:r>
        <w:rPr>
          <w:rFonts w:ascii="Arial" w:cs="Arial" w:eastAsia="Arial" w:hAnsi="Arial"/>
          <w:sz w:val="17"/>
          <w:szCs w:val="17"/>
          <w:color w:val="auto"/>
        </w:rPr>
        <w:t>) under “Corporate Governance.” The contents of our website are not a part of this report.</w:t>
      </w:r>
    </w:p>
    <w:p>
      <w:pPr>
        <w:spacing w:after="0" w:line="1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27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to be filed with the SEC within 120 days after the end of the fiscal year ended December 31, 2019.</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52" w:name="page153"/>
    <w:bookmarkEnd w:id="15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We have filed the following documents as part of this Annual Report on Form 10-K:</w:t>
      </w:r>
    </w:p>
    <w:p>
      <w:pPr>
        <w:spacing w:after="0" w:line="113" w:lineRule="exact"/>
        <w:rPr>
          <w:rFonts w:ascii="Arial" w:cs="Arial" w:eastAsia="Arial" w:hAnsi="Arial"/>
          <w:sz w:val="18"/>
          <w:szCs w:val="18"/>
          <w:b w:val="1"/>
          <w:bCs w:val="1"/>
          <w:color w:val="auto"/>
        </w:rPr>
      </w:pPr>
    </w:p>
    <w:p>
      <w:pPr>
        <w:ind w:left="700" w:hanging="174"/>
        <w:spacing w:after="0"/>
        <w:tabs>
          <w:tab w:leader="none" w:pos="70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in response to this Item is included in Part II, Item 8 of this Annual Report on Form 10-K.</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Schedule II is included on page 166. All other schedules are omitted because they are not required or the required information is included in the consolidated financial statements or notes thereto.</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15(b) below.</w:t>
      </w:r>
    </w:p>
    <w:p>
      <w:pPr>
        <w:spacing w:after="0" w:line="225" w:lineRule="exact"/>
        <w:rPr>
          <w:sz w:val="20"/>
          <w:szCs w:val="20"/>
          <w:color w:val="auto"/>
        </w:rPr>
      </w:pPr>
    </w:p>
    <w:p>
      <w:pPr>
        <w:jc w:val="both"/>
        <w:ind w:right="80" w:firstLine="8"/>
        <w:spacing w:after="0" w:line="264" w:lineRule="auto"/>
        <w:tabs>
          <w:tab w:leader="none" w:pos="26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—We have filed, or incorporated into this Annual Report on Form 10-K by reference, the exhibits listed below. Where an exhibit is incorporated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reference, the number in parentheses indicates the document to which cross-reference is made. Refer to the end of this table for a listing of cross-reference documents.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Incorporation By Reference</w:t>
            </w:r>
          </w:p>
        </w:tc>
        <w:tc>
          <w:tcPr>
            <w:tcW w:w="940" w:type="dxa"/>
            <w:vAlign w:val="bottom"/>
            <w:tcBorders>
              <w:bottom w:val="single" w:sz="8" w:color="auto"/>
            </w:tcBorders>
          </w:tcPr>
          <w:p>
            <w:pPr>
              <w:spacing w:after="0"/>
              <w:rPr>
                <w:sz w:val="14"/>
                <w:szCs w:val="14"/>
                <w:color w:val="auto"/>
              </w:rPr>
            </w:pPr>
          </w:p>
        </w:tc>
      </w:tr>
      <w:tr>
        <w:trPr>
          <w:trHeight w:val="156"/>
        </w:trPr>
        <w:tc>
          <w:tcPr>
            <w:tcW w:w="1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17"/>
          </w:tcPr>
          <w:p>
            <w:pPr>
              <w:ind w:left="240"/>
              <w:spacing w:after="0" w:line="155" w:lineRule="exact"/>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3"/>
                <w:szCs w:val="13"/>
                <w:color w:val="auto"/>
              </w:rPr>
            </w:pPr>
          </w:p>
        </w:tc>
        <w:tc>
          <w:tcPr>
            <w:tcW w:w="138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SEC File No.</w:t>
            </w:r>
          </w:p>
        </w:tc>
        <w:tc>
          <w:tcPr>
            <w:tcW w:w="120" w:type="dxa"/>
            <w:vAlign w:val="bottom"/>
          </w:tcPr>
          <w:p>
            <w:pPr>
              <w:spacing w:after="0"/>
              <w:rPr>
                <w:sz w:val="13"/>
                <w:szCs w:val="13"/>
                <w:color w:val="auto"/>
              </w:rPr>
            </w:pPr>
          </w:p>
        </w:tc>
        <w:tc>
          <w:tcPr>
            <w:tcW w:w="1360" w:type="dxa"/>
            <w:vAlign w:val="bottom"/>
            <w:tcBorders>
              <w:bottom w:val="single" w:sz="8" w:color="auto"/>
            </w:tcBorders>
          </w:tcPr>
          <w:p>
            <w:pPr>
              <w:ind w:left="460"/>
              <w:spacing w:after="0" w:line="155" w:lineRule="exact"/>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3"/>
                <w:szCs w:val="13"/>
                <w:color w:val="auto"/>
              </w:rPr>
            </w:pPr>
          </w:p>
        </w:tc>
        <w:tc>
          <w:tcPr>
            <w:tcW w:w="9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18"/>
        </w:trPr>
        <w:tc>
          <w:tcPr>
            <w:tcW w:w="1260" w:type="dxa"/>
            <w:vAlign w:val="bottom"/>
          </w:tcPr>
          <w:p>
            <w:pPr>
              <w:jc w:val="right"/>
              <w:ind w:right="85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Amended and Restated Certificate of Incorporation of</w:t>
              </w:r>
            </w:hyperlink>
          </w:p>
        </w:tc>
        <w:tc>
          <w:tcPr>
            <w:tcW w:w="480" w:type="dxa"/>
            <w:vAlign w:val="bottom"/>
            <w:gridSpan w:val="6"/>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9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1"/>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FibroGen, Inc.</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260" w:type="dxa"/>
            <w:vAlign w:val="bottom"/>
          </w:tcPr>
          <w:p>
            <w:pPr>
              <w:jc w:val="right"/>
              <w:ind w:right="853"/>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Amended and Restated Bylaws of FibroGen, Inc.</w:t>
              </w:r>
            </w:hyperlink>
          </w:p>
        </w:tc>
        <w:tc>
          <w:tcPr>
            <w:tcW w:w="800" w:type="dxa"/>
            <w:vAlign w:val="bottom"/>
            <w:gridSpan w:val="11"/>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9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45"/>
        </w:trPr>
        <w:tc>
          <w:tcPr>
            <w:tcW w:w="1260" w:type="dxa"/>
            <w:vAlign w:val="bottom"/>
          </w:tcPr>
          <w:p>
            <w:pPr>
              <w:jc w:val="right"/>
              <w:ind w:right="853"/>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600" w:type="dxa"/>
            <w:vAlign w:val="bottom"/>
            <w:tcBorders>
              <w:bottom w:val="single" w:sz="8" w:color="0000EE"/>
            </w:tcBorders>
            <w:gridSpan w:val="5"/>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Form of Common Stock Certificate.</w:t>
              </w:r>
            </w:hyperlink>
          </w:p>
        </w:tc>
        <w:tc>
          <w:tcPr>
            <w:tcW w:w="1760" w:type="dxa"/>
            <w:vAlign w:val="bottom"/>
            <w:gridSpan w:val="16"/>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9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45"/>
        </w:trPr>
        <w:tc>
          <w:tcPr>
            <w:tcW w:w="1260" w:type="dxa"/>
            <w:vAlign w:val="bottom"/>
          </w:tcPr>
          <w:p>
            <w:pPr>
              <w:jc w:val="right"/>
              <w:ind w:right="853"/>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Shareholders’ Agreement by and among FibroGen</w:t>
              </w:r>
            </w:hyperlink>
          </w:p>
        </w:tc>
        <w:tc>
          <w:tcPr>
            <w:tcW w:w="720" w:type="dxa"/>
            <w:vAlign w:val="bottom"/>
            <w:gridSpan w:val="10"/>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9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1"/>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International (Cayman) Limited and certain of its</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198">
              <w:r>
                <w:rPr>
                  <w:rFonts w:ascii="Arial" w:cs="Arial" w:eastAsia="Arial" w:hAnsi="Arial"/>
                  <w:sz w:val="18"/>
                  <w:szCs w:val="18"/>
                  <w:color w:val="0000EE"/>
                  <w:w w:val="87"/>
                </w:rPr>
                <w:t>shareholders, dated as of September 8, 2017.</w:t>
              </w:r>
            </w:hyperlink>
          </w:p>
        </w:tc>
        <w:tc>
          <w:tcPr>
            <w:tcW w:w="320" w:type="dxa"/>
            <w:vAlign w:val="bottom"/>
            <w:tcBorders>
              <w:top w:val="single" w:sz="8" w:color="0000EE"/>
            </w:tcBorders>
            <w:gridSpan w:val="3"/>
          </w:tcPr>
          <w:p>
            <w:pPr>
              <w:spacing w:after="0"/>
              <w:rPr>
                <w:sz w:val="17"/>
                <w:szCs w:val="17"/>
                <w:color w:val="auto"/>
              </w:rPr>
            </w:pPr>
          </w:p>
        </w:tc>
        <w:tc>
          <w:tcPr>
            <w:tcW w:w="82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45"/>
        </w:trPr>
        <w:tc>
          <w:tcPr>
            <w:tcW w:w="1260" w:type="dxa"/>
            <w:vAlign w:val="bottom"/>
          </w:tcPr>
          <w:p>
            <w:pPr>
              <w:jc w:val="right"/>
              <w:ind w:right="853"/>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8"/>
              </w:rPr>
            </w:pPr>
            <w:hyperlink r:id="rId199">
              <w:r>
                <w:rPr>
                  <w:rFonts w:ascii="Arial" w:cs="Arial" w:eastAsia="Arial" w:hAnsi="Arial"/>
                  <w:sz w:val="18"/>
                  <w:szCs w:val="18"/>
                  <w:color w:val="0000EE"/>
                  <w:w w:val="88"/>
                </w:rPr>
                <w:t>Common Stock Purchase Agreement by and between</w:t>
              </w:r>
            </w:hyperlink>
          </w:p>
        </w:tc>
        <w:tc>
          <w:tcPr>
            <w:tcW w:w="520" w:type="dxa"/>
            <w:vAlign w:val="bottom"/>
            <w:gridSpan w:val="8"/>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9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FibroGen, Inc. and AstraZeneca AB, dated as of</w:t>
              </w:r>
            </w:hyperlink>
          </w:p>
        </w:tc>
        <w:tc>
          <w:tcPr>
            <w:tcW w:w="88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99">
              <w:r>
                <w:rPr>
                  <w:rFonts w:ascii="Arial" w:cs="Arial" w:eastAsia="Arial" w:hAnsi="Arial"/>
                  <w:sz w:val="18"/>
                  <w:szCs w:val="18"/>
                  <w:color w:val="0000EE"/>
                  <w:w w:val="88"/>
                </w:rPr>
                <w:t>October 20, 2014.</w:t>
              </w:r>
            </w:hyperlink>
          </w:p>
        </w:tc>
        <w:tc>
          <w:tcPr>
            <w:tcW w:w="3060" w:type="dxa"/>
            <w:vAlign w:val="bottom"/>
            <w:gridSpan w:val="18"/>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45"/>
        </w:trPr>
        <w:tc>
          <w:tcPr>
            <w:tcW w:w="1260" w:type="dxa"/>
            <w:vAlign w:val="bottom"/>
          </w:tcPr>
          <w:p>
            <w:pPr>
              <w:jc w:val="right"/>
              <w:ind w:right="753"/>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4360" w:type="dxa"/>
            <w:vAlign w:val="bottom"/>
            <w:gridSpan w:val="21"/>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 of FibroGen, Inc.</w:t>
              </w:r>
            </w:hyperlink>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13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10.1(i)+</w:t>
            </w:r>
          </w:p>
        </w:tc>
        <w:tc>
          <w:tcPr>
            <w:tcW w:w="4040" w:type="dxa"/>
            <w:vAlign w:val="bottom"/>
            <w:tcBorders>
              <w:bottom w:val="single" w:sz="8" w:color="0000EE"/>
            </w:tcBorders>
            <w:gridSpan w:val="16"/>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FibroGen, Inc. Amended and Restated 2005 Stock Plan.</w:t>
              </w:r>
            </w:hyperlink>
          </w:p>
        </w:tc>
        <w:tc>
          <w:tcPr>
            <w:tcW w:w="320" w:type="dxa"/>
            <w:vAlign w:val="bottom"/>
            <w:gridSpan w:val="5"/>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10.3(i)</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10/1/2014</w:t>
            </w:r>
          </w:p>
        </w:tc>
      </w:tr>
      <w:tr>
        <w:trPr>
          <w:trHeight w:val="345"/>
        </w:trPr>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10.1(ii)+</w:t>
            </w:r>
          </w:p>
        </w:tc>
        <w:tc>
          <w:tcPr>
            <w:tcW w:w="4360" w:type="dxa"/>
            <w:vAlign w:val="bottom"/>
            <w:gridSpan w:val="21"/>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Forms of stock option agreement, restricted stock purchase</w:t>
              </w:r>
            </w:hyperlink>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8"/>
                <w:szCs w:val="18"/>
                <w:color w:val="auto"/>
                <w:w w:val="94"/>
              </w:rPr>
              <w:t>10.3(ii)</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10/1/2014</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r:id="rId201">
              <w:r>
                <w:rPr>
                  <w:rFonts w:ascii="Arial" w:cs="Arial" w:eastAsia="Arial" w:hAnsi="Arial"/>
                  <w:sz w:val="18"/>
                  <w:szCs w:val="18"/>
                  <w:color w:val="0000EE"/>
                  <w:w w:val="88"/>
                </w:rPr>
                <w:t>agreement and stock appreciation right agreement under</w:t>
              </w:r>
            </w:hyperlink>
          </w:p>
        </w:tc>
        <w:tc>
          <w:tcPr>
            <w:tcW w:w="20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1"/>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the FibroGen, Inc. Amended and Restated 2005 Stock</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r:id="rId201">
              <w:r>
                <w:rPr>
                  <w:rFonts w:ascii="Arial" w:cs="Arial" w:eastAsia="Arial" w:hAnsi="Arial"/>
                  <w:sz w:val="18"/>
                  <w:szCs w:val="18"/>
                  <w:color w:val="0000EE"/>
                  <w:w w:val="82"/>
                </w:rPr>
                <w:t>Plan.</w:t>
              </w:r>
            </w:hyperlink>
          </w:p>
        </w:tc>
        <w:tc>
          <w:tcPr>
            <w:tcW w:w="3520" w:type="dxa"/>
            <w:vAlign w:val="bottom"/>
            <w:tcBorders>
              <w:top w:val="single" w:sz="8" w:color="0000EE"/>
            </w:tcBorders>
            <w:gridSpan w:val="14"/>
          </w:tcPr>
          <w:p>
            <w:pPr>
              <w:spacing w:after="0"/>
              <w:rPr>
                <w:sz w:val="17"/>
                <w:szCs w:val="17"/>
                <w:color w:val="auto"/>
              </w:rPr>
            </w:pPr>
          </w:p>
        </w:tc>
        <w:tc>
          <w:tcPr>
            <w:tcW w:w="48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45"/>
        </w:trPr>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10.1(iii)+</w:t>
            </w:r>
          </w:p>
        </w:tc>
        <w:tc>
          <w:tcPr>
            <w:tcW w:w="4360" w:type="dxa"/>
            <w:vAlign w:val="bottom"/>
            <w:gridSpan w:val="21"/>
          </w:tcPr>
          <w:p>
            <w:pPr>
              <w:spacing w:after="0"/>
              <w:rPr>
                <w:rFonts w:ascii="Arial" w:cs="Arial" w:eastAsia="Arial" w:hAnsi="Arial"/>
                <w:sz w:val="18"/>
                <w:szCs w:val="18"/>
                <w:color w:val="0000EE"/>
                <w:w w:val="95"/>
              </w:rPr>
            </w:pPr>
            <w:hyperlink r:id="rId202">
              <w:r>
                <w:rPr>
                  <w:rFonts w:ascii="Arial" w:cs="Arial" w:eastAsia="Arial" w:hAnsi="Arial"/>
                  <w:sz w:val="18"/>
                  <w:szCs w:val="18"/>
                  <w:color w:val="0000EE"/>
                  <w:w w:val="95"/>
                </w:rPr>
                <w:t>Form of stock option agreement under the FibroGen, Inc.</w:t>
              </w:r>
            </w:hyperlink>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8"/>
                <w:szCs w:val="18"/>
                <w:color w:val="auto"/>
              </w:rPr>
              <w:t>10.3(iii)</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10/1/2014</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Amended and Restated 2005 Stock Plan applicable to</w:t>
              </w:r>
            </w:hyperlink>
          </w:p>
        </w:tc>
        <w:tc>
          <w:tcPr>
            <w:tcW w:w="260" w:type="dxa"/>
            <w:vAlign w:val="bottom"/>
            <w:tcBorders>
              <w:top w:val="single" w:sz="8" w:color="0000EE"/>
            </w:tcBorders>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options exchanged pursuant to FibroGen, Inc.’s 2010</w:t>
              </w:r>
            </w:hyperlink>
          </w:p>
        </w:tc>
        <w:tc>
          <w:tcPr>
            <w:tcW w:w="54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21"/>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amendment and exchange offer.</w:t>
              </w:r>
            </w:hyperlink>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340" w:type="dxa"/>
            <w:vAlign w:val="bottom"/>
            <w:gridSpan w:val="2"/>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10.1(iv)+</w:t>
            </w:r>
          </w:p>
        </w:tc>
        <w:tc>
          <w:tcPr>
            <w:tcW w:w="3840" w:type="dxa"/>
            <w:vAlign w:val="bottom"/>
            <w:tcBorders>
              <w:bottom w:val="single" w:sz="8" w:color="0000EE"/>
            </w:tcBorders>
            <w:gridSpan w:val="13"/>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Form of 2010 amendment to the form of stock option</w:t>
              </w:r>
            </w:hyperlink>
          </w:p>
        </w:tc>
        <w:tc>
          <w:tcPr>
            <w:tcW w:w="520" w:type="dxa"/>
            <w:vAlign w:val="bottom"/>
            <w:gridSpan w:val="8"/>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0" w:type="dxa"/>
            <w:vAlign w:val="bottom"/>
          </w:tcPr>
          <w:p>
            <w:pPr>
              <w:spacing w:after="0"/>
              <w:rPr>
                <w:sz w:val="24"/>
                <w:szCs w:val="24"/>
                <w:color w:val="auto"/>
              </w:rPr>
            </w:pPr>
          </w:p>
        </w:tc>
        <w:tc>
          <w:tcPr>
            <w:tcW w:w="22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10.3(iv)</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10/1/2014</w:t>
            </w: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agreement under the FibroGen, Inc. Amended and Restated</w:t>
              </w:r>
            </w:hyperlink>
          </w:p>
        </w:tc>
        <w:tc>
          <w:tcPr>
            <w:tcW w:w="8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3" w:lineRule="exact"/>
        <w:rPr>
          <w:sz w:val="20"/>
          <w:szCs w:val="20"/>
          <w:color w:val="auto"/>
        </w:rPr>
      </w:pPr>
    </w:p>
    <w:p>
      <w:pPr>
        <w:ind w:left="1340"/>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2005 Stock Plan applicable to options amended pursuant to</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FibroGen, Inc.’s 2010 amendment and exchange offer.</w:t>
        </w:r>
      </w:hyperlink>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10.1(v)+</w:t>
            </w:r>
          </w:p>
        </w:tc>
        <w:tc>
          <w:tcPr>
            <w:tcW w:w="4620" w:type="dxa"/>
            <w:vAlign w:val="bottom"/>
            <w:gridSpan w:val="31"/>
          </w:tcPr>
          <w:p>
            <w:pPr>
              <w:spacing w:after="0"/>
              <w:rPr>
                <w:rFonts w:ascii="Arial" w:cs="Arial" w:eastAsia="Arial" w:hAnsi="Arial"/>
                <w:sz w:val="18"/>
                <w:szCs w:val="18"/>
                <w:color w:val="0000EE"/>
              </w:rPr>
            </w:pPr>
            <w:hyperlink r:id="rId205">
              <w:r>
                <w:rPr>
                  <w:rFonts w:ascii="Arial" w:cs="Arial" w:eastAsia="Arial" w:hAnsi="Arial"/>
                  <w:sz w:val="18"/>
                  <w:szCs w:val="18"/>
                  <w:color w:val="0000EE"/>
                </w:rPr>
                <w:t>Form of 2013 amendment to the form of stock option</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5"/>
              </w:rPr>
            </w:pPr>
            <w:hyperlink r:id="rId205">
              <w:r>
                <w:rPr>
                  <w:rFonts w:ascii="Arial" w:cs="Arial" w:eastAsia="Arial" w:hAnsi="Arial"/>
                  <w:sz w:val="18"/>
                  <w:szCs w:val="18"/>
                  <w:color w:val="0000EE"/>
                  <w:w w:val="95"/>
                </w:rPr>
                <w:t>agreement under the FibroGen, Inc. Amended and Restated</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3"/>
              </w:rPr>
            </w:pPr>
            <w:hyperlink r:id="rId205">
              <w:r>
                <w:rPr>
                  <w:rFonts w:ascii="Arial" w:cs="Arial" w:eastAsia="Arial" w:hAnsi="Arial"/>
                  <w:sz w:val="18"/>
                  <w:szCs w:val="18"/>
                  <w:color w:val="0000EE"/>
                  <w:w w:val="93"/>
                </w:rPr>
                <w:t>2005 Stock Plan applicable to options amended or exchanged</w:t>
              </w:r>
            </w:hyperlink>
          </w:p>
        </w:tc>
      </w:tr>
      <w:tr>
        <w:trPr>
          <w:trHeight w:val="196"/>
        </w:trPr>
        <w:tc>
          <w:tcPr>
            <w:tcW w:w="14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pursuant to FibroGen, Inc.’s 2010 amendment and exchange</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offer.</w:t>
              </w:r>
            </w:hyperlink>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4620" w:type="dxa"/>
            <w:vAlign w:val="bottom"/>
            <w:gridSpan w:val="31"/>
          </w:tcPr>
          <w:p>
            <w:pPr>
              <w:spacing w:after="0"/>
              <w:rPr>
                <w:rFonts w:ascii="Arial" w:cs="Arial" w:eastAsia="Arial" w:hAnsi="Arial"/>
                <w:sz w:val="18"/>
                <w:szCs w:val="18"/>
                <w:color w:val="0000EE"/>
              </w:rPr>
            </w:pPr>
            <w:hyperlink r:id="rId206">
              <w:r>
                <w:rPr>
                  <w:rFonts w:ascii="Arial" w:cs="Arial" w:eastAsia="Arial" w:hAnsi="Arial"/>
                  <w:sz w:val="18"/>
                  <w:szCs w:val="18"/>
                  <w:color w:val="0000EE"/>
                </w:rPr>
                <w:t>FibroGen, Inc. 2014 Equity Incentive Plan and forms of</w:t>
              </w:r>
            </w:hyperlink>
          </w:p>
        </w:tc>
      </w:tr>
      <w:tr>
        <w:trPr>
          <w:trHeight w:val="196"/>
        </w:trPr>
        <w:tc>
          <w:tcPr>
            <w:tcW w:w="14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r:id="rId206">
              <w:r>
                <w:rPr>
                  <w:rFonts w:ascii="Arial" w:cs="Arial" w:eastAsia="Arial" w:hAnsi="Arial"/>
                  <w:sz w:val="18"/>
                  <w:szCs w:val="18"/>
                  <w:color w:val="0000EE"/>
                  <w:w w:val="86"/>
                </w:rPr>
                <w:t>agreement thereunder.</w:t>
              </w:r>
            </w:hyperlink>
          </w:p>
        </w:tc>
        <w:tc>
          <w:tcPr>
            <w:tcW w:w="2420" w:type="dxa"/>
            <w:vAlign w:val="bottom"/>
            <w:tcBorders>
              <w:top w:val="single" w:sz="8" w:color="0000EE"/>
            </w:tcBorders>
            <w:gridSpan w:val="7"/>
          </w:tcPr>
          <w:p>
            <w:pPr>
              <w:spacing w:after="0"/>
              <w:rPr>
                <w:sz w:val="17"/>
                <w:szCs w:val="17"/>
                <w:color w:val="auto"/>
              </w:rPr>
            </w:pPr>
          </w:p>
        </w:tc>
        <w:tc>
          <w:tcPr>
            <w:tcW w:w="600" w:type="dxa"/>
            <w:vAlign w:val="bottom"/>
            <w:gridSpan w:val="1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3840" w:type="dxa"/>
            <w:vAlign w:val="bottom"/>
            <w:tcBorders>
              <w:bottom w:val="single" w:sz="8" w:color="0000EE"/>
            </w:tcBorders>
            <w:gridSpan w:val="10"/>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FibroGen, Inc. 2014 Employee Stock Purchase Plan.</w:t>
              </w:r>
            </w:hyperlink>
          </w:p>
        </w:tc>
        <w:tc>
          <w:tcPr>
            <w:tcW w:w="780" w:type="dxa"/>
            <w:vAlign w:val="bottom"/>
            <w:gridSpan w:val="21"/>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4500" w:type="dxa"/>
            <w:vAlign w:val="bottom"/>
            <w:tcBorders>
              <w:bottom w:val="single" w:sz="8" w:color="0000EE"/>
            </w:tcBorders>
            <w:gridSpan w:val="27"/>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FibroGen, Inc. Non-Employee Director Compensation Policy,</w:t>
              </w:r>
            </w:hyperlink>
          </w:p>
        </w:tc>
        <w:tc>
          <w:tcPr>
            <w:tcW w:w="12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as amended.</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10.5+</w:t>
            </w:r>
          </w:p>
        </w:tc>
        <w:tc>
          <w:tcPr>
            <w:tcW w:w="2380" w:type="dxa"/>
            <w:vAlign w:val="bottom"/>
            <w:tcBorders>
              <w:bottom w:val="single" w:sz="8" w:color="0000EE"/>
            </w:tcBorders>
            <w:gridSpan w:val="7"/>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FibroGen, Inc. 2018 Bonus Plan.</w:t>
              </w:r>
            </w:hyperlink>
          </w:p>
        </w:tc>
        <w:tc>
          <w:tcPr>
            <w:tcW w:w="2240" w:type="dxa"/>
            <w:vAlign w:val="bottom"/>
            <w:gridSpan w:val="24"/>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4620" w:type="dxa"/>
            <w:vAlign w:val="bottom"/>
            <w:gridSpan w:val="31"/>
          </w:tcPr>
          <w:p>
            <w:pPr>
              <w:spacing w:after="0"/>
              <w:rPr>
                <w:rFonts w:ascii="Arial" w:cs="Arial" w:eastAsia="Arial" w:hAnsi="Arial"/>
                <w:sz w:val="18"/>
                <w:szCs w:val="18"/>
                <w:color w:val="0000EE"/>
                <w:w w:val="99"/>
              </w:rPr>
            </w:pPr>
            <w:hyperlink r:id="rId210">
              <w:r>
                <w:rPr>
                  <w:rFonts w:ascii="Arial" w:cs="Arial" w:eastAsia="Arial" w:hAnsi="Arial"/>
                  <w:sz w:val="18"/>
                  <w:szCs w:val="18"/>
                  <w:color w:val="0000EE"/>
                  <w:w w:val="99"/>
                </w:rPr>
                <w:t>Lease Agreement by and between FibroGen, Inc. and X-4</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Dolphin LLC, dated as of September 22, 2006; as amended by</w:t>
              </w:r>
            </w:hyperlink>
          </w:p>
        </w:tc>
        <w:tc>
          <w:tcPr>
            <w:tcW w:w="12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First Amendment to Lease by and between FibroGen, Inc. and</w:t>
              </w:r>
            </w:hyperlink>
          </w:p>
        </w:tc>
        <w:tc>
          <w:tcPr>
            <w:tcW w:w="12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X-4 Dolphin LLC, dated as of October 10, 2007; as amended</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by Second Amendment to Lease by and between FibroGen, Inc.</w:t>
              </w:r>
            </w:hyperlink>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and X-4 Dolphin LLC, dated as of June 29, 2009; as amended</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by Third Amendment to Lease by and between FibroGen, Inc.</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and Are-San Francisco No. 43, LLC (as successor in interest to</w:t>
              </w:r>
            </w:hyperlink>
          </w:p>
        </w:tc>
      </w:tr>
      <w:tr>
        <w:trPr>
          <w:trHeight w:val="196"/>
        </w:trPr>
        <w:tc>
          <w:tcPr>
            <w:tcW w:w="14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X-4 Dolphin LLC), dated as of May 19, 2011; as amended by</w:t>
              </w:r>
            </w:hyperlink>
          </w:p>
        </w:tc>
        <w:tc>
          <w:tcPr>
            <w:tcW w:w="10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3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Fourth Amendment to Lease by and between FibroGen, Inc.</w:t>
              </w:r>
            </w:hyperlink>
          </w:p>
        </w:tc>
        <w:tc>
          <w:tcPr>
            <w:tcW w:w="2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and Are-San Francisco No. 43, LLC, dated as of September 8,</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210">
              <w:r>
                <w:rPr>
                  <w:rFonts w:ascii="Arial" w:cs="Arial" w:eastAsia="Arial" w:hAnsi="Arial"/>
                  <w:sz w:val="18"/>
                  <w:szCs w:val="18"/>
                  <w:color w:val="0000EE"/>
                  <w:w w:val="84"/>
                </w:rPr>
                <w:t>2011.</w:t>
              </w:r>
            </w:hyperlink>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4340" w:type="dxa"/>
            <w:vAlign w:val="bottom"/>
            <w:tcBorders>
              <w:bottom w:val="single" w:sz="8" w:color="0000EE"/>
            </w:tcBorders>
            <w:gridSpan w:val="20"/>
          </w:tcPr>
          <w:p>
            <w:pPr>
              <w:spacing w:after="0"/>
              <w:rPr>
                <w:rFonts w:ascii="Arial" w:cs="Arial" w:eastAsia="Arial" w:hAnsi="Arial"/>
                <w:sz w:val="18"/>
                <w:szCs w:val="18"/>
                <w:color w:val="0000EE"/>
                <w:w w:val="92"/>
              </w:rPr>
            </w:pPr>
            <w:hyperlink r:id="rId211">
              <w:r>
                <w:rPr>
                  <w:rFonts w:ascii="Arial" w:cs="Arial" w:eastAsia="Arial" w:hAnsi="Arial"/>
                  <w:sz w:val="18"/>
                  <w:szCs w:val="18"/>
                  <w:color w:val="0000EE"/>
                  <w:w w:val="92"/>
                </w:rPr>
                <w:t>Lease for Premises in Beijing BDA Biomedical Park by and</w:t>
              </w:r>
            </w:hyperlink>
          </w:p>
        </w:tc>
        <w:tc>
          <w:tcPr>
            <w:tcW w:w="280" w:type="dxa"/>
            <w:vAlign w:val="bottom"/>
            <w:gridSpan w:val="11"/>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among Beijing FibroGen Medical Technology Development</w:t>
              </w:r>
            </w:hyperlink>
          </w:p>
        </w:tc>
      </w:tr>
      <w:tr>
        <w:trPr>
          <w:trHeight w:val="196"/>
        </w:trPr>
        <w:tc>
          <w:tcPr>
            <w:tcW w:w="140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Co., Ltd., Beijing Economic and Technology Investment</w:t>
              </w:r>
            </w:hyperlink>
          </w:p>
        </w:tc>
        <w:tc>
          <w:tcPr>
            <w:tcW w:w="260" w:type="dxa"/>
            <w:vAlign w:val="bottom"/>
            <w:tcBorders>
              <w:top w:val="single" w:sz="8" w:color="0000EE"/>
            </w:tcBorders>
            <w:gridSpan w:val="5"/>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Development Parent Company and Beijing BDA International</w:t>
              </w:r>
            </w:hyperlink>
          </w:p>
        </w:tc>
        <w:tc>
          <w:tcPr>
            <w:tcW w:w="120" w:type="dxa"/>
            <w:vAlign w:val="bottom"/>
            <w:gridSpan w:val="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4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Biological Pharmaceutical Investment Management Co., Ltd.,</w:t>
              </w:r>
            </w:hyperlink>
          </w:p>
        </w:tc>
        <w:tc>
          <w:tcPr>
            <w:tcW w:w="140" w:type="dxa"/>
            <w:vAlign w:val="bottom"/>
            <w:gridSpan w:val="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effective as of February 1, 2013, as supplemented by the</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2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Supplementary Agreement to Lease of Premises in Beijing</w:t>
              </w:r>
            </w:hyperlink>
          </w:p>
        </w:tc>
        <w:tc>
          <w:tcPr>
            <w:tcW w:w="380" w:type="dxa"/>
            <w:vAlign w:val="bottom"/>
            <w:gridSpan w:val="1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BDA Biomedical Park by and among Beijing FibroGen</w:t>
              </w:r>
            </w:hyperlink>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8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Medical Technology Development Co., Ltd., Beijing Economic</w:t>
              </w:r>
            </w:hyperlink>
          </w:p>
        </w:tc>
        <w:tc>
          <w:tcPr>
            <w:tcW w:w="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Technology Investment Development Parent Company and</w:t>
              </w:r>
            </w:hyperlink>
          </w:p>
        </w:tc>
      </w:tr>
      <w:tr>
        <w:trPr>
          <w:trHeight w:val="196"/>
        </w:trPr>
        <w:tc>
          <w:tcPr>
            <w:tcW w:w="1400" w:type="dxa"/>
            <w:vAlign w:val="bottom"/>
          </w:tcPr>
          <w:p>
            <w:pPr>
              <w:spacing w:after="0"/>
              <w:rPr>
                <w:sz w:val="17"/>
                <w:szCs w:val="17"/>
                <w:color w:val="auto"/>
              </w:rPr>
            </w:pPr>
          </w:p>
        </w:tc>
        <w:tc>
          <w:tcPr>
            <w:tcW w:w="4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Beijing BDA International Biological Pharmaceutical</w:t>
              </w:r>
            </w:hyperlink>
          </w:p>
        </w:tc>
        <w:tc>
          <w:tcPr>
            <w:tcW w:w="340" w:type="dxa"/>
            <w:vAlign w:val="bottom"/>
            <w:gridSpan w:val="12"/>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Investment Management Co., Ltd., dated as of January 30,</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211">
              <w:r>
                <w:rPr>
                  <w:rFonts w:ascii="Arial" w:cs="Arial" w:eastAsia="Arial" w:hAnsi="Arial"/>
                  <w:sz w:val="18"/>
                  <w:szCs w:val="18"/>
                  <w:color w:val="0000EE"/>
                  <w:w w:val="84"/>
                </w:rPr>
                <w:t>2013.</w:t>
              </w:r>
            </w:hyperlink>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4620" w:type="dxa"/>
            <w:vAlign w:val="bottom"/>
            <w:gridSpan w:val="31"/>
          </w:tcPr>
          <w:p>
            <w:pPr>
              <w:spacing w:after="0"/>
              <w:rPr>
                <w:rFonts w:ascii="Arial" w:cs="Arial" w:eastAsia="Arial" w:hAnsi="Arial"/>
                <w:sz w:val="18"/>
                <w:szCs w:val="18"/>
                <w:color w:val="0000EE"/>
              </w:rPr>
            </w:pPr>
            <w:hyperlink r:id="rId212">
              <w:r>
                <w:rPr>
                  <w:rFonts w:ascii="Arial" w:cs="Arial" w:eastAsia="Arial" w:hAnsi="Arial"/>
                  <w:sz w:val="18"/>
                  <w:szCs w:val="18"/>
                  <w:color w:val="0000EE"/>
                </w:rPr>
                <w:t>Form of Employment Offer Letter.</w:t>
              </w:r>
            </w:hyperlink>
          </w:p>
        </w:tc>
      </w:tr>
      <w:tr>
        <w:trPr>
          <w:trHeight w:val="20"/>
        </w:trPr>
        <w:tc>
          <w:tcPr>
            <w:tcW w:w="1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4460" w:type="dxa"/>
            <w:vAlign w:val="bottom"/>
            <w:tcBorders>
              <w:bottom w:val="single" w:sz="8" w:color="0000EE"/>
            </w:tcBorders>
            <w:gridSpan w:val="25"/>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Collaboration Agreement, by and between FibroGen, Inc. and</w:t>
              </w:r>
            </w:hyperlink>
          </w:p>
        </w:tc>
        <w:tc>
          <w:tcPr>
            <w:tcW w:w="160" w:type="dxa"/>
            <w:vAlign w:val="bottom"/>
            <w:gridSpan w:val="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Astellas Pharma Inc., effective as of June 1, 2005.</w:t>
              </w:r>
            </w:hyperlink>
          </w:p>
        </w:tc>
      </w:tr>
      <w:tr>
        <w:trPr>
          <w:trHeight w:val="20"/>
        </w:trPr>
        <w:tc>
          <w:tcPr>
            <w:tcW w:w="1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10.9(i)†</w:t>
            </w:r>
          </w:p>
        </w:tc>
        <w:tc>
          <w:tcPr>
            <w:tcW w:w="4620" w:type="dxa"/>
            <w:vAlign w:val="bottom"/>
            <w:tcBorders>
              <w:bottom w:val="single" w:sz="8" w:color="0000EE"/>
            </w:tcBorders>
            <w:gridSpan w:val="31"/>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Amendment No. 1 to Collaboration Agreement, by and between</w:t>
              </w:r>
            </w:hyperlink>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FibroGen, Inc. and Astellas Pharma Inc., effective as of</w:t>
              </w:r>
            </w:hyperlink>
          </w:p>
        </w:tc>
      </w:tr>
      <w:tr>
        <w:trPr>
          <w:trHeight w:val="196"/>
        </w:trPr>
        <w:tc>
          <w:tcPr>
            <w:tcW w:w="1400" w:type="dxa"/>
            <w:vAlign w:val="bottom"/>
          </w:tcPr>
          <w:p>
            <w:pPr>
              <w:spacing w:after="0"/>
              <w:rPr>
                <w:sz w:val="17"/>
                <w:szCs w:val="17"/>
                <w:color w:val="auto"/>
              </w:rPr>
            </w:pP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January 1, 2013.</w:t>
              </w:r>
            </w:hyperlink>
          </w:p>
        </w:tc>
        <w:tc>
          <w:tcPr>
            <w:tcW w:w="620" w:type="dxa"/>
            <w:vAlign w:val="bottom"/>
            <w:gridSpan w:val="19"/>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2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4580" w:type="dxa"/>
            <w:vAlign w:val="bottom"/>
            <w:tcBorders>
              <w:bottom w:val="single" w:sz="8" w:color="0000EE"/>
            </w:tcBorders>
            <w:gridSpan w:val="30"/>
          </w:tcPr>
          <w:p>
            <w:pPr>
              <w:spacing w:after="0"/>
              <w:rPr>
                <w:rFonts w:ascii="Arial" w:cs="Arial" w:eastAsia="Arial" w:hAnsi="Arial"/>
                <w:sz w:val="18"/>
                <w:szCs w:val="18"/>
                <w:color w:val="0000EE"/>
                <w:w w:val="90"/>
              </w:rPr>
            </w:pPr>
            <w:hyperlink r:id="rId215">
              <w:r>
                <w:rPr>
                  <w:rFonts w:ascii="Arial" w:cs="Arial" w:eastAsia="Arial" w:hAnsi="Arial"/>
                  <w:sz w:val="18"/>
                  <w:szCs w:val="18"/>
                  <w:color w:val="0000EE"/>
                  <w:w w:val="90"/>
                </w:rPr>
                <w:t>Anemia License and Collaboration Agreement, by and between</w:t>
              </w:r>
            </w:hyperlink>
          </w:p>
        </w:tc>
        <w:tc>
          <w:tcPr>
            <w:tcW w:w="4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1"/>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FibroGen, Inc. and Astellas Pharma Inc., effective as of</w:t>
              </w:r>
            </w:hyperlink>
          </w:p>
        </w:tc>
      </w:tr>
      <w:tr>
        <w:trPr>
          <w:trHeight w:val="196"/>
        </w:trPr>
        <w:tc>
          <w:tcPr>
            <w:tcW w:w="140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April 28, 2006.</w:t>
              </w:r>
            </w:hyperlink>
          </w:p>
        </w:tc>
        <w:tc>
          <w:tcPr>
            <w:tcW w:w="2900" w:type="dxa"/>
            <w:vAlign w:val="bottom"/>
            <w:tcBorders>
              <w:top w:val="single" w:sz="8" w:color="0000EE"/>
            </w:tcBorders>
            <w:gridSpan w:val="8"/>
          </w:tcPr>
          <w:p>
            <w:pPr>
              <w:spacing w:after="0"/>
              <w:rPr>
                <w:sz w:val="17"/>
                <w:szCs w:val="17"/>
                <w:color w:val="auto"/>
              </w:rPr>
            </w:pPr>
          </w:p>
        </w:tc>
        <w:tc>
          <w:tcPr>
            <w:tcW w:w="620" w:type="dxa"/>
            <w:vAlign w:val="bottom"/>
            <w:gridSpan w:val="19"/>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460" w:type="dxa"/>
            <w:vAlign w:val="bottom"/>
            <w:gridSpan w:val="25"/>
          </w:tcPr>
          <w:p>
            <w:pPr>
              <w:ind w:left="4180"/>
              <w:spacing w:after="0"/>
              <w:rPr>
                <w:sz w:val="20"/>
                <w:szCs w:val="20"/>
                <w:color w:val="auto"/>
              </w:rPr>
            </w:pPr>
            <w:r>
              <w:rPr>
                <w:rFonts w:ascii="Arial" w:cs="Arial" w:eastAsia="Arial" w:hAnsi="Arial"/>
                <w:sz w:val="18"/>
                <w:szCs w:val="18"/>
                <w:color w:val="auto"/>
                <w:w w:val="86"/>
              </w:rPr>
              <w:t>153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tabs>
          <w:tab w:leader="none" w:pos="880" w:val="left"/>
          <w:tab w:leader="none" w:pos="230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10.3(v)</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11/12/2014</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11/12/2014</w:t>
            </w:r>
          </w:p>
        </w:tc>
      </w:tr>
      <w:tr>
        <w:trPr>
          <w:trHeight w:val="36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11/12/2019</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2"/>
              </w:rPr>
              <w:t>2/16/2018</w:t>
            </w:r>
          </w:p>
        </w:tc>
      </w:tr>
      <w:tr>
        <w:trPr>
          <w:trHeight w:val="36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2"/>
              </w:rPr>
              <w:t>10/1/2014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tabs>
          <w:tab w:leader="none" w:pos="880" w:val="left"/>
          <w:tab w:leader="none" w:pos="2400" w:val="left"/>
          <w:tab w:leader="none" w:pos="37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88"/>
              </w:rPr>
              <w:t>10.10</w:t>
            </w:r>
          </w:p>
        </w:tc>
        <w:tc>
          <w:tcPr>
            <w:tcW w:w="122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365"/>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1"/>
              </w:rPr>
              <w:t>10.9</w:t>
            </w:r>
          </w:p>
        </w:tc>
        <w:tc>
          <w:tcPr>
            <w:tcW w:w="1220" w:type="dxa"/>
            <w:vAlign w:val="bottom"/>
          </w:tcPr>
          <w:p>
            <w:pPr>
              <w:jc w:val="right"/>
              <w:spacing w:after="0"/>
              <w:rPr>
                <w:sz w:val="20"/>
                <w:szCs w:val="20"/>
                <w:color w:val="auto"/>
              </w:rPr>
            </w:pPr>
            <w:r>
              <w:rPr>
                <w:rFonts w:ascii="Arial" w:cs="Arial" w:eastAsia="Arial" w:hAnsi="Arial"/>
                <w:sz w:val="18"/>
                <w:szCs w:val="18"/>
                <w:color w:val="auto"/>
              </w:rPr>
              <w:t>11/8/2017</w:t>
            </w:r>
          </w:p>
        </w:tc>
      </w:tr>
      <w:tr>
        <w:trPr>
          <w:trHeight w:val="581"/>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3"/>
              </w:rPr>
              <w:t>10.9(i)</w:t>
            </w:r>
          </w:p>
        </w:tc>
        <w:tc>
          <w:tcPr>
            <w:tcW w:w="1220" w:type="dxa"/>
            <w:vAlign w:val="bottom"/>
          </w:tcPr>
          <w:p>
            <w:pPr>
              <w:jc w:val="right"/>
              <w:spacing w:after="0"/>
              <w:rPr>
                <w:sz w:val="20"/>
                <w:szCs w:val="20"/>
                <w:color w:val="auto"/>
              </w:rPr>
            </w:pPr>
            <w:r>
              <w:rPr>
                <w:rFonts w:ascii="Arial" w:cs="Arial" w:eastAsia="Arial" w:hAnsi="Arial"/>
                <w:sz w:val="18"/>
                <w:szCs w:val="18"/>
                <w:color w:val="auto"/>
              </w:rPr>
              <w:t>2/27/2019</w:t>
            </w:r>
          </w:p>
        </w:tc>
      </w:tr>
      <w:tr>
        <w:trPr>
          <w:trHeight w:val="797"/>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88"/>
              </w:rPr>
              <w:t>10.12</w:t>
            </w:r>
          </w:p>
        </w:tc>
        <w:tc>
          <w:tcPr>
            <w:tcW w:w="1220" w:type="dxa"/>
            <w:vAlign w:val="bottom"/>
          </w:tcPr>
          <w:p>
            <w:pPr>
              <w:jc w:val="right"/>
              <w:spacing w:after="0"/>
              <w:rPr>
                <w:sz w:val="20"/>
                <w:szCs w:val="20"/>
                <w:color w:val="auto"/>
              </w:rPr>
            </w:pPr>
            <w:r>
              <w:rPr>
                <w:rFonts w:ascii="Arial" w:cs="Arial" w:eastAsia="Arial" w:hAnsi="Arial"/>
                <w:sz w:val="18"/>
                <w:szCs w:val="18"/>
                <w:color w:val="auto"/>
              </w:rPr>
              <w:t>10/1/2014</w:t>
            </w:r>
          </w:p>
        </w:tc>
      </w:tr>
    </w:tbl>
    <w:p>
      <w:pPr>
        <w:sectPr>
          <w:pgSz w:w="11900" w:h="16838" w:orient="portrait"/>
          <w:cols w:equalWidth="0" w:num="2">
            <w:col w:w="6020" w:space="300"/>
            <w:col w:w="4560"/>
          </w:cols>
          <w:pgMar w:left="240" w:top="338" w:right="77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4540" w:type="dxa"/>
            <w:vAlign w:val="bottom"/>
            <w:tcBorders>
              <w:bottom w:val="single" w:sz="8" w:color="0000EE"/>
            </w:tcBorders>
            <w:gridSpan w:val="27"/>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Amendment to Anemia License and Collaboration Agreement,</w:t>
              </w:r>
            </w:hyperlink>
          </w:p>
        </w:tc>
        <w:tc>
          <w:tcPr>
            <w:tcW w:w="8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1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by and between FibroGen, Inc. and Astellas Pharma Inc.,</w:t>
              </w:r>
            </w:hyperlink>
          </w:p>
        </w:tc>
        <w:tc>
          <w:tcPr>
            <w:tcW w:w="50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effective as of August 31, 2006.</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4080" w:type="dxa"/>
            <w:vAlign w:val="bottom"/>
            <w:tcBorders>
              <w:bottom w:val="single" w:sz="8" w:color="0000EE"/>
            </w:tcBorders>
            <w:gridSpan w:val="17"/>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Amendment No. 2 to Anemia License and Collaboration</w:t>
              </w:r>
            </w:hyperlink>
          </w:p>
        </w:tc>
        <w:tc>
          <w:tcPr>
            <w:tcW w:w="540" w:type="dxa"/>
            <w:vAlign w:val="bottom"/>
            <w:gridSpan w:val="1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0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Agreement, by and between FibroGen, Inc. and Astellas</w:t>
              </w:r>
            </w:hyperlink>
          </w:p>
        </w:tc>
        <w:tc>
          <w:tcPr>
            <w:tcW w:w="560" w:type="dxa"/>
            <w:vAlign w:val="bottom"/>
            <w:gridSpan w:val="1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Pharma Inc., effective as of December 1, 2006.</w:t>
              </w:r>
            </w:hyperlink>
          </w:p>
        </w:tc>
        <w:tc>
          <w:tcPr>
            <w:tcW w:w="122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10.13†</w:t>
            </w:r>
          </w:p>
        </w:tc>
        <w:tc>
          <w:tcPr>
            <w:tcW w:w="4520" w:type="dxa"/>
            <w:vAlign w:val="bottom"/>
            <w:tcBorders>
              <w:bottom w:val="single" w:sz="8" w:color="0000EE"/>
            </w:tcBorders>
            <w:gridSpan w:val="26"/>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Supplement to Anemia License and Collaboration Agreement,</w:t>
              </w:r>
            </w:hyperlink>
          </w:p>
        </w:tc>
        <w:tc>
          <w:tcPr>
            <w:tcW w:w="10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1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by and between FibroGen, Inc. and Astellas Pharma Inc.,</w:t>
              </w:r>
            </w:hyperlink>
          </w:p>
        </w:tc>
        <w:tc>
          <w:tcPr>
            <w:tcW w:w="500" w:type="dxa"/>
            <w:vAlign w:val="bottom"/>
            <w:gridSpan w:val="1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effective as of April 28, 2006.</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10.14†</w:t>
            </w:r>
          </w:p>
        </w:tc>
        <w:tc>
          <w:tcPr>
            <w:tcW w:w="4080" w:type="dxa"/>
            <w:vAlign w:val="bottom"/>
            <w:tcBorders>
              <w:bottom w:val="single" w:sz="8" w:color="0000EE"/>
            </w:tcBorders>
            <w:gridSpan w:val="17"/>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Amendment No. 3 to Anemia License and Collaboration</w:t>
              </w:r>
            </w:hyperlink>
          </w:p>
        </w:tc>
        <w:tc>
          <w:tcPr>
            <w:tcW w:w="540" w:type="dxa"/>
            <w:vAlign w:val="bottom"/>
            <w:gridSpan w:val="1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0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20">
              <w:r>
                <w:rPr>
                  <w:rFonts w:ascii="Arial" w:cs="Arial" w:eastAsia="Arial" w:hAnsi="Arial"/>
                  <w:sz w:val="18"/>
                  <w:szCs w:val="18"/>
                  <w:color w:val="0000EE"/>
                  <w:w w:val="90"/>
                </w:rPr>
                <w:t>Agreement, by and between FibroGen, Inc. and Astellas</w:t>
              </w:r>
            </w:hyperlink>
          </w:p>
        </w:tc>
        <w:tc>
          <w:tcPr>
            <w:tcW w:w="560" w:type="dxa"/>
            <w:vAlign w:val="bottom"/>
            <w:gridSpan w:val="14"/>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Pharma Inc., dated as of May 10, 2012.</w:t>
              </w:r>
            </w:hyperlink>
          </w:p>
        </w:tc>
        <w:tc>
          <w:tcPr>
            <w:tcW w:w="1780" w:type="dxa"/>
            <w:vAlign w:val="bottom"/>
            <w:gridSpan w:val="21"/>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10.15†</w:t>
            </w:r>
          </w:p>
        </w:tc>
        <w:tc>
          <w:tcPr>
            <w:tcW w:w="3640" w:type="dxa"/>
            <w:vAlign w:val="bottom"/>
            <w:tcBorders>
              <w:bottom w:val="single" w:sz="8" w:color="0000EE"/>
            </w:tcBorders>
            <w:gridSpan w:val="12"/>
          </w:tcPr>
          <w:p>
            <w:pPr>
              <w:spacing w:after="0"/>
              <w:rPr>
                <w:rFonts w:ascii="Arial" w:cs="Arial" w:eastAsia="Arial" w:hAnsi="Arial"/>
                <w:sz w:val="18"/>
                <w:szCs w:val="18"/>
                <w:color w:val="0000EE"/>
                <w:w w:val="88"/>
              </w:rPr>
            </w:pPr>
            <w:hyperlink r:id="rId221">
              <w:r>
                <w:rPr>
                  <w:rFonts w:ascii="Arial" w:cs="Arial" w:eastAsia="Arial" w:hAnsi="Arial"/>
                  <w:sz w:val="18"/>
                  <w:szCs w:val="18"/>
                  <w:color w:val="0000EE"/>
                  <w:w w:val="88"/>
                </w:rPr>
                <w:t>Amended and Restated License, Development and</w:t>
              </w:r>
            </w:hyperlink>
          </w:p>
        </w:tc>
        <w:tc>
          <w:tcPr>
            <w:tcW w:w="980" w:type="dxa"/>
            <w:vAlign w:val="bottom"/>
            <w:gridSpan w:val="18"/>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Commercialization Agreement (China) by and among FibroGen</w:t>
              </w:r>
            </w:hyperlink>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China Anemia Holdings, Ltd., Beijing FibroGen Medical</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3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Technology Development Co., Ltd., FibroGen International</w:t>
              </w:r>
            </w:hyperlink>
          </w:p>
        </w:tc>
        <w:tc>
          <w:tcPr>
            <w:tcW w:w="320" w:type="dxa"/>
            <w:vAlign w:val="bottom"/>
            <w:gridSpan w:val="10"/>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2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(Hong Kong) Limited and AstraZeneca AB, effective as of</w:t>
              </w:r>
            </w:hyperlink>
          </w:p>
        </w:tc>
        <w:tc>
          <w:tcPr>
            <w:tcW w:w="380" w:type="dxa"/>
            <w:vAlign w:val="bottom"/>
            <w:gridSpan w:val="11"/>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21">
              <w:r>
                <w:rPr>
                  <w:rFonts w:ascii="Arial" w:cs="Arial" w:eastAsia="Arial" w:hAnsi="Arial"/>
                  <w:sz w:val="18"/>
                  <w:szCs w:val="18"/>
                  <w:color w:val="0000EE"/>
                  <w:w w:val="89"/>
                </w:rPr>
                <w:t>July 30, 2013.</w:t>
              </w:r>
            </w:hyperlink>
          </w:p>
        </w:tc>
        <w:tc>
          <w:tcPr>
            <w:tcW w:w="3600" w:type="dxa"/>
            <w:vAlign w:val="bottom"/>
            <w:gridSpan w:val="2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10.16†</w:t>
            </w:r>
          </w:p>
        </w:tc>
        <w:tc>
          <w:tcPr>
            <w:tcW w:w="3640" w:type="dxa"/>
            <w:vAlign w:val="bottom"/>
            <w:tcBorders>
              <w:bottom w:val="single" w:sz="8" w:color="0000EE"/>
            </w:tcBorders>
            <w:gridSpan w:val="12"/>
          </w:tcPr>
          <w:p>
            <w:pPr>
              <w:spacing w:after="0"/>
              <w:rPr>
                <w:rFonts w:ascii="Arial" w:cs="Arial" w:eastAsia="Arial" w:hAnsi="Arial"/>
                <w:sz w:val="18"/>
                <w:szCs w:val="18"/>
                <w:color w:val="0000EE"/>
                <w:w w:val="88"/>
              </w:rPr>
            </w:pPr>
            <w:hyperlink r:id="rId222">
              <w:r>
                <w:rPr>
                  <w:rFonts w:ascii="Arial" w:cs="Arial" w:eastAsia="Arial" w:hAnsi="Arial"/>
                  <w:sz w:val="18"/>
                  <w:szCs w:val="18"/>
                  <w:color w:val="0000EE"/>
                  <w:w w:val="88"/>
                </w:rPr>
                <w:t>Amended and Restated License, Development and</w:t>
              </w:r>
            </w:hyperlink>
          </w:p>
        </w:tc>
        <w:tc>
          <w:tcPr>
            <w:tcW w:w="980" w:type="dxa"/>
            <w:vAlign w:val="bottom"/>
            <w:gridSpan w:val="18"/>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Commercialization Agreement by and between Registrant and</w:t>
              </w:r>
            </w:hyperlink>
          </w:p>
        </w:tc>
        <w:tc>
          <w:tcPr>
            <w:tcW w:w="120" w:type="dxa"/>
            <w:vAlign w:val="bottom"/>
            <w:gridSpan w:val="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AstraZeneca AB, effective as of July 30, 2013.</w:t>
              </w:r>
            </w:hyperlink>
          </w:p>
        </w:tc>
        <w:tc>
          <w:tcPr>
            <w:tcW w:w="1240" w:type="dxa"/>
            <w:vAlign w:val="bottom"/>
            <w:gridSpan w:val="20"/>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10.17†</w:t>
            </w:r>
          </w:p>
        </w:tc>
        <w:tc>
          <w:tcPr>
            <w:tcW w:w="4620" w:type="dxa"/>
            <w:vAlign w:val="bottom"/>
            <w:gridSpan w:val="30"/>
          </w:tcPr>
          <w:p>
            <w:pPr>
              <w:spacing w:after="0"/>
              <w:rPr>
                <w:rFonts w:ascii="Arial" w:cs="Arial" w:eastAsia="Arial" w:hAnsi="Arial"/>
                <w:sz w:val="18"/>
                <w:szCs w:val="18"/>
                <w:color w:val="0000EE"/>
                <w:w w:val="97"/>
              </w:rPr>
            </w:pPr>
            <w:hyperlink r:id="rId223">
              <w:r>
                <w:rPr>
                  <w:rFonts w:ascii="Arial" w:cs="Arial" w:eastAsia="Arial" w:hAnsi="Arial"/>
                  <w:sz w:val="18"/>
                  <w:szCs w:val="18"/>
                  <w:color w:val="0000EE"/>
                  <w:w w:val="97"/>
                </w:rPr>
                <w:t>License Agreement by and between FibroGen, Inc. and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3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23">
              <w:r>
                <w:rPr>
                  <w:rFonts w:ascii="Arial" w:cs="Arial" w:eastAsia="Arial" w:hAnsi="Arial"/>
                  <w:sz w:val="18"/>
                  <w:szCs w:val="18"/>
                  <w:color w:val="0000EE"/>
                  <w:w w:val="92"/>
                </w:rPr>
                <w:t>University of Miami and its School of Medicine, dated as of</w:t>
              </w:r>
            </w:hyperlink>
          </w:p>
        </w:tc>
        <w:tc>
          <w:tcPr>
            <w:tcW w:w="280" w:type="dxa"/>
            <w:vAlign w:val="bottom"/>
            <w:gridSpan w:val="9"/>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May 23, 1997.</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4480" w:type="dxa"/>
            <w:vAlign w:val="bottom"/>
            <w:tcBorders>
              <w:bottom w:val="single" w:sz="8" w:color="0000EE"/>
            </w:tcBorders>
            <w:gridSpan w:val="24"/>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First Amendment to May 23, 1997 License Agreement by and</w:t>
              </w:r>
            </w:hyperlink>
          </w:p>
        </w:tc>
        <w:tc>
          <w:tcPr>
            <w:tcW w:w="140" w:type="dxa"/>
            <w:vAlign w:val="bottom"/>
            <w:gridSpan w:val="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4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between FibroGen, Inc. and University of Miami, effective as</w:t>
              </w:r>
            </w:hyperlink>
          </w:p>
        </w:tc>
        <w:tc>
          <w:tcPr>
            <w:tcW w:w="18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of July 29, 1999.</w:t>
              </w:r>
            </w:hyperlink>
          </w:p>
        </w:tc>
        <w:tc>
          <w:tcPr>
            <w:tcW w:w="3400" w:type="dxa"/>
            <w:vAlign w:val="bottom"/>
            <w:gridSpan w:val="2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4300" w:type="dxa"/>
            <w:vAlign w:val="bottom"/>
            <w:tcBorders>
              <w:bottom w:val="single" w:sz="8" w:color="0000EE"/>
            </w:tcBorders>
            <w:gridSpan w:val="20"/>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Research and Commercialization Agreement by and among</w:t>
              </w:r>
            </w:hyperlink>
          </w:p>
        </w:tc>
        <w:tc>
          <w:tcPr>
            <w:tcW w:w="320" w:type="dxa"/>
            <w:vAlign w:val="bottom"/>
            <w:gridSpan w:val="10"/>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FibroGen, Inc., GenPharm International Inc., Medarex, Inc. and</w:t>
              </w:r>
            </w:hyperlink>
          </w:p>
        </w:tc>
        <w:tc>
          <w:tcPr>
            <w:tcW w:w="2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FibroPharma, Inc., effective as of July 9, 1998.</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10.20</w:t>
            </w:r>
          </w:p>
        </w:tc>
        <w:tc>
          <w:tcPr>
            <w:tcW w:w="3960" w:type="dxa"/>
            <w:vAlign w:val="bottom"/>
            <w:tcBorders>
              <w:bottom w:val="single" w:sz="8" w:color="0000EE"/>
            </w:tcBorders>
            <w:gridSpan w:val="14"/>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Amendment No. 1 to Research and Commercialization</w:t>
              </w:r>
            </w:hyperlink>
          </w:p>
        </w:tc>
        <w:tc>
          <w:tcPr>
            <w:tcW w:w="660" w:type="dxa"/>
            <w:vAlign w:val="bottom"/>
            <w:gridSpan w:val="1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Agreement by and among FibroGen, Inc., GenPharm</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International Inc., Medarex, Inc. and FibroPharma, Inc.,</w:t>
              </w:r>
            </w:hyperlink>
          </w:p>
        </w:tc>
        <w:tc>
          <w:tcPr>
            <w:tcW w:w="580" w:type="dxa"/>
            <w:vAlign w:val="bottom"/>
            <w:gridSpan w:val="1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effective as of June 30, 2001.</w:t>
              </w:r>
            </w:hyperlink>
          </w:p>
        </w:tc>
        <w:tc>
          <w:tcPr>
            <w:tcW w:w="2460" w:type="dxa"/>
            <w:vAlign w:val="bottom"/>
            <w:gridSpan w:val="24"/>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10.21†</w:t>
            </w:r>
          </w:p>
        </w:tc>
        <w:tc>
          <w:tcPr>
            <w:tcW w:w="3960" w:type="dxa"/>
            <w:vAlign w:val="bottom"/>
            <w:tcBorders>
              <w:bottom w:val="single" w:sz="8" w:color="0000EE"/>
            </w:tcBorders>
            <w:gridSpan w:val="14"/>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Amendment No. 2 to Research and Commercialization</w:t>
              </w:r>
            </w:hyperlink>
          </w:p>
        </w:tc>
        <w:tc>
          <w:tcPr>
            <w:tcW w:w="660" w:type="dxa"/>
            <w:vAlign w:val="bottom"/>
            <w:gridSpan w:val="16"/>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Agreement by and among FibroGen, Inc., GenPharm</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0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International Inc., Medarex, Inc. and FibroPharma, Inc.,</w:t>
              </w:r>
            </w:hyperlink>
          </w:p>
        </w:tc>
        <w:tc>
          <w:tcPr>
            <w:tcW w:w="580" w:type="dxa"/>
            <w:vAlign w:val="bottom"/>
            <w:gridSpan w:val="15"/>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27">
              <w:r>
                <w:rPr>
                  <w:rFonts w:ascii="Arial" w:cs="Arial" w:eastAsia="Arial" w:hAnsi="Arial"/>
                  <w:sz w:val="18"/>
                  <w:szCs w:val="18"/>
                  <w:color w:val="0000EE"/>
                  <w:w w:val="89"/>
                </w:rPr>
                <w:t>effective as of January 28, 2002.</w:t>
              </w:r>
            </w:hyperlink>
          </w:p>
        </w:tc>
        <w:tc>
          <w:tcPr>
            <w:tcW w:w="2280" w:type="dxa"/>
            <w:vAlign w:val="bottom"/>
            <w:gridSpan w:val="22"/>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10.22†</w:t>
            </w:r>
          </w:p>
        </w:tc>
        <w:tc>
          <w:tcPr>
            <w:tcW w:w="4620" w:type="dxa"/>
            <w:vAlign w:val="bottom"/>
            <w:gridSpan w:val="30"/>
          </w:tcPr>
          <w:p>
            <w:pPr>
              <w:spacing w:after="0"/>
              <w:rPr>
                <w:rFonts w:ascii="Arial" w:cs="Arial" w:eastAsia="Arial" w:hAnsi="Arial"/>
                <w:sz w:val="18"/>
                <w:szCs w:val="18"/>
                <w:color w:val="0000EE"/>
                <w:w w:val="97"/>
              </w:rPr>
            </w:pPr>
            <w:hyperlink r:id="rId228">
              <w:r>
                <w:rPr>
                  <w:rFonts w:ascii="Arial" w:cs="Arial" w:eastAsia="Arial" w:hAnsi="Arial"/>
                  <w:sz w:val="18"/>
                  <w:szCs w:val="18"/>
                  <w:color w:val="0000EE"/>
                  <w:w w:val="97"/>
                </w:rPr>
                <w:t>License Agreement by and between FibroGen, Inc. and the</w:t>
              </w:r>
            </w:hyperlink>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360" w:type="dxa"/>
            <w:vAlign w:val="bottom"/>
            <w:tcBorders>
              <w:right w:val="single" w:sz="8" w:color="0000EE"/>
            </w:tcBorders>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6"/>
              </w:rPr>
            </w:pPr>
            <w:hyperlink r:id="rId228">
              <w:r>
                <w:rPr>
                  <w:rFonts w:ascii="Arial" w:cs="Arial" w:eastAsia="Arial" w:hAnsi="Arial"/>
                  <w:sz w:val="18"/>
                  <w:szCs w:val="18"/>
                  <w:color w:val="0000EE"/>
                  <w:w w:val="96"/>
                </w:rPr>
                <w:t>Dana-Farber Cancer Institute, Inc., effective as of March 29,</w:t>
              </w:r>
            </w:hyperlink>
          </w:p>
        </w:tc>
      </w:tr>
      <w:tr>
        <w:trPr>
          <w:trHeight w:val="196"/>
        </w:trPr>
        <w:tc>
          <w:tcPr>
            <w:tcW w:w="14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8">
              <w:r>
                <w:rPr>
                  <w:rFonts w:ascii="Arial" w:cs="Arial" w:eastAsia="Arial" w:hAnsi="Arial"/>
                  <w:sz w:val="18"/>
                  <w:szCs w:val="18"/>
                  <w:color w:val="0000EE"/>
                  <w:w w:val="84"/>
                </w:rPr>
                <w:t>2006.</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10.23</w:t>
            </w:r>
          </w:p>
        </w:tc>
        <w:tc>
          <w:tcPr>
            <w:tcW w:w="4120" w:type="dxa"/>
            <w:vAlign w:val="bottom"/>
            <w:tcBorders>
              <w:bottom w:val="single" w:sz="8" w:color="0000EE"/>
            </w:tcBorders>
            <w:gridSpan w:val="18"/>
          </w:tcPr>
          <w:p>
            <w:pPr>
              <w:spacing w:after="0"/>
              <w:rPr>
                <w:rFonts w:ascii="Arial" w:cs="Arial" w:eastAsia="Arial" w:hAnsi="Arial"/>
                <w:sz w:val="18"/>
                <w:szCs w:val="18"/>
                <w:color w:val="0000EE"/>
                <w:w w:val="89"/>
              </w:rPr>
            </w:pPr>
            <w:hyperlink r:id="rId229">
              <w:r>
                <w:rPr>
                  <w:rFonts w:ascii="Arial" w:cs="Arial" w:eastAsia="Arial" w:hAnsi="Arial"/>
                  <w:sz w:val="18"/>
                  <w:szCs w:val="18"/>
                  <w:color w:val="0000EE"/>
                  <w:w w:val="89"/>
                </w:rPr>
                <w:t>Amendment No. 1 to License agreement by and between</w:t>
              </w:r>
            </w:hyperlink>
          </w:p>
        </w:tc>
        <w:tc>
          <w:tcPr>
            <w:tcW w:w="500" w:type="dxa"/>
            <w:vAlign w:val="bottom"/>
            <w:gridSpan w:val="1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20" w:type="dxa"/>
            <w:vAlign w:val="bottom"/>
            <w:gridSpan w:val="30"/>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FibroGen, Inc. and Dana-Farber Cancer Institute, Inc., effective</w:t>
              </w:r>
            </w:hyperlink>
          </w:p>
        </w:tc>
      </w:tr>
      <w:tr>
        <w:trPr>
          <w:trHeight w:val="196"/>
        </w:trPr>
        <w:tc>
          <w:tcPr>
            <w:tcW w:w="14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229">
              <w:r>
                <w:rPr>
                  <w:rFonts w:ascii="Arial" w:cs="Arial" w:eastAsia="Arial" w:hAnsi="Arial"/>
                  <w:sz w:val="18"/>
                  <w:szCs w:val="18"/>
                  <w:color w:val="0000EE"/>
                  <w:w w:val="88"/>
                </w:rPr>
                <w:t>as of February 28, 2006.</w:t>
              </w:r>
            </w:hyperlink>
          </w:p>
        </w:tc>
        <w:tc>
          <w:tcPr>
            <w:tcW w:w="282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480" w:type="dxa"/>
            <w:vAlign w:val="bottom"/>
            <w:gridSpan w:val="24"/>
          </w:tcPr>
          <w:p>
            <w:pPr>
              <w:ind w:left="4180"/>
              <w:spacing w:after="0"/>
              <w:rPr>
                <w:sz w:val="20"/>
                <w:szCs w:val="20"/>
                <w:color w:val="auto"/>
              </w:rPr>
            </w:pPr>
            <w:r>
              <w:rPr>
                <w:rFonts w:ascii="Arial" w:cs="Arial" w:eastAsia="Arial" w:hAnsi="Arial"/>
                <w:sz w:val="18"/>
                <w:szCs w:val="18"/>
                <w:color w:val="auto"/>
                <w:w w:val="93"/>
              </w:rPr>
              <w:t>154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10.13</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10.14</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10.15</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10.17</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0"/>
              </w:rPr>
              <w:t>10/23/2014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98"/>
              </w:rPr>
              <w:t>10-Q/A</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0"/>
              </w:rPr>
              <w:t>12/14/2017</w:t>
            </w:r>
          </w:p>
        </w:tc>
      </w:tr>
      <w:tr>
        <w:trPr>
          <w:trHeight w:val="797"/>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10.19</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10.20</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10.21</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10.22</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1013"/>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10.23</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1013"/>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10.24</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r>
        <w:trPr>
          <w:trHeight w:val="797"/>
        </w:trPr>
        <w:tc>
          <w:tcPr>
            <w:tcW w:w="76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10.25</w:t>
            </w:r>
          </w:p>
        </w:tc>
        <w:tc>
          <w:tcPr>
            <w:tcW w:w="1300" w:type="dxa"/>
            <w:vAlign w:val="bottom"/>
          </w:tcPr>
          <w:p>
            <w:pPr>
              <w:jc w:val="center"/>
              <w:ind w:left="390"/>
              <w:spacing w:after="0"/>
              <w:rPr>
                <w:sz w:val="20"/>
                <w:szCs w:val="20"/>
                <w:color w:val="auto"/>
              </w:rPr>
            </w:pPr>
            <w:r>
              <w:rPr>
                <w:rFonts w:ascii="Arial" w:cs="Arial" w:eastAsia="Arial" w:hAnsi="Arial"/>
                <w:sz w:val="18"/>
                <w:szCs w:val="18"/>
                <w:color w:val="auto"/>
                <w:w w:val="92"/>
              </w:rPr>
              <w:t>10/1/2014</w:t>
            </w:r>
          </w:p>
        </w:tc>
      </w:tr>
    </w:tbl>
    <w:p>
      <w:pPr>
        <w:sectPr>
          <w:pgSz w:w="11900" w:h="16838" w:orient="portrait"/>
          <w:cols w:equalWidth="0" w:num="2">
            <w:col w:w="6020" w:space="240"/>
            <w:col w:w="4620"/>
          </w:cols>
          <w:pgMar w:left="240" w:top="338" w:right="77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10.24</w:t>
            </w:r>
          </w:p>
        </w:tc>
        <w:tc>
          <w:tcPr>
            <w:tcW w:w="4600" w:type="dxa"/>
            <w:vAlign w:val="bottom"/>
            <w:gridSpan w:val="20"/>
          </w:tcPr>
          <w:p>
            <w:pPr>
              <w:spacing w:after="0"/>
              <w:rPr>
                <w:rFonts w:ascii="Arial" w:cs="Arial" w:eastAsia="Arial" w:hAnsi="Arial"/>
                <w:sz w:val="18"/>
                <w:szCs w:val="18"/>
                <w:color w:val="0000EE"/>
              </w:rPr>
            </w:pPr>
            <w:hyperlink r:id="rId231">
              <w:r>
                <w:rPr>
                  <w:rFonts w:ascii="Arial" w:cs="Arial" w:eastAsia="Arial" w:hAnsi="Arial"/>
                  <w:sz w:val="18"/>
                  <w:szCs w:val="18"/>
                  <w:color w:val="0000EE"/>
                </w:rPr>
                <w:t>Amendment No. 2 to License Agreement by and between</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0"/>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FibroGen, Inc. and Dana-Farber Cancer Institute, Inc., effective</w:t>
              </w:r>
            </w:hyperlink>
          </w:p>
        </w:tc>
      </w:tr>
      <w:tr>
        <w:trPr>
          <w:trHeight w:val="196"/>
        </w:trPr>
        <w:tc>
          <w:tcPr>
            <w:tcW w:w="14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231">
              <w:r>
                <w:rPr>
                  <w:rFonts w:ascii="Arial" w:cs="Arial" w:eastAsia="Arial" w:hAnsi="Arial"/>
                  <w:sz w:val="18"/>
                  <w:szCs w:val="18"/>
                  <w:color w:val="0000EE"/>
                  <w:w w:val="89"/>
                </w:rPr>
                <w:t>as of March 14, 2006.</w:t>
              </w:r>
            </w:hyperlink>
          </w:p>
        </w:tc>
        <w:tc>
          <w:tcPr>
            <w:tcW w:w="30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10.25+</w:t>
            </w:r>
          </w:p>
        </w:tc>
        <w:tc>
          <w:tcPr>
            <w:tcW w:w="4600" w:type="dxa"/>
            <w:vAlign w:val="bottom"/>
            <w:gridSpan w:val="20"/>
          </w:tcPr>
          <w:p>
            <w:pPr>
              <w:spacing w:after="0"/>
              <w:rPr>
                <w:rFonts w:ascii="Arial" w:cs="Arial" w:eastAsia="Arial" w:hAnsi="Arial"/>
                <w:sz w:val="18"/>
                <w:szCs w:val="18"/>
                <w:color w:val="0000EE"/>
                <w:w w:val="93"/>
              </w:rPr>
            </w:pPr>
            <w:hyperlink r:id="rId232">
              <w:r>
                <w:rPr>
                  <w:rFonts w:ascii="Arial" w:cs="Arial" w:eastAsia="Arial" w:hAnsi="Arial"/>
                  <w:sz w:val="18"/>
                  <w:szCs w:val="18"/>
                  <w:color w:val="0000EE"/>
                  <w:w w:val="93"/>
                </w:rPr>
                <w:t>Form of Indemnity Agreement by and between FibroGen, Inc.</w:t>
              </w:r>
            </w:hyperlink>
          </w:p>
        </w:tc>
      </w:tr>
      <w:tr>
        <w:trPr>
          <w:trHeight w:val="196"/>
        </w:trPr>
        <w:tc>
          <w:tcPr>
            <w:tcW w:w="14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232">
              <w:r>
                <w:rPr>
                  <w:rFonts w:ascii="Arial" w:cs="Arial" w:eastAsia="Arial" w:hAnsi="Arial"/>
                  <w:sz w:val="18"/>
                  <w:szCs w:val="18"/>
                  <w:color w:val="0000EE"/>
                  <w:w w:val="90"/>
                </w:rPr>
                <w:t>and its directors and officers.</w:t>
              </w:r>
            </w:hyperlink>
          </w:p>
        </w:tc>
        <w:tc>
          <w:tcPr>
            <w:tcW w:w="2380" w:type="dxa"/>
            <w:vAlign w:val="bottom"/>
            <w:tcBorders>
              <w:top w:val="single" w:sz="8" w:color="0000EE"/>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w:t>
            </w:r>
          </w:p>
        </w:tc>
        <w:tc>
          <w:tcPr>
            <w:tcW w:w="4420" w:type="dxa"/>
            <w:vAlign w:val="bottom"/>
            <w:tcBorders>
              <w:bottom w:val="single" w:sz="8" w:color="0000EE"/>
            </w:tcBorders>
            <w:gridSpan w:val="17"/>
          </w:tcPr>
          <w:p>
            <w:pPr>
              <w:spacing w:after="0"/>
              <w:rPr>
                <w:rFonts w:ascii="Arial" w:cs="Arial" w:eastAsia="Arial" w:hAnsi="Arial"/>
                <w:sz w:val="18"/>
                <w:szCs w:val="18"/>
                <w:color w:val="0000EE"/>
                <w:w w:val="90"/>
              </w:rPr>
            </w:pPr>
            <w:hyperlink r:id="rId233">
              <w:r>
                <w:rPr>
                  <w:rFonts w:ascii="Arial" w:cs="Arial" w:eastAsia="Arial" w:hAnsi="Arial"/>
                  <w:sz w:val="18"/>
                  <w:szCs w:val="18"/>
                  <w:color w:val="0000EE"/>
                  <w:w w:val="90"/>
                </w:rPr>
                <w:t>Process Development and Clinical Supply Agreement by and</w:t>
              </w:r>
            </w:hyperlink>
          </w:p>
        </w:tc>
        <w:tc>
          <w:tcPr>
            <w:tcW w:w="180" w:type="dxa"/>
            <w:vAlign w:val="bottom"/>
            <w:gridSpan w:val="3"/>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gridSpan w:val="20"/>
          </w:tcPr>
          <w:p>
            <w:pPr>
              <w:spacing w:after="0" w:line="196" w:lineRule="exact"/>
              <w:rPr>
                <w:rFonts w:ascii="Arial" w:cs="Arial" w:eastAsia="Arial" w:hAnsi="Arial"/>
                <w:sz w:val="18"/>
                <w:szCs w:val="18"/>
                <w:color w:val="0000EE"/>
                <w:w w:val="98"/>
              </w:rPr>
            </w:pPr>
            <w:hyperlink r:id="rId233">
              <w:r>
                <w:rPr>
                  <w:rFonts w:ascii="Arial" w:cs="Arial" w:eastAsia="Arial" w:hAnsi="Arial"/>
                  <w:sz w:val="18"/>
                  <w:szCs w:val="18"/>
                  <w:color w:val="0000EE"/>
                  <w:w w:val="98"/>
                </w:rPr>
                <w:t>between FibroGen, Inc. and Boehringer Ingelheim Pharma</w:t>
              </w:r>
            </w:hyperlink>
          </w:p>
        </w:tc>
      </w:tr>
      <w:tr>
        <w:trPr>
          <w:trHeight w:val="196"/>
        </w:trPr>
        <w:tc>
          <w:tcPr>
            <w:tcW w:w="1400" w:type="dxa"/>
            <w:vAlign w:val="bottom"/>
          </w:tcPr>
          <w:p>
            <w:pPr>
              <w:spacing w:after="0"/>
              <w:rPr>
                <w:sz w:val="17"/>
                <w:szCs w:val="17"/>
                <w:color w:val="auto"/>
              </w:rPr>
            </w:pPr>
          </w:p>
        </w:tc>
        <w:tc>
          <w:tcPr>
            <w:tcW w:w="4220" w:type="dxa"/>
            <w:vAlign w:val="bottom"/>
            <w:tcBorders>
              <w:top w:val="single" w:sz="8" w:color="0000EE"/>
            </w:tcBorders>
            <w:gridSpan w:val="15"/>
          </w:tcPr>
          <w:p>
            <w:pPr>
              <w:spacing w:after="0" w:line="196" w:lineRule="exact"/>
              <w:rPr>
                <w:rFonts w:ascii="Arial" w:cs="Arial" w:eastAsia="Arial" w:hAnsi="Arial"/>
                <w:sz w:val="18"/>
                <w:szCs w:val="18"/>
                <w:color w:val="0000EE"/>
                <w:w w:val="99"/>
              </w:rPr>
            </w:pPr>
            <w:hyperlink r:id="rId233">
              <w:r>
                <w:rPr>
                  <w:rFonts w:ascii="Arial" w:cs="Arial" w:eastAsia="Arial" w:hAnsi="Arial"/>
                  <w:sz w:val="18"/>
                  <w:szCs w:val="18"/>
                  <w:color w:val="0000EE"/>
                  <w:w w:val="99"/>
                </w:rPr>
                <w:t>GmbH &amp; Co. KG, effective as of November 29, 2007.</w:t>
              </w:r>
            </w:hyperlink>
          </w:p>
        </w:tc>
        <w:tc>
          <w:tcPr>
            <w:tcW w:w="38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10.26(ii)†</w:t>
            </w:r>
          </w:p>
        </w:tc>
        <w:tc>
          <w:tcPr>
            <w:tcW w:w="3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234">
              <w:r>
                <w:rPr>
                  <w:rFonts w:ascii="Arial" w:cs="Arial" w:eastAsia="Arial" w:hAnsi="Arial"/>
                  <w:sz w:val="18"/>
                  <w:szCs w:val="18"/>
                  <w:color w:val="0000EE"/>
                  <w:w w:val="90"/>
                </w:rPr>
                <w:t>Letter Agreement by and between FibroGen, Inc. and</w:t>
              </w:r>
            </w:hyperlink>
          </w:p>
        </w:tc>
        <w:tc>
          <w:tcPr>
            <w:tcW w:w="40" w:type="dxa"/>
            <w:vAlign w:val="bottom"/>
            <w:tcBorders>
              <w:top w:val="single" w:sz="8" w:color="0000EE"/>
            </w:tcBorders>
          </w:tcPr>
          <w:p>
            <w:pPr>
              <w:spacing w:after="0"/>
              <w:rPr>
                <w:sz w:val="24"/>
                <w:szCs w:val="24"/>
                <w:color w:val="auto"/>
              </w:rPr>
            </w:pPr>
          </w:p>
        </w:tc>
        <w:tc>
          <w:tcPr>
            <w:tcW w:w="700" w:type="dxa"/>
            <w:vAlign w:val="bottom"/>
            <w:gridSpan w:val="8"/>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34">
              <w:r>
                <w:rPr>
                  <w:rFonts w:ascii="Arial" w:cs="Arial" w:eastAsia="Arial" w:hAnsi="Arial"/>
                  <w:sz w:val="18"/>
                  <w:szCs w:val="18"/>
                  <w:color w:val="0000EE"/>
                  <w:w w:val="87"/>
                </w:rPr>
                <w:t>June 26, 2008.</w:t>
              </w:r>
            </w:hyperlink>
          </w:p>
        </w:tc>
        <w:tc>
          <w:tcPr>
            <w:tcW w:w="3540" w:type="dxa"/>
            <w:vAlign w:val="bottom"/>
            <w:gridSpan w:val="1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10.26(iii)†</w:t>
            </w:r>
          </w:p>
        </w:tc>
        <w:tc>
          <w:tcPr>
            <w:tcW w:w="3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Letter Agreement by and between FibroGen, Inc. and</w:t>
              </w:r>
            </w:hyperlink>
          </w:p>
        </w:tc>
        <w:tc>
          <w:tcPr>
            <w:tcW w:w="740" w:type="dxa"/>
            <w:vAlign w:val="bottom"/>
            <w:gridSpan w:val="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35">
              <w:r>
                <w:rPr>
                  <w:rFonts w:ascii="Arial" w:cs="Arial" w:eastAsia="Arial" w:hAnsi="Arial"/>
                  <w:sz w:val="18"/>
                  <w:szCs w:val="18"/>
                  <w:color w:val="0000EE"/>
                  <w:w w:val="89"/>
                </w:rPr>
                <w:t>August 18, 2008.</w:t>
              </w:r>
            </w:hyperlink>
          </w:p>
        </w:tc>
        <w:tc>
          <w:tcPr>
            <w:tcW w:w="3360" w:type="dxa"/>
            <w:vAlign w:val="bottom"/>
            <w:gridSpan w:val="1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10.26(iv)†</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36">
              <w:r>
                <w:rPr>
                  <w:rFonts w:ascii="Arial" w:cs="Arial" w:eastAsia="Arial" w:hAnsi="Arial"/>
                  <w:sz w:val="18"/>
                  <w:szCs w:val="18"/>
                  <w:color w:val="0000EE"/>
                  <w:w w:val="90"/>
                </w:rPr>
                <w:t>Amendment No. 1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May 28, 2009.</w:t>
              </w:r>
            </w:hyperlink>
          </w:p>
        </w:tc>
        <w:tc>
          <w:tcPr>
            <w:tcW w:w="3540" w:type="dxa"/>
            <w:vAlign w:val="bottom"/>
            <w:gridSpan w:val="1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37">
              <w:r>
                <w:rPr>
                  <w:rFonts w:ascii="Arial" w:cs="Arial" w:eastAsia="Arial" w:hAnsi="Arial"/>
                  <w:sz w:val="18"/>
                  <w:szCs w:val="18"/>
                  <w:color w:val="0000EE"/>
                  <w:w w:val="90"/>
                </w:rPr>
                <w:t>Amendment No. 3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7">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7">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0"/>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November 5, 2010.</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38">
              <w:r>
                <w:rPr>
                  <w:rFonts w:ascii="Arial" w:cs="Arial" w:eastAsia="Arial" w:hAnsi="Arial"/>
                  <w:sz w:val="18"/>
                  <w:szCs w:val="18"/>
                  <w:color w:val="0000EE"/>
                  <w:w w:val="90"/>
                </w:rPr>
                <w:t>Amendment No. 4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8">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238">
              <w:r>
                <w:rPr>
                  <w:rFonts w:ascii="Arial" w:cs="Arial" w:eastAsia="Arial" w:hAnsi="Arial"/>
                  <w:sz w:val="18"/>
                  <w:szCs w:val="18"/>
                  <w:color w:val="0000EE"/>
                  <w:w w:val="87"/>
                </w:rPr>
                <w:t>January 24, 2011.</w:t>
              </w:r>
            </w:hyperlink>
          </w:p>
        </w:tc>
        <w:tc>
          <w:tcPr>
            <w:tcW w:w="3320" w:type="dxa"/>
            <w:vAlign w:val="bottom"/>
            <w:gridSpan w:val="14"/>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10.26(vii)†</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39">
              <w:r>
                <w:rPr>
                  <w:rFonts w:ascii="Arial" w:cs="Arial" w:eastAsia="Arial" w:hAnsi="Arial"/>
                  <w:sz w:val="18"/>
                  <w:szCs w:val="18"/>
                  <w:color w:val="0000EE"/>
                  <w:w w:val="90"/>
                </w:rPr>
                <w:t>Amendment No. 5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9">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39">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239">
              <w:r>
                <w:rPr>
                  <w:rFonts w:ascii="Arial" w:cs="Arial" w:eastAsia="Arial" w:hAnsi="Arial"/>
                  <w:sz w:val="18"/>
                  <w:szCs w:val="18"/>
                  <w:color w:val="0000EE"/>
                  <w:w w:val="93"/>
                </w:rPr>
                <w:t>April 15, 2011.</w:t>
              </w:r>
            </w:hyperlink>
          </w:p>
        </w:tc>
        <w:tc>
          <w:tcPr>
            <w:tcW w:w="3500" w:type="dxa"/>
            <w:vAlign w:val="bottom"/>
            <w:gridSpan w:val="1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10.26(viii)†</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40">
              <w:r>
                <w:rPr>
                  <w:rFonts w:ascii="Arial" w:cs="Arial" w:eastAsia="Arial" w:hAnsi="Arial"/>
                  <w:sz w:val="18"/>
                  <w:szCs w:val="18"/>
                  <w:color w:val="0000EE"/>
                  <w:w w:val="90"/>
                </w:rPr>
                <w:t>Amendment No. 6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40">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0">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0"/>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May 26, 2011.</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10.26(ix)†</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Amendment No. 7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41">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1">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20"/>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January 1, 2012.</w:t>
              </w:r>
            </w:hyperlink>
          </w:p>
        </w:tc>
      </w:tr>
      <w:tr>
        <w:trPr>
          <w:trHeight w:val="20"/>
        </w:trPr>
        <w:tc>
          <w:tcPr>
            <w:tcW w:w="1400" w:type="dxa"/>
            <w:vAlign w:val="bottom"/>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42">
              <w:r>
                <w:rPr>
                  <w:rFonts w:ascii="Arial" w:cs="Arial" w:eastAsia="Arial" w:hAnsi="Arial"/>
                  <w:sz w:val="18"/>
                  <w:szCs w:val="18"/>
                  <w:color w:val="0000EE"/>
                  <w:w w:val="90"/>
                </w:rPr>
                <w:t>Amendment No. 8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42">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42">
              <w:r>
                <w:rPr>
                  <w:rFonts w:ascii="Arial" w:cs="Arial" w:eastAsia="Arial" w:hAnsi="Arial"/>
                  <w:sz w:val="18"/>
                  <w:szCs w:val="18"/>
                  <w:color w:val="0000EE"/>
                  <w:w w:val="89"/>
                </w:rPr>
                <w:t>July 10, 2012.</w:t>
              </w:r>
            </w:hyperlink>
          </w:p>
        </w:tc>
        <w:tc>
          <w:tcPr>
            <w:tcW w:w="3560" w:type="dxa"/>
            <w:vAlign w:val="bottom"/>
            <w:gridSpan w:val="19"/>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w:t>
            </w:r>
          </w:p>
        </w:tc>
        <w:tc>
          <w:tcPr>
            <w:tcW w:w="4320" w:type="dxa"/>
            <w:vAlign w:val="bottom"/>
            <w:tcBorders>
              <w:bottom w:val="single" w:sz="8" w:color="0000EE"/>
            </w:tcBorders>
            <w:gridSpan w:val="16"/>
          </w:tcPr>
          <w:p>
            <w:pPr>
              <w:spacing w:after="0"/>
              <w:rPr>
                <w:rFonts w:ascii="Arial" w:cs="Arial" w:eastAsia="Arial" w:hAnsi="Arial"/>
                <w:sz w:val="18"/>
                <w:szCs w:val="18"/>
                <w:color w:val="0000EE"/>
                <w:w w:val="90"/>
              </w:rPr>
            </w:pPr>
            <w:hyperlink r:id="rId243">
              <w:r>
                <w:rPr>
                  <w:rFonts w:ascii="Arial" w:cs="Arial" w:eastAsia="Arial" w:hAnsi="Arial"/>
                  <w:sz w:val="18"/>
                  <w:szCs w:val="18"/>
                  <w:color w:val="0000EE"/>
                  <w:w w:val="90"/>
                </w:rPr>
                <w:t>Amendment No. 9 to the Process Development and Clinical</w:t>
              </w:r>
            </w:hyperlink>
          </w:p>
        </w:tc>
        <w:tc>
          <w:tcPr>
            <w:tcW w:w="280" w:type="dxa"/>
            <w:vAlign w:val="bottom"/>
            <w:gridSpan w:val="4"/>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Supply Agreement by and between FibroGen, Inc. and</w:t>
              </w:r>
            </w:hyperlink>
          </w:p>
        </w:tc>
        <w:tc>
          <w:tcPr>
            <w:tcW w:w="660" w:type="dxa"/>
            <w:vAlign w:val="bottom"/>
            <w:gridSpan w:val="7"/>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3">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43">
              <w:r>
                <w:rPr>
                  <w:rFonts w:ascii="Arial" w:cs="Arial" w:eastAsia="Arial" w:hAnsi="Arial"/>
                  <w:sz w:val="18"/>
                  <w:szCs w:val="18"/>
                  <w:color w:val="0000EE"/>
                  <w:w w:val="89"/>
                </w:rPr>
                <w:t>November 26, 2012.</w:t>
              </w:r>
            </w:hyperlink>
          </w:p>
        </w:tc>
        <w:tc>
          <w:tcPr>
            <w:tcW w:w="3120" w:type="dxa"/>
            <w:vAlign w:val="bottom"/>
            <w:gridSpan w:val="12"/>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480" w:type="dxa"/>
            <w:vAlign w:val="bottom"/>
            <w:gridSpan w:val="18"/>
          </w:tcPr>
          <w:p>
            <w:pPr>
              <w:ind w:left="4180"/>
              <w:spacing w:after="0"/>
              <w:rPr>
                <w:sz w:val="20"/>
                <w:szCs w:val="20"/>
                <w:color w:val="auto"/>
              </w:rPr>
            </w:pPr>
            <w:r>
              <w:rPr>
                <w:rFonts w:ascii="Arial" w:cs="Arial" w:eastAsia="Arial" w:hAnsi="Arial"/>
                <w:sz w:val="18"/>
                <w:szCs w:val="18"/>
                <w:color w:val="auto"/>
                <w:w w:val="93"/>
              </w:rPr>
              <w:t>155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10.26</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8"/>
              </w:rPr>
              <w:t>10.27</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0"/>
              </w:rPr>
              <w:t>10/23/2014</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4"/>
              </w:rPr>
              <w:t>10.28(i)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5"/>
              </w:rPr>
              <w:t>10.28(ii)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8"/>
              </w:rPr>
              <w:t>10.28(iii)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4"/>
              </w:rPr>
              <w:t>10.28(iv)</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3"/>
              </w:rPr>
              <w:t>10.28(v)</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4"/>
              </w:rPr>
              <w:t>10.28(vi)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7"/>
              </w:rPr>
              <w:t>10.28(vii)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97"/>
              </w:rPr>
              <w:t>10.28(viii)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4"/>
              </w:rPr>
              <w:t>10.28(ix)</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3"/>
              </w:rPr>
              <w:t>10.28(x)</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333-199069</w:t>
            </w: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4"/>
              </w:rPr>
              <w:t>10.28(xi)</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92"/>
              </w:rPr>
              <w:t>10/1/2014</w:t>
            </w:r>
          </w:p>
        </w:tc>
      </w:tr>
    </w:tbl>
    <w:p>
      <w:pPr>
        <w:sectPr>
          <w:pgSz w:w="11900" w:h="16838" w:orient="portrait"/>
          <w:cols w:equalWidth="0" w:num="2">
            <w:col w:w="6000" w:space="320"/>
            <w:col w:w="4560"/>
          </w:cols>
          <w:pgMar w:left="240" w:top="338" w:right="77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10.26(xii)†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Amendment No. 10 to the Process Development and Clinical</w:t>
              </w:r>
            </w:hyperlink>
          </w:p>
        </w:tc>
        <w:tc>
          <w:tcPr>
            <w:tcW w:w="1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245">
              <w:r>
                <w:rPr>
                  <w:rFonts w:ascii="Arial" w:cs="Arial" w:eastAsia="Arial" w:hAnsi="Arial"/>
                  <w:sz w:val="18"/>
                  <w:szCs w:val="18"/>
                  <w:color w:val="0000EE"/>
                  <w:w w:val="87"/>
                </w:rPr>
                <w:t>June 21, 2013.</w:t>
              </w:r>
            </w:hyperlink>
          </w:p>
        </w:tc>
        <w:tc>
          <w:tcPr>
            <w:tcW w:w="354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10.26(xiii)†</w:t>
            </w:r>
          </w:p>
        </w:tc>
        <w:tc>
          <w:tcPr>
            <w:tcW w:w="4400" w:type="dxa"/>
            <w:vAlign w:val="bottom"/>
            <w:tcBorders>
              <w:bottom w:val="single" w:sz="8" w:color="0000EE"/>
            </w:tcBorders>
            <w:gridSpan w:val="10"/>
          </w:tcPr>
          <w:p>
            <w:pPr>
              <w:spacing w:after="0"/>
              <w:rPr>
                <w:rFonts w:ascii="Arial" w:cs="Arial" w:eastAsia="Arial" w:hAnsi="Arial"/>
                <w:sz w:val="18"/>
                <w:szCs w:val="18"/>
                <w:color w:val="0000EE"/>
                <w:w w:val="90"/>
              </w:rPr>
            </w:pPr>
            <w:hyperlink r:id="rId246">
              <w:r>
                <w:rPr>
                  <w:rFonts w:ascii="Arial" w:cs="Arial" w:eastAsia="Arial" w:hAnsi="Arial"/>
                  <w:sz w:val="18"/>
                  <w:szCs w:val="18"/>
                  <w:color w:val="0000EE"/>
                  <w:w w:val="90"/>
                </w:rPr>
                <w:t>Amendment No. 11 to the Process Development and Clinical</w:t>
              </w:r>
            </w:hyperlink>
          </w:p>
        </w:tc>
        <w:tc>
          <w:tcPr>
            <w:tcW w:w="200" w:type="dxa"/>
            <w:vAlign w:val="bottom"/>
            <w:gridSpan w:val="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46">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6">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July 9, 2013.</w:t>
              </w:r>
            </w:hyperlink>
          </w:p>
        </w:tc>
      </w:tr>
      <w:tr>
        <w:trPr>
          <w:trHeight w:val="20"/>
        </w:trPr>
        <w:tc>
          <w:tcPr>
            <w:tcW w:w="14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10.26(xiv)†</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47">
              <w:r>
                <w:rPr>
                  <w:rFonts w:ascii="Arial" w:cs="Arial" w:eastAsia="Arial" w:hAnsi="Arial"/>
                  <w:sz w:val="18"/>
                  <w:szCs w:val="18"/>
                  <w:color w:val="0000EE"/>
                  <w:w w:val="90"/>
                </w:rPr>
                <w:t>Amendment No. 12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47">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7">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August 1, 2013.</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48">
              <w:r>
                <w:rPr>
                  <w:rFonts w:ascii="Arial" w:cs="Arial" w:eastAsia="Arial" w:hAnsi="Arial"/>
                  <w:sz w:val="18"/>
                  <w:szCs w:val="18"/>
                  <w:color w:val="0000EE"/>
                  <w:w w:val="90"/>
                </w:rPr>
                <w:t>Amendment No. 13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48">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March 6, 2014.</w:t>
              </w:r>
            </w:hyperlink>
          </w:p>
        </w:tc>
        <w:tc>
          <w:tcPr>
            <w:tcW w:w="3460" w:type="dxa"/>
            <w:vAlign w:val="bottom"/>
            <w:gridSpan w:val="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49">
              <w:r>
                <w:rPr>
                  <w:rFonts w:ascii="Arial" w:cs="Arial" w:eastAsia="Arial" w:hAnsi="Arial"/>
                  <w:sz w:val="18"/>
                  <w:szCs w:val="18"/>
                  <w:color w:val="0000EE"/>
                  <w:w w:val="90"/>
                </w:rPr>
                <w:t>Amendment No. 14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49">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249">
              <w:r>
                <w:rPr>
                  <w:rFonts w:ascii="Arial" w:cs="Arial" w:eastAsia="Arial" w:hAnsi="Arial"/>
                  <w:sz w:val="18"/>
                  <w:szCs w:val="18"/>
                  <w:color w:val="0000EE"/>
                  <w:w w:val="88"/>
                </w:rPr>
                <w:t>February 5, 2014.</w:t>
              </w:r>
            </w:hyperlink>
          </w:p>
        </w:tc>
        <w:tc>
          <w:tcPr>
            <w:tcW w:w="3320" w:type="dxa"/>
            <w:vAlign w:val="bottom"/>
            <w:gridSpan w:val="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0">
              <w:r>
                <w:rPr>
                  <w:rFonts w:ascii="Arial" w:cs="Arial" w:eastAsia="Arial" w:hAnsi="Arial"/>
                  <w:sz w:val="18"/>
                  <w:szCs w:val="18"/>
                  <w:color w:val="0000EE"/>
                  <w:w w:val="90"/>
                </w:rPr>
                <w:t>Amendment No. 15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0">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0">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250">
              <w:r>
                <w:rPr>
                  <w:rFonts w:ascii="Arial" w:cs="Arial" w:eastAsia="Arial" w:hAnsi="Arial"/>
                  <w:sz w:val="18"/>
                  <w:szCs w:val="18"/>
                  <w:color w:val="0000EE"/>
                  <w:w w:val="88"/>
                </w:rPr>
                <w:t>October 20, 2014.</w:t>
              </w:r>
            </w:hyperlink>
          </w:p>
        </w:tc>
        <w:tc>
          <w:tcPr>
            <w:tcW w:w="330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10.26(xviii)†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1">
              <w:r>
                <w:rPr>
                  <w:rFonts w:ascii="Arial" w:cs="Arial" w:eastAsia="Arial" w:hAnsi="Arial"/>
                  <w:sz w:val="18"/>
                  <w:szCs w:val="18"/>
                  <w:color w:val="0000EE"/>
                  <w:w w:val="90"/>
                </w:rPr>
                <w:t>Amendment No. 16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1">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1">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December 8, 2014.</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10.26(xix)†</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2">
              <w:r>
                <w:rPr>
                  <w:rFonts w:ascii="Arial" w:cs="Arial" w:eastAsia="Arial" w:hAnsi="Arial"/>
                  <w:sz w:val="18"/>
                  <w:szCs w:val="18"/>
                  <w:color w:val="0000EE"/>
                  <w:w w:val="90"/>
                </w:rPr>
                <w:t>Amendment No. 17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2">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2">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December 8, 2014.</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3">
              <w:r>
                <w:rPr>
                  <w:rFonts w:ascii="Arial" w:cs="Arial" w:eastAsia="Arial" w:hAnsi="Arial"/>
                  <w:sz w:val="18"/>
                  <w:szCs w:val="18"/>
                  <w:color w:val="0000EE"/>
                  <w:w w:val="90"/>
                </w:rPr>
                <w:t>Amendment No. 18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February 15, 2015.</w:t>
              </w:r>
            </w:hyperlink>
          </w:p>
        </w:tc>
      </w:tr>
      <w:tr>
        <w:trPr>
          <w:trHeight w:val="20"/>
        </w:trPr>
        <w:tc>
          <w:tcPr>
            <w:tcW w:w="14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4">
              <w:r>
                <w:rPr>
                  <w:rFonts w:ascii="Arial" w:cs="Arial" w:eastAsia="Arial" w:hAnsi="Arial"/>
                  <w:sz w:val="18"/>
                  <w:szCs w:val="18"/>
                  <w:color w:val="0000EE"/>
                  <w:w w:val="90"/>
                </w:rPr>
                <w:t>Amendment No. 19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March 1, 2015.</w:t>
              </w:r>
            </w:hyperlink>
          </w:p>
        </w:tc>
        <w:tc>
          <w:tcPr>
            <w:tcW w:w="3460" w:type="dxa"/>
            <w:vAlign w:val="bottom"/>
            <w:gridSpan w:val="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5">
              <w:r>
                <w:rPr>
                  <w:rFonts w:ascii="Arial" w:cs="Arial" w:eastAsia="Arial" w:hAnsi="Arial"/>
                  <w:sz w:val="18"/>
                  <w:szCs w:val="18"/>
                  <w:color w:val="0000EE"/>
                  <w:w w:val="90"/>
                </w:rPr>
                <w:t>Amendment No. 20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5">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55">
              <w:r>
                <w:rPr>
                  <w:rFonts w:ascii="Arial" w:cs="Arial" w:eastAsia="Arial" w:hAnsi="Arial"/>
                  <w:sz w:val="18"/>
                  <w:szCs w:val="18"/>
                  <w:color w:val="0000EE"/>
                  <w:w w:val="86"/>
                </w:rPr>
                <w:t>June 1, 2015.</w:t>
              </w:r>
            </w:hyperlink>
          </w:p>
        </w:tc>
        <w:tc>
          <w:tcPr>
            <w:tcW w:w="3640" w:type="dxa"/>
            <w:vAlign w:val="bottom"/>
            <w:gridSpan w:val="10"/>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10.26(xxiii)†</w:t>
            </w:r>
          </w:p>
        </w:tc>
        <w:tc>
          <w:tcPr>
            <w:tcW w:w="4420" w:type="dxa"/>
            <w:vAlign w:val="bottom"/>
            <w:tcBorders>
              <w:bottom w:val="single" w:sz="8" w:color="0000EE"/>
            </w:tcBorders>
            <w:gridSpan w:val="11"/>
          </w:tcPr>
          <w:p>
            <w:pPr>
              <w:spacing w:after="0"/>
              <w:rPr>
                <w:rFonts w:ascii="Arial" w:cs="Arial" w:eastAsia="Arial" w:hAnsi="Arial"/>
                <w:sz w:val="18"/>
                <w:szCs w:val="18"/>
                <w:color w:val="0000EE"/>
                <w:w w:val="90"/>
              </w:rPr>
            </w:pPr>
            <w:hyperlink r:id="rId256">
              <w:r>
                <w:rPr>
                  <w:rFonts w:ascii="Arial" w:cs="Arial" w:eastAsia="Arial" w:hAnsi="Arial"/>
                  <w:sz w:val="18"/>
                  <w:szCs w:val="18"/>
                  <w:color w:val="0000EE"/>
                  <w:w w:val="90"/>
                </w:rPr>
                <w:t>Amendment No. 21 to the Process Development and Clinical</w:t>
              </w:r>
            </w:hyperlink>
          </w:p>
        </w:tc>
        <w:tc>
          <w:tcPr>
            <w:tcW w:w="18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56">
              <w:r>
                <w:rPr>
                  <w:rFonts w:ascii="Arial" w:cs="Arial" w:eastAsia="Arial" w:hAnsi="Arial"/>
                  <w:sz w:val="18"/>
                  <w:szCs w:val="18"/>
                  <w:color w:val="0000EE"/>
                  <w:w w:val="90"/>
                </w:rPr>
                <w:t>Supply Agreement by and between FibroGen, Inc. and</w:t>
              </w:r>
            </w:hyperlink>
          </w:p>
        </w:tc>
        <w:tc>
          <w:tcPr>
            <w:tcW w:w="660" w:type="dxa"/>
            <w:vAlign w:val="bottom"/>
            <w:gridSpan w:val="3"/>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4600" w:type="dxa"/>
            <w:vAlign w:val="bottom"/>
            <w:gridSpan w:val="12"/>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May 29, 2015.</w:t>
              </w:r>
            </w:hyperlink>
          </w:p>
        </w:tc>
      </w:tr>
      <w:tr>
        <w:trPr>
          <w:trHeight w:val="588"/>
        </w:trPr>
        <w:tc>
          <w:tcPr>
            <w:tcW w:w="1400" w:type="dxa"/>
            <w:vAlign w:val="bottom"/>
          </w:tcPr>
          <w:p>
            <w:pPr>
              <w:spacing w:after="0"/>
              <w:rPr>
                <w:sz w:val="24"/>
                <w:szCs w:val="24"/>
                <w:color w:val="auto"/>
              </w:rPr>
            </w:pPr>
          </w:p>
        </w:tc>
        <w:tc>
          <w:tcPr>
            <w:tcW w:w="1040" w:type="dxa"/>
            <w:vAlign w:val="bottom"/>
            <w:tcBorders>
              <w:top w:val="single" w:sz="8" w:color="0000EE"/>
            </w:tcBorders>
            <w:gridSpan w:val="3"/>
          </w:tcPr>
          <w:p>
            <w:pPr>
              <w:spacing w:after="0"/>
              <w:rPr>
                <w:sz w:val="24"/>
                <w:szCs w:val="24"/>
                <w:color w:val="auto"/>
              </w:rPr>
            </w:pPr>
          </w:p>
        </w:tc>
        <w:tc>
          <w:tcPr>
            <w:tcW w:w="3560" w:type="dxa"/>
            <w:vAlign w:val="bottom"/>
            <w:gridSpan w:val="9"/>
          </w:tcPr>
          <w:p>
            <w:pPr>
              <w:jc w:val="right"/>
              <w:ind w:right="160"/>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7"/>
              </w:rPr>
              <w:t>10.28(xii)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7"/>
              </w:rPr>
              <w:t>10.28(xiii)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10.28(xiv)</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3"/>
              </w:rPr>
              <w:t>10.28(xv)</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10.28(xvi)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10.28(xvii)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8"/>
              </w:rPr>
              <w:t>10.28(xviii)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10.28(xix)</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3"/>
              </w:rPr>
              <w:t>10.28(xx)</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10.28(xxi)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6"/>
              </w:rPr>
              <w:t>10.28(xxii)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r>
        <w:trPr>
          <w:trHeight w:val="101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8"/>
              </w:rPr>
              <w:t>10.28(xxiii)</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11/12/2015</w:t>
            </w:r>
          </w:p>
        </w:tc>
      </w:tr>
    </w:tbl>
    <w:p>
      <w:pPr>
        <w:sectPr>
          <w:pgSz w:w="11900" w:h="16838" w:orient="portrait"/>
          <w:cols w:equalWidth="0" w:num="2">
            <w:col w:w="6000" w:space="360"/>
            <w:col w:w="4520"/>
          </w:cols>
          <w:pgMar w:left="240" w:top="338" w:right="77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10.26(xxiv)†</w:t>
            </w:r>
          </w:p>
        </w:tc>
        <w:tc>
          <w:tcPr>
            <w:tcW w:w="4600" w:type="dxa"/>
            <w:vAlign w:val="bottom"/>
            <w:gridSpan w:val="11"/>
          </w:tcPr>
          <w:p>
            <w:pPr>
              <w:spacing w:after="0"/>
              <w:rPr>
                <w:rFonts w:ascii="Arial" w:cs="Arial" w:eastAsia="Arial" w:hAnsi="Arial"/>
                <w:sz w:val="18"/>
                <w:szCs w:val="18"/>
                <w:color w:val="0000EE"/>
                <w:w w:val="94"/>
              </w:rPr>
            </w:pPr>
            <w:hyperlink r:id="rId258">
              <w:r>
                <w:rPr>
                  <w:rFonts w:ascii="Arial" w:cs="Arial" w:eastAsia="Arial" w:hAnsi="Arial"/>
                  <w:sz w:val="18"/>
                  <w:szCs w:val="18"/>
                  <w:color w:val="0000EE"/>
                  <w:w w:val="94"/>
                </w:rPr>
                <w:t>Amendment No. 23 to the Process Development and Clinical</w:t>
              </w:r>
            </w:hyperlink>
          </w:p>
        </w:tc>
      </w:tr>
      <w:tr>
        <w:trPr>
          <w:trHeight w:val="196"/>
        </w:trPr>
        <w:tc>
          <w:tcPr>
            <w:tcW w:w="14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Supply Agreement by and between FibroGen, Inc. and</w:t>
              </w:r>
            </w:hyperlink>
          </w:p>
        </w:tc>
        <w:tc>
          <w:tcPr>
            <w:tcW w:w="4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58">
              <w:r>
                <w:rPr>
                  <w:rFonts w:ascii="Arial" w:cs="Arial" w:eastAsia="Arial" w:hAnsi="Arial"/>
                  <w:sz w:val="18"/>
                  <w:szCs w:val="18"/>
                  <w:color w:val="0000EE"/>
                  <w:w w:val="91"/>
                </w:rPr>
                <w:t>Boehringer Ingelheim Pharma GmbH &amp; Co. KG, effective as of</w:t>
              </w:r>
            </w:hyperlink>
          </w:p>
        </w:tc>
      </w:tr>
      <w:tr>
        <w:trPr>
          <w:trHeight w:val="196"/>
        </w:trPr>
        <w:tc>
          <w:tcPr>
            <w:tcW w:w="14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258">
              <w:r>
                <w:rPr>
                  <w:rFonts w:ascii="Arial" w:cs="Arial" w:eastAsia="Arial" w:hAnsi="Arial"/>
                  <w:sz w:val="18"/>
                  <w:szCs w:val="18"/>
                  <w:color w:val="0000EE"/>
                  <w:w w:val="87"/>
                </w:rPr>
                <w:t>September 1, 2015.</w:t>
              </w:r>
            </w:hyperlink>
          </w:p>
        </w:tc>
        <w:tc>
          <w:tcPr>
            <w:tcW w:w="320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w:t>
            </w:r>
          </w:p>
        </w:tc>
        <w:tc>
          <w:tcPr>
            <w:tcW w:w="4600" w:type="dxa"/>
            <w:vAlign w:val="bottom"/>
            <w:gridSpan w:val="11"/>
          </w:tcPr>
          <w:p>
            <w:pPr>
              <w:spacing w:after="0"/>
              <w:rPr>
                <w:rFonts w:ascii="Arial" w:cs="Arial" w:eastAsia="Arial" w:hAnsi="Arial"/>
                <w:sz w:val="18"/>
                <w:szCs w:val="18"/>
                <w:color w:val="0000EE"/>
                <w:w w:val="94"/>
              </w:rPr>
            </w:pPr>
            <w:hyperlink r:id="rId259">
              <w:r>
                <w:rPr>
                  <w:rFonts w:ascii="Arial" w:cs="Arial" w:eastAsia="Arial" w:hAnsi="Arial"/>
                  <w:sz w:val="18"/>
                  <w:szCs w:val="18"/>
                  <w:color w:val="0000EE"/>
                  <w:w w:val="94"/>
                </w:rPr>
                <w:t>Amendment No. 22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59">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59">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259">
              <w:r>
                <w:rPr>
                  <w:rFonts w:ascii="Arial" w:cs="Arial" w:eastAsia="Arial" w:hAnsi="Arial"/>
                  <w:sz w:val="18"/>
                  <w:szCs w:val="18"/>
                  <w:color w:val="0000EE"/>
                  <w:w w:val="94"/>
                </w:rPr>
                <w:t>of April 14, 2016.</w:t>
              </w:r>
            </w:hyperlink>
          </w:p>
        </w:tc>
        <w:tc>
          <w:tcPr>
            <w:tcW w:w="3200" w:type="dxa"/>
            <w:vAlign w:val="bottom"/>
            <w:tcBorders>
              <w:top w:val="single" w:sz="8" w:color="0000EE"/>
            </w:tcBorders>
            <w:gridSpan w:val="8"/>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w:t>
            </w:r>
          </w:p>
        </w:tc>
        <w:tc>
          <w:tcPr>
            <w:tcW w:w="4600" w:type="dxa"/>
            <w:vAlign w:val="bottom"/>
            <w:gridSpan w:val="11"/>
          </w:tcPr>
          <w:p>
            <w:pPr>
              <w:spacing w:after="0"/>
              <w:rPr>
                <w:rFonts w:ascii="Arial" w:cs="Arial" w:eastAsia="Arial" w:hAnsi="Arial"/>
                <w:sz w:val="18"/>
                <w:szCs w:val="18"/>
                <w:color w:val="0000EE"/>
                <w:w w:val="94"/>
              </w:rPr>
            </w:pPr>
            <w:hyperlink r:id="rId260">
              <w:r>
                <w:rPr>
                  <w:rFonts w:ascii="Arial" w:cs="Arial" w:eastAsia="Arial" w:hAnsi="Arial"/>
                  <w:sz w:val="18"/>
                  <w:szCs w:val="18"/>
                  <w:color w:val="0000EE"/>
                  <w:w w:val="94"/>
                </w:rPr>
                <w:t>Amendment No. 24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0">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60">
              <w:r>
                <w:rPr>
                  <w:rFonts w:ascii="Arial" w:cs="Arial" w:eastAsia="Arial" w:hAnsi="Arial"/>
                  <w:sz w:val="18"/>
                  <w:szCs w:val="18"/>
                  <w:color w:val="0000EE"/>
                  <w:w w:val="92"/>
                </w:rPr>
                <w:t>Boehringer Ingelheim Biopharmaceuticals GmbH, retroactively</w:t>
              </w:r>
            </w:hyperlink>
          </w:p>
        </w:tc>
      </w:tr>
      <w:tr>
        <w:trPr>
          <w:trHeight w:val="196"/>
        </w:trPr>
        <w:tc>
          <w:tcPr>
            <w:tcW w:w="140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260">
              <w:r>
                <w:rPr>
                  <w:rFonts w:ascii="Arial" w:cs="Arial" w:eastAsia="Arial" w:hAnsi="Arial"/>
                  <w:sz w:val="18"/>
                  <w:szCs w:val="18"/>
                  <w:color w:val="0000EE"/>
                  <w:w w:val="89"/>
                </w:rPr>
                <w:t>effective as of September 15, 2015.</w:t>
              </w:r>
            </w:hyperlink>
          </w:p>
        </w:tc>
        <w:tc>
          <w:tcPr>
            <w:tcW w:w="2040" w:type="dxa"/>
            <w:vAlign w:val="bottom"/>
            <w:gridSpan w:val="5"/>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10.26(xxvii)†</w:t>
            </w:r>
          </w:p>
        </w:tc>
        <w:tc>
          <w:tcPr>
            <w:tcW w:w="4600" w:type="dxa"/>
            <w:vAlign w:val="bottom"/>
            <w:gridSpan w:val="11"/>
          </w:tcPr>
          <w:p>
            <w:pPr>
              <w:spacing w:after="0"/>
              <w:rPr>
                <w:rFonts w:ascii="Arial" w:cs="Arial" w:eastAsia="Arial" w:hAnsi="Arial"/>
                <w:sz w:val="18"/>
                <w:szCs w:val="18"/>
                <w:color w:val="0000EE"/>
                <w:w w:val="94"/>
              </w:rPr>
            </w:pPr>
            <w:hyperlink r:id="rId261">
              <w:r>
                <w:rPr>
                  <w:rFonts w:ascii="Arial" w:cs="Arial" w:eastAsia="Arial" w:hAnsi="Arial"/>
                  <w:sz w:val="18"/>
                  <w:szCs w:val="18"/>
                  <w:color w:val="0000EE"/>
                  <w:w w:val="94"/>
                </w:rPr>
                <w:t>Amendment No. 25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61">
              <w:r>
                <w:rPr>
                  <w:rFonts w:ascii="Arial" w:cs="Arial" w:eastAsia="Arial" w:hAnsi="Arial"/>
                  <w:sz w:val="18"/>
                  <w:szCs w:val="18"/>
                  <w:color w:val="0000EE"/>
                  <w:w w:val="92"/>
                </w:rPr>
                <w:t>Boehringer Ingelheim Biopharmaceuticals GmbH, retroactively</w:t>
              </w:r>
            </w:hyperlink>
          </w:p>
        </w:tc>
      </w:tr>
      <w:tr>
        <w:trPr>
          <w:trHeight w:val="196"/>
        </w:trPr>
        <w:tc>
          <w:tcPr>
            <w:tcW w:w="140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effective as of October 15, 2015.</w:t>
              </w:r>
            </w:hyperlink>
          </w:p>
        </w:tc>
        <w:tc>
          <w:tcPr>
            <w:tcW w:w="2240" w:type="dxa"/>
            <w:vAlign w:val="bottom"/>
            <w:gridSpan w:val="6"/>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10.26(xxviii)†</w:t>
            </w:r>
          </w:p>
        </w:tc>
        <w:tc>
          <w:tcPr>
            <w:tcW w:w="4600" w:type="dxa"/>
            <w:vAlign w:val="bottom"/>
            <w:gridSpan w:val="11"/>
          </w:tcPr>
          <w:p>
            <w:pPr>
              <w:spacing w:after="0"/>
              <w:rPr>
                <w:rFonts w:ascii="Arial" w:cs="Arial" w:eastAsia="Arial" w:hAnsi="Arial"/>
                <w:sz w:val="18"/>
                <w:szCs w:val="18"/>
                <w:color w:val="0000EE"/>
                <w:w w:val="94"/>
              </w:rPr>
            </w:pPr>
            <w:hyperlink r:id="rId262">
              <w:r>
                <w:rPr>
                  <w:rFonts w:ascii="Arial" w:cs="Arial" w:eastAsia="Arial" w:hAnsi="Arial"/>
                  <w:sz w:val="18"/>
                  <w:szCs w:val="18"/>
                  <w:color w:val="0000EE"/>
                  <w:w w:val="94"/>
                </w:rPr>
                <w:t>Amendment No. 26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of June 30, 2016.</w:t>
              </w:r>
            </w:hyperlink>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10.26(xxix)†</w:t>
            </w:r>
          </w:p>
        </w:tc>
        <w:tc>
          <w:tcPr>
            <w:tcW w:w="4600" w:type="dxa"/>
            <w:vAlign w:val="bottom"/>
            <w:gridSpan w:val="11"/>
          </w:tcPr>
          <w:p>
            <w:pPr>
              <w:spacing w:after="0"/>
              <w:rPr>
                <w:rFonts w:ascii="Arial" w:cs="Arial" w:eastAsia="Arial" w:hAnsi="Arial"/>
                <w:sz w:val="18"/>
                <w:szCs w:val="18"/>
                <w:color w:val="0000EE"/>
                <w:w w:val="94"/>
              </w:rPr>
            </w:pPr>
            <w:hyperlink r:id="rId263">
              <w:r>
                <w:rPr>
                  <w:rFonts w:ascii="Arial" w:cs="Arial" w:eastAsia="Arial" w:hAnsi="Arial"/>
                  <w:sz w:val="18"/>
                  <w:szCs w:val="18"/>
                  <w:color w:val="0000EE"/>
                  <w:w w:val="94"/>
                </w:rPr>
                <w:t>Amendment No. 27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3">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of July 25, 2016.</w:t>
              </w:r>
            </w:hyperlink>
          </w:p>
        </w:tc>
        <w:tc>
          <w:tcPr>
            <w:tcW w:w="3260" w:type="dxa"/>
            <w:vAlign w:val="bottom"/>
            <w:tcBorders>
              <w:top w:val="single" w:sz="8" w:color="0000EE"/>
            </w:tcBorders>
            <w:gridSpan w:val="9"/>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w:t>
            </w:r>
          </w:p>
        </w:tc>
        <w:tc>
          <w:tcPr>
            <w:tcW w:w="4600" w:type="dxa"/>
            <w:vAlign w:val="bottom"/>
            <w:gridSpan w:val="11"/>
          </w:tcPr>
          <w:p>
            <w:pPr>
              <w:spacing w:after="0"/>
              <w:rPr>
                <w:rFonts w:ascii="Arial" w:cs="Arial" w:eastAsia="Arial" w:hAnsi="Arial"/>
                <w:sz w:val="18"/>
                <w:szCs w:val="18"/>
                <w:color w:val="0000EE"/>
                <w:w w:val="94"/>
              </w:rPr>
            </w:pPr>
            <w:hyperlink r:id="rId264">
              <w:r>
                <w:rPr>
                  <w:rFonts w:ascii="Arial" w:cs="Arial" w:eastAsia="Arial" w:hAnsi="Arial"/>
                  <w:sz w:val="18"/>
                  <w:szCs w:val="18"/>
                  <w:color w:val="0000EE"/>
                  <w:w w:val="94"/>
                </w:rPr>
                <w:t>Amendment No. 28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4">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of September 22, 2016.</w:t>
              </w:r>
            </w:hyperlink>
          </w:p>
        </w:tc>
        <w:tc>
          <w:tcPr>
            <w:tcW w:w="10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w:t>
            </w:r>
          </w:p>
        </w:tc>
        <w:tc>
          <w:tcPr>
            <w:tcW w:w="4600" w:type="dxa"/>
            <w:vAlign w:val="bottom"/>
            <w:gridSpan w:val="11"/>
          </w:tcPr>
          <w:p>
            <w:pPr>
              <w:spacing w:after="0"/>
              <w:rPr>
                <w:rFonts w:ascii="Arial" w:cs="Arial" w:eastAsia="Arial" w:hAnsi="Arial"/>
                <w:sz w:val="18"/>
                <w:szCs w:val="18"/>
                <w:color w:val="0000EE"/>
                <w:w w:val="94"/>
              </w:rPr>
            </w:pPr>
            <w:hyperlink r:id="rId265">
              <w:r>
                <w:rPr>
                  <w:rFonts w:ascii="Arial" w:cs="Arial" w:eastAsia="Arial" w:hAnsi="Arial"/>
                  <w:sz w:val="18"/>
                  <w:szCs w:val="18"/>
                  <w:color w:val="0000EE"/>
                  <w:w w:val="94"/>
                </w:rPr>
                <w:t>Amendment No. 29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5">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5">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65">
              <w:r>
                <w:rPr>
                  <w:rFonts w:ascii="Arial" w:cs="Arial" w:eastAsia="Arial" w:hAnsi="Arial"/>
                  <w:sz w:val="18"/>
                  <w:szCs w:val="18"/>
                  <w:color w:val="0000EE"/>
                  <w:w w:val="89"/>
                </w:rPr>
                <w:t>of December 20, 2016.</w:t>
              </w:r>
            </w:hyperlink>
          </w:p>
        </w:tc>
        <w:tc>
          <w:tcPr>
            <w:tcW w:w="282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10.26(xxxii)†</w:t>
            </w:r>
          </w:p>
        </w:tc>
        <w:tc>
          <w:tcPr>
            <w:tcW w:w="4600" w:type="dxa"/>
            <w:vAlign w:val="bottom"/>
            <w:gridSpan w:val="11"/>
          </w:tcPr>
          <w:p>
            <w:pPr>
              <w:spacing w:after="0"/>
              <w:rPr>
                <w:rFonts w:ascii="Arial" w:cs="Arial" w:eastAsia="Arial" w:hAnsi="Arial"/>
                <w:sz w:val="18"/>
                <w:szCs w:val="18"/>
                <w:color w:val="0000EE"/>
                <w:w w:val="94"/>
              </w:rPr>
            </w:pPr>
            <w:hyperlink r:id="rId266">
              <w:r>
                <w:rPr>
                  <w:rFonts w:ascii="Arial" w:cs="Arial" w:eastAsia="Arial" w:hAnsi="Arial"/>
                  <w:sz w:val="18"/>
                  <w:szCs w:val="18"/>
                  <w:color w:val="0000EE"/>
                  <w:w w:val="94"/>
                </w:rPr>
                <w:t>Amendment No. 30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6">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66">
              <w:r>
                <w:rPr>
                  <w:rFonts w:ascii="Arial" w:cs="Arial" w:eastAsia="Arial" w:hAnsi="Arial"/>
                  <w:sz w:val="18"/>
                  <w:szCs w:val="18"/>
                  <w:color w:val="0000EE"/>
                  <w:w w:val="89"/>
                </w:rPr>
                <w:t>of December 20, 2016.</w:t>
              </w:r>
            </w:hyperlink>
          </w:p>
        </w:tc>
        <w:tc>
          <w:tcPr>
            <w:tcW w:w="282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10.26(xxxiii)†</w:t>
            </w:r>
          </w:p>
        </w:tc>
        <w:tc>
          <w:tcPr>
            <w:tcW w:w="4600" w:type="dxa"/>
            <w:vAlign w:val="bottom"/>
            <w:gridSpan w:val="11"/>
          </w:tcPr>
          <w:p>
            <w:pPr>
              <w:spacing w:after="0"/>
              <w:rPr>
                <w:rFonts w:ascii="Arial" w:cs="Arial" w:eastAsia="Arial" w:hAnsi="Arial"/>
                <w:sz w:val="18"/>
                <w:szCs w:val="18"/>
                <w:color w:val="0000EE"/>
                <w:w w:val="94"/>
              </w:rPr>
            </w:pPr>
            <w:hyperlink r:id="rId267">
              <w:r>
                <w:rPr>
                  <w:rFonts w:ascii="Arial" w:cs="Arial" w:eastAsia="Arial" w:hAnsi="Arial"/>
                  <w:sz w:val="18"/>
                  <w:szCs w:val="18"/>
                  <w:color w:val="0000EE"/>
                  <w:w w:val="94"/>
                </w:rPr>
                <w:t>Amendment No. 31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Supply Agreement, by and between FibroGen, Inc. and</w:t>
              </w:r>
            </w:hyperlink>
          </w:p>
        </w:tc>
        <w:tc>
          <w:tcPr>
            <w:tcW w:w="4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600" w:type="dxa"/>
            <w:vAlign w:val="bottom"/>
            <w:gridSpan w:val="11"/>
          </w:tcPr>
          <w:p>
            <w:pPr>
              <w:spacing w:after="0" w:line="196" w:lineRule="exact"/>
              <w:rPr>
                <w:rFonts w:ascii="Arial" w:cs="Arial" w:eastAsia="Arial" w:hAnsi="Arial"/>
                <w:sz w:val="18"/>
                <w:szCs w:val="18"/>
                <w:color w:val="0000EE"/>
                <w:w w:val="93"/>
              </w:rPr>
            </w:pPr>
            <w:hyperlink r:id="rId267">
              <w:r>
                <w:rPr>
                  <w:rFonts w:ascii="Arial" w:cs="Arial" w:eastAsia="Arial" w:hAnsi="Arial"/>
                  <w:sz w:val="18"/>
                  <w:szCs w:val="18"/>
                  <w:color w:val="0000EE"/>
                  <w:w w:val="93"/>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of March 2, 2017</w:t>
              </w:r>
            </w:hyperlink>
          </w:p>
        </w:tc>
        <w:tc>
          <w:tcPr>
            <w:tcW w:w="100" w:type="dxa"/>
            <w:vAlign w:val="bottom"/>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260" w:type="dxa"/>
            <w:vAlign w:val="bottom"/>
            <w:gridSpan w:val="9"/>
          </w:tcPr>
          <w:p>
            <w:pPr>
              <w:jc w:val="right"/>
              <w:ind w:right="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80" w:val="left"/>
          <w:tab w:leader="none" w:pos="2100" w:val="left"/>
          <w:tab w:leader="none" w:pos="36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10.28(xxiv)</w:t>
      </w:r>
      <w:r>
        <w:rPr>
          <w:sz w:val="20"/>
          <w:szCs w:val="20"/>
          <w:color w:val="auto"/>
        </w:rPr>
        <w:tab/>
      </w:r>
      <w:r>
        <w:rPr>
          <w:rFonts w:ascii="Arial" w:cs="Arial" w:eastAsia="Arial" w:hAnsi="Arial"/>
          <w:sz w:val="16"/>
          <w:szCs w:val="16"/>
          <w:color w:val="auto"/>
        </w:rPr>
        <w:t>11/12/2015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2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6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4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10.26(xxviii)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10.26(xxix)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20" w:val="left"/>
          <w:tab w:leader="none" w:pos="37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100" w:val="left"/>
          <w:tab w:leader="none" w:pos="37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w:t>
      </w:r>
      <w:r>
        <w:rPr>
          <w:sz w:val="20"/>
          <w:szCs w:val="20"/>
          <w:color w:val="auto"/>
        </w:rPr>
        <w:tab/>
      </w:r>
      <w:r>
        <w:rPr>
          <w:rFonts w:ascii="Arial" w:cs="Arial" w:eastAsia="Arial" w:hAnsi="Arial"/>
          <w:sz w:val="16"/>
          <w:szCs w:val="16"/>
          <w:color w:val="auto"/>
        </w:rPr>
        <w:t>3/1/2017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60" w:val="left"/>
          <w:tab w:leader="none" w:pos="37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10.26(xxxii)</w:t>
      </w:r>
      <w:r>
        <w:rPr>
          <w:sz w:val="20"/>
          <w:szCs w:val="20"/>
          <w:color w:val="auto"/>
        </w:rPr>
        <w:tab/>
      </w:r>
      <w:r>
        <w:rPr>
          <w:rFonts w:ascii="Arial" w:cs="Arial" w:eastAsia="Arial" w:hAnsi="Arial"/>
          <w:sz w:val="16"/>
          <w:szCs w:val="16"/>
          <w:color w:val="auto"/>
        </w:rPr>
        <w:t>3/1/2017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80" w:val="left"/>
          <w:tab w:leader="none" w:pos="2040" w:val="left"/>
          <w:tab w:leader="none" w:pos="37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10.26(xxxiii)</w:t>
      </w:r>
      <w:r>
        <w:rPr>
          <w:sz w:val="20"/>
          <w:szCs w:val="20"/>
          <w:color w:val="auto"/>
        </w:rPr>
        <w:tab/>
      </w:r>
      <w:r>
        <w:rPr>
          <w:rFonts w:ascii="Arial" w:cs="Arial" w:eastAsia="Arial" w:hAnsi="Arial"/>
          <w:sz w:val="16"/>
          <w:szCs w:val="16"/>
          <w:color w:val="auto"/>
        </w:rPr>
        <w:t>5/9/2017</w:t>
      </w:r>
    </w:p>
    <w:p>
      <w:pPr>
        <w:sectPr>
          <w:pgSz w:w="11900" w:h="16838" w:orient="portrait"/>
          <w:cols w:equalWidth="0" w:num="2">
            <w:col w:w="6000" w:space="360"/>
            <w:col w:w="4520"/>
          </w:cols>
          <w:pgMar w:left="240" w:top="338" w:right="77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10.26(xxxiv)†</w:t>
            </w:r>
          </w:p>
        </w:tc>
        <w:tc>
          <w:tcPr>
            <w:tcW w:w="4560" w:type="dxa"/>
            <w:vAlign w:val="bottom"/>
            <w:gridSpan w:val="29"/>
          </w:tcPr>
          <w:p>
            <w:pPr>
              <w:spacing w:after="0"/>
              <w:rPr>
                <w:rFonts w:ascii="Arial" w:cs="Arial" w:eastAsia="Arial" w:hAnsi="Arial"/>
                <w:sz w:val="18"/>
                <w:szCs w:val="18"/>
                <w:color w:val="0000EE"/>
                <w:w w:val="93"/>
              </w:rPr>
            </w:pPr>
            <w:hyperlink r:id="rId269">
              <w:r>
                <w:rPr>
                  <w:rFonts w:ascii="Arial" w:cs="Arial" w:eastAsia="Arial" w:hAnsi="Arial"/>
                  <w:sz w:val="18"/>
                  <w:szCs w:val="18"/>
                  <w:color w:val="0000EE"/>
                  <w:w w:val="93"/>
                </w:rPr>
                <w:t>Amendment No. 32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269">
              <w:r>
                <w:rPr>
                  <w:rFonts w:ascii="Arial" w:cs="Arial" w:eastAsia="Arial" w:hAnsi="Arial"/>
                  <w:sz w:val="18"/>
                  <w:szCs w:val="18"/>
                  <w:color w:val="0000EE"/>
                  <w:w w:val="89"/>
                </w:rPr>
                <w:t>Supply Agreement, by and between FibroGen, Inc. and</w:t>
              </w:r>
            </w:hyperlink>
          </w:p>
        </w:tc>
        <w:tc>
          <w:tcPr>
            <w:tcW w:w="420" w:type="dxa"/>
            <w:vAlign w:val="bottom"/>
            <w:tcBorders>
              <w:top w:val="single" w:sz="8" w:color="0000EE"/>
            </w:tcBorders>
            <w:gridSpan w:val="7"/>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of September 1, 2017</w:t>
              </w:r>
            </w:hyperlink>
          </w:p>
        </w:tc>
        <w:tc>
          <w:tcPr>
            <w:tcW w:w="60" w:type="dxa"/>
            <w:vAlign w:val="bottom"/>
            <w:gridSpan w:val="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10.26(xxxv)†</w:t>
            </w:r>
          </w:p>
        </w:tc>
        <w:tc>
          <w:tcPr>
            <w:tcW w:w="4560" w:type="dxa"/>
            <w:vAlign w:val="bottom"/>
            <w:gridSpan w:val="29"/>
          </w:tcPr>
          <w:p>
            <w:pPr>
              <w:spacing w:after="0"/>
              <w:rPr>
                <w:rFonts w:ascii="Arial" w:cs="Arial" w:eastAsia="Arial" w:hAnsi="Arial"/>
                <w:sz w:val="18"/>
                <w:szCs w:val="18"/>
                <w:color w:val="0000EE"/>
                <w:w w:val="96"/>
              </w:rPr>
            </w:pPr>
            <w:hyperlink r:id="rId270">
              <w:r>
                <w:rPr>
                  <w:rFonts w:ascii="Arial" w:cs="Arial" w:eastAsia="Arial" w:hAnsi="Arial"/>
                  <w:sz w:val="18"/>
                  <w:szCs w:val="18"/>
                  <w:color w:val="0000EE"/>
                  <w:w w:val="96"/>
                </w:rPr>
                <w:t>Work Order No. 1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270">
              <w:r>
                <w:rPr>
                  <w:rFonts w:ascii="Arial" w:cs="Arial" w:eastAsia="Arial" w:hAnsi="Arial"/>
                  <w:sz w:val="18"/>
                  <w:szCs w:val="18"/>
                  <w:color w:val="0000EE"/>
                  <w:w w:val="89"/>
                </w:rPr>
                <w:t>Supply Agreement, by and between FibroGen, Inc. and</w:t>
              </w:r>
            </w:hyperlink>
          </w:p>
        </w:tc>
        <w:tc>
          <w:tcPr>
            <w:tcW w:w="300" w:type="dxa"/>
            <w:vAlign w:val="bottom"/>
            <w:tcBorders>
              <w:top w:val="single" w:sz="8" w:color="0000EE"/>
            </w:tcBorders>
            <w:gridSpan w:val="3"/>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w w:val="92"/>
              </w:rPr>
            </w:pPr>
            <w:hyperlink r:id="rId270">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45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of September 1, 2017</w:t>
              </w:r>
            </w:hyperlink>
          </w:p>
        </w:tc>
        <w:tc>
          <w:tcPr>
            <w:tcW w:w="60" w:type="dxa"/>
            <w:vAlign w:val="bottom"/>
            <w:gridSpan w:val="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10.26(xxxvi)†</w:t>
            </w:r>
          </w:p>
        </w:tc>
        <w:tc>
          <w:tcPr>
            <w:tcW w:w="4560" w:type="dxa"/>
            <w:vAlign w:val="bottom"/>
            <w:gridSpan w:val="29"/>
          </w:tcPr>
          <w:p>
            <w:pPr>
              <w:spacing w:after="0"/>
              <w:rPr>
                <w:rFonts w:ascii="Arial" w:cs="Arial" w:eastAsia="Arial" w:hAnsi="Arial"/>
                <w:sz w:val="18"/>
                <w:szCs w:val="18"/>
                <w:color w:val="0000EE"/>
                <w:w w:val="93"/>
              </w:rPr>
            </w:pPr>
            <w:hyperlink r:id="rId271">
              <w:r>
                <w:rPr>
                  <w:rFonts w:ascii="Arial" w:cs="Arial" w:eastAsia="Arial" w:hAnsi="Arial"/>
                  <w:sz w:val="18"/>
                  <w:szCs w:val="18"/>
                  <w:color w:val="0000EE"/>
                  <w:w w:val="93"/>
                </w:rPr>
                <w:t>Amendment No. 33 to the Process Development and Clinical</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271">
              <w:r>
                <w:rPr>
                  <w:rFonts w:ascii="Arial" w:cs="Arial" w:eastAsia="Arial" w:hAnsi="Arial"/>
                  <w:sz w:val="18"/>
                  <w:szCs w:val="18"/>
                  <w:color w:val="0000EE"/>
                  <w:w w:val="89"/>
                </w:rPr>
                <w:t>Supply Agreement, by and between FibroGen, Inc. and</w:t>
              </w:r>
            </w:hyperlink>
          </w:p>
        </w:tc>
        <w:tc>
          <w:tcPr>
            <w:tcW w:w="420" w:type="dxa"/>
            <w:vAlign w:val="bottom"/>
            <w:tcBorders>
              <w:top w:val="single" w:sz="8" w:color="0000EE"/>
            </w:tcBorders>
            <w:gridSpan w:val="7"/>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w w:val="92"/>
              </w:rPr>
            </w:pPr>
            <w:hyperlink r:id="rId271">
              <w:r>
                <w:rPr>
                  <w:rFonts w:ascii="Arial" w:cs="Arial" w:eastAsia="Arial" w:hAnsi="Arial"/>
                  <w:sz w:val="18"/>
                  <w:szCs w:val="18"/>
                  <w:color w:val="0000EE"/>
                  <w:w w:val="92"/>
                </w:rPr>
                <w:t>Boehringer Ingelheim Biopharmaceuticals GmbH, effective as</w:t>
              </w:r>
            </w:hyperlink>
          </w:p>
        </w:tc>
      </w:tr>
      <w:tr>
        <w:trPr>
          <w:trHeight w:val="196"/>
        </w:trPr>
        <w:tc>
          <w:tcPr>
            <w:tcW w:w="14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71">
              <w:r>
                <w:rPr>
                  <w:rFonts w:ascii="Arial" w:cs="Arial" w:eastAsia="Arial" w:hAnsi="Arial"/>
                  <w:sz w:val="18"/>
                  <w:szCs w:val="18"/>
                  <w:color w:val="0000EE"/>
                  <w:w w:val="88"/>
                </w:rPr>
                <w:t>of January 4, 2019</w:t>
              </w:r>
            </w:hyperlink>
          </w:p>
        </w:tc>
        <w:tc>
          <w:tcPr>
            <w:tcW w:w="3160" w:type="dxa"/>
            <w:vAlign w:val="bottom"/>
            <w:tcBorders>
              <w:top w:val="single" w:sz="8" w:color="0000EE"/>
            </w:tcBorders>
            <w:gridSpan w:val="23"/>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10.27†</w:t>
            </w:r>
          </w:p>
        </w:tc>
        <w:tc>
          <w:tcPr>
            <w:tcW w:w="4560" w:type="dxa"/>
            <w:vAlign w:val="bottom"/>
            <w:gridSpan w:val="29"/>
          </w:tcPr>
          <w:p>
            <w:pPr>
              <w:spacing w:after="0"/>
              <w:rPr>
                <w:rFonts w:ascii="Arial" w:cs="Arial" w:eastAsia="Arial" w:hAnsi="Arial"/>
                <w:sz w:val="18"/>
                <w:szCs w:val="18"/>
                <w:color w:val="0000EE"/>
                <w:w w:val="93"/>
              </w:rPr>
            </w:pPr>
            <w:hyperlink r:id="rId272">
              <w:r>
                <w:rPr>
                  <w:rFonts w:ascii="Arial" w:cs="Arial" w:eastAsia="Arial" w:hAnsi="Arial"/>
                  <w:sz w:val="18"/>
                  <w:szCs w:val="18"/>
                  <w:color w:val="0000EE"/>
                  <w:w w:val="93"/>
                </w:rPr>
                <w:t>State-Owned Construction Land Use Right Granting Contract</w:t>
              </w:r>
            </w:hyperlink>
          </w:p>
        </w:tc>
      </w:tr>
      <w:tr>
        <w:trPr>
          <w:trHeight w:val="196"/>
        </w:trPr>
        <w:tc>
          <w:tcPr>
            <w:tcW w:w="1400" w:type="dxa"/>
            <w:vAlign w:val="bottom"/>
          </w:tcPr>
          <w:p>
            <w:pPr>
              <w:spacing w:after="0"/>
              <w:rPr>
                <w:sz w:val="17"/>
                <w:szCs w:val="17"/>
                <w:color w:val="auto"/>
              </w:rPr>
            </w:pPr>
          </w:p>
        </w:tc>
        <w:tc>
          <w:tcPr>
            <w:tcW w:w="4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by and between FibroGen (China) Medical Technology</w:t>
              </w:r>
            </w:hyperlink>
          </w:p>
        </w:tc>
        <w:tc>
          <w:tcPr>
            <w:tcW w:w="120" w:type="dxa"/>
            <w:vAlign w:val="bottom"/>
            <w:gridSpan w:val="5"/>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w w:val="90"/>
              </w:rPr>
            </w:pPr>
            <w:hyperlink r:id="rId272">
              <w:r>
                <w:rPr>
                  <w:rFonts w:ascii="Arial" w:cs="Arial" w:eastAsia="Arial" w:hAnsi="Arial"/>
                  <w:sz w:val="18"/>
                  <w:szCs w:val="18"/>
                  <w:color w:val="0000EE"/>
                  <w:w w:val="90"/>
                </w:rPr>
                <w:t>Development Co., Ltd. and The Bureau of Land and Resources</w:t>
              </w:r>
            </w:hyperlink>
          </w:p>
        </w:tc>
      </w:tr>
      <w:tr>
        <w:trPr>
          <w:trHeight w:val="196"/>
        </w:trPr>
        <w:tc>
          <w:tcPr>
            <w:tcW w:w="1400" w:type="dxa"/>
            <w:vAlign w:val="bottom"/>
          </w:tcPr>
          <w:p>
            <w:pPr>
              <w:spacing w:after="0"/>
              <w:rPr>
                <w:sz w:val="17"/>
                <w:szCs w:val="17"/>
                <w:color w:val="auto"/>
              </w:rPr>
            </w:pPr>
          </w:p>
        </w:tc>
        <w:tc>
          <w:tcPr>
            <w:tcW w:w="45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of Cangzhou, dated as of February 24, 2017</w:t>
              </w:r>
            </w:hyperlink>
          </w:p>
        </w:tc>
        <w:tc>
          <w:tcPr>
            <w:tcW w:w="2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10.28*†</w:t>
            </w:r>
          </w:p>
        </w:tc>
        <w:tc>
          <w:tcPr>
            <w:tcW w:w="45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65">
              <w:r>
                <w:rPr>
                  <w:rFonts w:ascii="Arial" w:cs="Arial" w:eastAsia="Arial" w:hAnsi="Arial"/>
                  <w:sz w:val="18"/>
                  <w:szCs w:val="18"/>
                  <w:color w:val="0000EE"/>
                  <w:w w:val="90"/>
                </w:rPr>
                <w:t>Commercial Supply Agreement by and between FibroGen, Inc.</w:t>
              </w:r>
            </w:hyperlink>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and Catalent Pharma Solutions, LLC, effective as of January 1,</w:t>
              </w:r>
            </w:hyperlink>
          </w:p>
        </w:tc>
      </w:tr>
      <w:tr>
        <w:trPr>
          <w:trHeight w:val="196"/>
        </w:trPr>
        <w:tc>
          <w:tcPr>
            <w:tcW w:w="1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65">
              <w:r>
                <w:rPr>
                  <w:rFonts w:ascii="Arial" w:cs="Arial" w:eastAsia="Arial" w:hAnsi="Arial"/>
                  <w:sz w:val="18"/>
                  <w:szCs w:val="18"/>
                  <w:color w:val="0000EE"/>
                  <w:w w:val="84"/>
                </w:rPr>
                <w:t>2020</w:t>
              </w:r>
            </w:hyperlink>
          </w:p>
        </w:tc>
        <w:tc>
          <w:tcPr>
            <w:tcW w:w="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10.29+</w:t>
            </w:r>
          </w:p>
        </w:tc>
        <w:tc>
          <w:tcPr>
            <w:tcW w:w="4520" w:type="dxa"/>
            <w:vAlign w:val="bottom"/>
            <w:tcBorders>
              <w:bottom w:val="single" w:sz="8" w:color="0000EE"/>
            </w:tcBorders>
            <w:gridSpan w:val="27"/>
          </w:tcPr>
          <w:p>
            <w:pPr>
              <w:spacing w:after="0"/>
              <w:rPr>
                <w:rFonts w:ascii="Arial" w:cs="Arial" w:eastAsia="Arial" w:hAnsi="Arial"/>
                <w:sz w:val="18"/>
                <w:szCs w:val="18"/>
                <w:color w:val="0000EE"/>
                <w:w w:val="90"/>
              </w:rPr>
            </w:pPr>
            <w:hyperlink r:id="rId273">
              <w:r>
                <w:rPr>
                  <w:rFonts w:ascii="Arial" w:cs="Arial" w:eastAsia="Arial" w:hAnsi="Arial"/>
                  <w:sz w:val="18"/>
                  <w:szCs w:val="18"/>
                  <w:color w:val="0000EE"/>
                  <w:w w:val="90"/>
                </w:rPr>
                <w:t>Offer Letter, by and between FibroGen, Inc. and Pat Cotroneo,</w:t>
              </w:r>
            </w:hyperlink>
          </w:p>
        </w:tc>
        <w:tc>
          <w:tcPr>
            <w:tcW w:w="40" w:type="dxa"/>
            <w:vAlign w:val="bottom"/>
            <w:gridSpan w:val="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dated as of October 23, 2000.</w:t>
              </w:r>
            </w:hyperlink>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10.30+</w:t>
            </w:r>
          </w:p>
        </w:tc>
        <w:tc>
          <w:tcPr>
            <w:tcW w:w="4560" w:type="dxa"/>
            <w:vAlign w:val="bottom"/>
            <w:gridSpan w:val="29"/>
          </w:tcPr>
          <w:p>
            <w:pPr>
              <w:spacing w:after="0"/>
              <w:rPr>
                <w:rFonts w:ascii="Arial" w:cs="Arial" w:eastAsia="Arial" w:hAnsi="Arial"/>
                <w:sz w:val="18"/>
                <w:szCs w:val="18"/>
                <w:color w:val="0000EE"/>
                <w:w w:val="92"/>
              </w:rPr>
            </w:pPr>
            <w:hyperlink r:id="rId274">
              <w:r>
                <w:rPr>
                  <w:rFonts w:ascii="Arial" w:cs="Arial" w:eastAsia="Arial" w:hAnsi="Arial"/>
                  <w:sz w:val="18"/>
                  <w:szCs w:val="18"/>
                  <w:color w:val="0000EE"/>
                  <w:w w:val="92"/>
                </w:rPr>
                <w:t>Offer Letter, by and between FibroGen, Inc. and K. Peony Yu,</w:t>
              </w:r>
            </w:hyperlink>
          </w:p>
        </w:tc>
      </w:tr>
      <w:tr>
        <w:trPr>
          <w:trHeight w:val="196"/>
        </w:trPr>
        <w:tc>
          <w:tcPr>
            <w:tcW w:w="1400" w:type="dxa"/>
            <w:vAlign w:val="bottom"/>
          </w:tcPr>
          <w:p>
            <w:pPr>
              <w:spacing w:after="0"/>
              <w:rPr>
                <w:sz w:val="17"/>
                <w:szCs w:val="17"/>
                <w:color w:val="auto"/>
              </w:rPr>
            </w:pPr>
          </w:p>
        </w:tc>
        <w:tc>
          <w:tcPr>
            <w:tcW w:w="4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dated as of November 21, 2008.</w:t>
              </w:r>
            </w:hyperlink>
          </w:p>
        </w:tc>
        <w:tc>
          <w:tcPr>
            <w:tcW w:w="80" w:type="dxa"/>
            <w:vAlign w:val="bottom"/>
            <w:gridSpan w:val="4"/>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10.31+</w:t>
            </w:r>
          </w:p>
        </w:tc>
        <w:tc>
          <w:tcPr>
            <w:tcW w:w="4560" w:type="dxa"/>
            <w:vAlign w:val="bottom"/>
            <w:gridSpan w:val="29"/>
          </w:tcPr>
          <w:p>
            <w:pPr>
              <w:spacing w:after="0"/>
              <w:rPr>
                <w:rFonts w:ascii="Arial" w:cs="Arial" w:eastAsia="Arial" w:hAnsi="Arial"/>
                <w:sz w:val="18"/>
                <w:szCs w:val="18"/>
                <w:color w:val="0000EE"/>
              </w:rPr>
            </w:pPr>
            <w:hyperlink r:id="rId275">
              <w:r>
                <w:rPr>
                  <w:rFonts w:ascii="Arial" w:cs="Arial" w:eastAsia="Arial" w:hAnsi="Arial"/>
                  <w:sz w:val="18"/>
                  <w:szCs w:val="18"/>
                  <w:color w:val="0000EE"/>
                </w:rPr>
                <w:t>Offer Letter, by and between FibroGen, Inc. and James</w:t>
              </w:r>
            </w:hyperlink>
          </w:p>
        </w:tc>
      </w:tr>
      <w:tr>
        <w:trPr>
          <w:trHeight w:val="196"/>
        </w:trPr>
        <w:tc>
          <w:tcPr>
            <w:tcW w:w="1400" w:type="dxa"/>
            <w:vAlign w:val="bottom"/>
          </w:tcPr>
          <w:p>
            <w:pPr>
              <w:spacing w:after="0"/>
              <w:rPr>
                <w:sz w:val="17"/>
                <w:szCs w:val="17"/>
                <w:color w:val="auto"/>
              </w:rPr>
            </w:pPr>
          </w:p>
        </w:tc>
        <w:tc>
          <w:tcPr>
            <w:tcW w:w="3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Schoeneck, dated as of September 18, 2019.</w:t>
              </w:r>
            </w:hyperlink>
          </w:p>
        </w:tc>
        <w:tc>
          <w:tcPr>
            <w:tcW w:w="580" w:type="dxa"/>
            <w:vAlign w:val="bottom"/>
            <w:gridSpan w:val="13"/>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10.32*+</w:t>
            </w:r>
          </w:p>
        </w:tc>
        <w:tc>
          <w:tcPr>
            <w:tcW w:w="4560" w:type="dxa"/>
            <w:vAlign w:val="bottom"/>
            <w:gridSpan w:val="29"/>
          </w:tcPr>
          <w:p>
            <w:pPr>
              <w:spacing w:after="0"/>
              <w:rPr>
                <w:rFonts w:ascii="Arial" w:cs="Arial" w:eastAsia="Arial" w:hAnsi="Arial"/>
                <w:sz w:val="18"/>
                <w:szCs w:val="18"/>
                <w:color w:val="0000EE"/>
                <w:w w:val="99"/>
              </w:rPr>
            </w:pPr>
            <w:hyperlink w:anchor="page202">
              <w:r>
                <w:rPr>
                  <w:rFonts w:ascii="Arial" w:cs="Arial" w:eastAsia="Arial" w:hAnsi="Arial"/>
                  <w:sz w:val="18"/>
                  <w:szCs w:val="18"/>
                  <w:color w:val="0000EE"/>
                  <w:w w:val="99"/>
                </w:rPr>
                <w:t>Offer Letter, by and between FibroGen, Inc. and Christine</w:t>
              </w:r>
            </w:hyperlink>
          </w:p>
        </w:tc>
      </w:tr>
      <w:tr>
        <w:trPr>
          <w:trHeight w:val="196"/>
        </w:trPr>
        <w:tc>
          <w:tcPr>
            <w:tcW w:w="1400" w:type="dxa"/>
            <w:vAlign w:val="bottom"/>
          </w:tcPr>
          <w:p>
            <w:pPr>
              <w:spacing w:after="0"/>
              <w:rPr>
                <w:sz w:val="17"/>
                <w:szCs w:val="17"/>
                <w:color w:val="auto"/>
              </w:rPr>
            </w:pPr>
          </w:p>
        </w:tc>
        <w:tc>
          <w:tcPr>
            <w:tcW w:w="4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Chung, dated as of June 17, 2008.</w:t>
              </w:r>
            </w:hyperlink>
          </w:p>
        </w:tc>
        <w:tc>
          <w:tcPr>
            <w:tcW w:w="380" w:type="dxa"/>
            <w:vAlign w:val="bottom"/>
            <w:gridSpan w:val="11"/>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10.33*+</w:t>
            </w:r>
          </w:p>
        </w:tc>
        <w:tc>
          <w:tcPr>
            <w:tcW w:w="4560" w:type="dxa"/>
            <w:vAlign w:val="bottom"/>
            <w:gridSpan w:val="29"/>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Offer Letter, by and between FibroGen, Inc. and Elias</w:t>
              </w:r>
            </w:hyperlink>
          </w:p>
        </w:tc>
      </w:tr>
      <w:tr>
        <w:trPr>
          <w:trHeight w:val="196"/>
        </w:trPr>
        <w:tc>
          <w:tcPr>
            <w:tcW w:w="1400" w:type="dxa"/>
            <w:vAlign w:val="bottom"/>
          </w:tcPr>
          <w:p>
            <w:pPr>
              <w:spacing w:after="0"/>
              <w:rPr>
                <w:sz w:val="17"/>
                <w:szCs w:val="17"/>
                <w:color w:val="auto"/>
              </w:rPr>
            </w:pPr>
          </w:p>
        </w:tc>
        <w:tc>
          <w:tcPr>
            <w:tcW w:w="3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Kouchakji, dated as of January 24, 2014.</w:t>
              </w:r>
            </w:hyperlink>
          </w:p>
        </w:tc>
        <w:tc>
          <w:tcPr>
            <w:tcW w:w="680" w:type="dxa"/>
            <w:vAlign w:val="bottom"/>
            <w:gridSpan w:val="14"/>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10.34*+</w:t>
            </w:r>
          </w:p>
        </w:tc>
        <w:tc>
          <w:tcPr>
            <w:tcW w:w="41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8">
              <w:r>
                <w:rPr>
                  <w:rFonts w:ascii="Arial" w:cs="Arial" w:eastAsia="Arial" w:hAnsi="Arial"/>
                  <w:sz w:val="18"/>
                  <w:szCs w:val="18"/>
                  <w:color w:val="0000EE"/>
                  <w:w w:val="90"/>
                </w:rPr>
                <w:t>Offer Letter, by and between FibroGen, Inc. and Enrique</w:t>
              </w:r>
            </w:hyperlink>
          </w:p>
        </w:tc>
        <w:tc>
          <w:tcPr>
            <w:tcW w:w="460" w:type="dxa"/>
            <w:vAlign w:val="bottom"/>
            <w:gridSpan w:val="12"/>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560" w:type="dxa"/>
            <w:vAlign w:val="bottom"/>
            <w:gridSpan w:val="29"/>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Conterno, dated as of December 17, 2019.</w:t>
              </w:r>
            </w:hyperlink>
          </w:p>
        </w:tc>
      </w:tr>
      <w:tr>
        <w:trPr>
          <w:trHeight w:val="20"/>
        </w:trPr>
        <w:tc>
          <w:tcPr>
            <w:tcW w:w="14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10.35*+</w:t>
            </w:r>
          </w:p>
        </w:tc>
        <w:tc>
          <w:tcPr>
            <w:tcW w:w="43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211">
              <w:r>
                <w:rPr>
                  <w:rFonts w:ascii="Arial" w:cs="Arial" w:eastAsia="Arial" w:hAnsi="Arial"/>
                  <w:sz w:val="18"/>
                  <w:szCs w:val="18"/>
                  <w:color w:val="0000EE"/>
                  <w:w w:val="90"/>
                </w:rPr>
                <w:t>Form of Executive Officer Change in Control and Severance</w:t>
              </w:r>
            </w:hyperlink>
          </w:p>
        </w:tc>
        <w:tc>
          <w:tcPr>
            <w:tcW w:w="180" w:type="dxa"/>
            <w:vAlign w:val="bottom"/>
            <w:gridSpan w:val="7"/>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211">
              <w:r>
                <w:rPr>
                  <w:rFonts w:ascii="Arial" w:cs="Arial" w:eastAsia="Arial" w:hAnsi="Arial"/>
                  <w:sz w:val="18"/>
                  <w:szCs w:val="18"/>
                  <w:color w:val="0000EE"/>
                  <w:w w:val="88"/>
                </w:rPr>
                <w:t>Agreement</w:t>
              </w:r>
            </w:hyperlink>
          </w:p>
        </w:tc>
        <w:tc>
          <w:tcPr>
            <w:tcW w:w="3760" w:type="dxa"/>
            <w:vAlign w:val="bottom"/>
            <w:gridSpan w:val="27"/>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7"/>
          </w:tcPr>
          <w:p>
            <w:pPr>
              <w:spacing w:after="0"/>
              <w:rPr>
                <w:rFonts w:ascii="Arial" w:cs="Arial" w:eastAsia="Arial" w:hAnsi="Arial"/>
                <w:sz w:val="18"/>
                <w:szCs w:val="18"/>
                <w:color w:val="0000EE"/>
                <w:w w:val="91"/>
              </w:rPr>
            </w:pPr>
            <w:hyperlink r:id="rId276">
              <w:r>
                <w:rPr>
                  <w:rFonts w:ascii="Arial" w:cs="Arial" w:eastAsia="Arial" w:hAnsi="Arial"/>
                  <w:sz w:val="18"/>
                  <w:szCs w:val="18"/>
                  <w:color w:val="0000EE"/>
                  <w:w w:val="91"/>
                </w:rPr>
                <w:t>Subsidiaries of FibroGen, Inc.</w:t>
              </w:r>
            </w:hyperlink>
          </w:p>
        </w:tc>
        <w:tc>
          <w:tcPr>
            <w:tcW w:w="2380" w:type="dxa"/>
            <w:vAlign w:val="bottom"/>
            <w:gridSpan w:val="22"/>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4560" w:type="dxa"/>
            <w:vAlign w:val="bottom"/>
            <w:gridSpan w:val="29"/>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Consent of PricewaterhouseCoopers LLP.</w:t>
              </w:r>
            </w:hyperlink>
          </w:p>
        </w:tc>
      </w:tr>
      <w:tr>
        <w:trPr>
          <w:trHeight w:val="20"/>
        </w:trPr>
        <w:tc>
          <w:tcPr>
            <w:tcW w:w="1400" w:type="dxa"/>
            <w:vAlign w:val="bottom"/>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35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Power of Attorney (included in signature pages).</w:t>
              </w:r>
            </w:hyperlink>
          </w:p>
        </w:tc>
        <w:tc>
          <w:tcPr>
            <w:tcW w:w="1040" w:type="dxa"/>
            <w:vAlign w:val="bottom"/>
            <w:gridSpan w:val="15"/>
          </w:tcPr>
          <w:p>
            <w:pPr>
              <w:spacing w:after="0"/>
              <w:rPr>
                <w:sz w:val="24"/>
                <w:szCs w:val="24"/>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4560" w:type="dxa"/>
            <w:vAlign w:val="bottom"/>
            <w:gridSpan w:val="29"/>
          </w:tcPr>
          <w:p>
            <w:pPr>
              <w:spacing w:after="0"/>
              <w:rPr>
                <w:rFonts w:ascii="Arial" w:cs="Arial" w:eastAsia="Arial" w:hAnsi="Arial"/>
                <w:sz w:val="18"/>
                <w:szCs w:val="18"/>
                <w:color w:val="0000EE"/>
                <w:w w:val="96"/>
              </w:rPr>
            </w:pPr>
            <w:hyperlink w:anchor="page243">
              <w:r>
                <w:rPr>
                  <w:rFonts w:ascii="Arial" w:cs="Arial" w:eastAsia="Arial" w:hAnsi="Arial"/>
                  <w:sz w:val="18"/>
                  <w:szCs w:val="18"/>
                  <w:color w:val="0000EE"/>
                  <w:w w:val="96"/>
                </w:rPr>
                <w:t>Certification of Chief Executive Officer, as required by Rule</w:t>
              </w:r>
            </w:hyperlink>
          </w:p>
        </w:tc>
      </w:tr>
      <w:tr>
        <w:trPr>
          <w:trHeight w:val="196"/>
        </w:trPr>
        <w:tc>
          <w:tcPr>
            <w:tcW w:w="140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43">
              <w:r>
                <w:rPr>
                  <w:rFonts w:ascii="Arial" w:cs="Arial" w:eastAsia="Arial" w:hAnsi="Arial"/>
                  <w:sz w:val="18"/>
                  <w:szCs w:val="18"/>
                  <w:color w:val="0000EE"/>
                  <w:w w:val="90"/>
                </w:rPr>
                <w:t>13a-14(a) or Rule 15d-14(a).</w:t>
              </w:r>
            </w:hyperlink>
          </w:p>
        </w:tc>
        <w:tc>
          <w:tcPr>
            <w:tcW w:w="224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43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244">
              <w:r>
                <w:rPr>
                  <w:rFonts w:ascii="Arial" w:cs="Arial" w:eastAsia="Arial" w:hAnsi="Arial"/>
                  <w:sz w:val="18"/>
                  <w:szCs w:val="18"/>
                  <w:color w:val="0000EE"/>
                  <w:w w:val="92"/>
                </w:rPr>
                <w:t>Certification of Chief Financial Officer, as required by Rule</w:t>
              </w:r>
            </w:hyperlink>
          </w:p>
        </w:tc>
        <w:tc>
          <w:tcPr>
            <w:tcW w:w="240" w:type="dxa"/>
            <w:vAlign w:val="bottom"/>
            <w:gridSpan w:val="9"/>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44">
              <w:r>
                <w:rPr>
                  <w:rFonts w:ascii="Arial" w:cs="Arial" w:eastAsia="Arial" w:hAnsi="Arial"/>
                  <w:sz w:val="18"/>
                  <w:szCs w:val="18"/>
                  <w:color w:val="0000EE"/>
                  <w:w w:val="89"/>
                </w:rPr>
                <w:t>13a-14(a) or Rule 15d-14(a).</w:t>
              </w:r>
            </w:hyperlink>
          </w:p>
        </w:tc>
        <w:tc>
          <w:tcPr>
            <w:tcW w:w="2480" w:type="dxa"/>
            <w:vAlign w:val="bottom"/>
            <w:gridSpan w:val="24"/>
          </w:tcPr>
          <w:p>
            <w:pPr>
              <w:spacing w:after="0"/>
              <w:rPr>
                <w:sz w:val="17"/>
                <w:szCs w:val="17"/>
                <w:color w:val="auto"/>
              </w:rPr>
            </w:pPr>
          </w:p>
        </w:tc>
      </w:tr>
      <w:tr>
        <w:trPr>
          <w:trHeight w:val="588"/>
        </w:trPr>
        <w:tc>
          <w:tcPr>
            <w:tcW w:w="1400" w:type="dxa"/>
            <w:vAlign w:val="bottom"/>
          </w:tcPr>
          <w:p>
            <w:pPr>
              <w:spacing w:after="0"/>
              <w:rPr>
                <w:sz w:val="24"/>
                <w:szCs w:val="24"/>
                <w:color w:val="auto"/>
              </w:rPr>
            </w:pPr>
          </w:p>
        </w:tc>
        <w:tc>
          <w:tcPr>
            <w:tcW w:w="4480" w:type="dxa"/>
            <w:vAlign w:val="bottom"/>
            <w:gridSpan w:val="25"/>
          </w:tcPr>
          <w:p>
            <w:pPr>
              <w:ind w:left="4180"/>
              <w:spacing w:after="0"/>
              <w:rPr>
                <w:sz w:val="20"/>
                <w:szCs w:val="20"/>
                <w:color w:val="auto"/>
              </w:rPr>
            </w:pPr>
            <w:r>
              <w:rPr>
                <w:rFonts w:ascii="Arial" w:cs="Arial" w:eastAsia="Arial" w:hAnsi="Arial"/>
                <w:sz w:val="18"/>
                <w:szCs w:val="18"/>
                <w:color w:val="auto"/>
                <w:w w:val="93"/>
              </w:rPr>
              <w:t>158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6"/>
              </w:rPr>
              <w:t>10.26(xxxiv)</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2/27/2018</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4"/>
              </w:rPr>
              <w:t>10.26(xxxv)</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2/27/2018</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6"/>
              </w:rPr>
              <w:t>10.26(xxxvi)</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1"/>
              </w:rPr>
              <w:t>5/9/2019</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8"/>
              </w:rPr>
              <w:t>10.32</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1"/>
              </w:rPr>
              <w:t>5/9/2017</w:t>
            </w:r>
          </w:p>
        </w:tc>
      </w:tr>
      <w:tr>
        <w:trPr>
          <w:trHeight w:val="101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8"/>
              </w:rPr>
              <w:t>10.31</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8"/>
              </w:rPr>
              <w:t>10.30</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2"/>
              </w:rPr>
              <w:t>10/1/2014</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1"/>
              </w:rPr>
              <w:t>10.7</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11/12/2019</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1"/>
              </w:rPr>
              <w:t>21.1</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0"/>
              </w:rPr>
              <w:t>10/24/2014</w:t>
            </w:r>
          </w:p>
        </w:tc>
      </w:tr>
      <w:tr>
        <w:trPr>
          <w:trHeight w:val="365"/>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r>
      <w:tr>
        <w:trPr>
          <w:trHeight w:val="365"/>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r>
      <w:tr>
        <w:trPr>
          <w:trHeight w:val="365"/>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r>
      <w:tr>
        <w:trPr>
          <w:trHeight w:val="581"/>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5960" w:space="360"/>
            <w:col w:w="4560"/>
          </w:cols>
          <w:pgMar w:left="240" w:top="338" w:right="77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4780" w:type="dxa"/>
            <w:vAlign w:val="bottom"/>
            <w:gridSpan w:val="5"/>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Certification of Principal Executive Officer and Principal</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0"/>
        </w:trPr>
        <w:tc>
          <w:tcPr>
            <w:tcW w:w="14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780" w:type="dxa"/>
            <w:vAlign w:val="bottom"/>
            <w:gridSpan w:val="5"/>
          </w:tcPr>
          <w:p>
            <w:pPr>
              <w:spacing w:after="0" w:line="196" w:lineRule="exact"/>
              <w:rPr>
                <w:rFonts w:ascii="Arial" w:cs="Arial" w:eastAsia="Arial" w:hAnsi="Arial"/>
                <w:sz w:val="18"/>
                <w:szCs w:val="18"/>
                <w:color w:val="0000EE"/>
                <w:w w:val="98"/>
              </w:rPr>
            </w:pPr>
            <w:hyperlink w:anchor="page245">
              <w:r>
                <w:rPr>
                  <w:rFonts w:ascii="Arial" w:cs="Arial" w:eastAsia="Arial" w:hAnsi="Arial"/>
                  <w:sz w:val="18"/>
                  <w:szCs w:val="18"/>
                  <w:color w:val="0000EE"/>
                  <w:w w:val="98"/>
                </w:rPr>
                <w:t>Financial Officer, as required by Rule 13a-14(b) or Rule 15d-</w:t>
              </w:r>
            </w:hyperlink>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45">
              <w:r>
                <w:rPr>
                  <w:rFonts w:ascii="Arial" w:cs="Arial" w:eastAsia="Arial" w:hAnsi="Arial"/>
                  <w:sz w:val="18"/>
                  <w:szCs w:val="18"/>
                  <w:color w:val="0000EE"/>
                  <w:w w:val="91"/>
                </w:rPr>
                <w:t>14(b) and Section 1350 of Chapter 63 of Title 18 of the United</w:t>
              </w:r>
            </w:hyperlink>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4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45">
              <w:r>
                <w:rPr>
                  <w:rFonts w:ascii="Arial" w:cs="Arial" w:eastAsia="Arial" w:hAnsi="Arial"/>
                  <w:sz w:val="18"/>
                  <w:szCs w:val="18"/>
                  <w:color w:val="0000EE"/>
                  <w:w w:val="89"/>
                </w:rPr>
                <w:t>States Code (18 U.S.C. §1350)(1).</w:t>
              </w:r>
            </w:hyperlink>
          </w:p>
        </w:tc>
        <w:tc>
          <w:tcPr>
            <w:tcW w:w="23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85"/>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Taxonomy Schema Linkbase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Calculation Linkbase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Definition Linkbase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Labels Linkbase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65"/>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gridSpan w:val="5"/>
          </w:tcPr>
          <w:p>
            <w:pPr>
              <w:spacing w:after="0"/>
              <w:rPr>
                <w:sz w:val="20"/>
                <w:szCs w:val="20"/>
                <w:color w:val="auto"/>
              </w:rPr>
            </w:pPr>
            <w:r>
              <w:rPr>
                <w:rFonts w:ascii="Arial" w:cs="Arial" w:eastAsia="Arial" w:hAnsi="Arial"/>
                <w:sz w:val="18"/>
                <w:szCs w:val="18"/>
                <w:color w:val="auto"/>
              </w:rPr>
              <w:t>Inline XBRL Taxonomy Presentation Linkbase Document</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350"/>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4780" w:type="dxa"/>
            <w:vAlign w:val="bottom"/>
            <w:gridSpan w:val="5"/>
          </w:tcPr>
          <w:p>
            <w:pPr>
              <w:spacing w:after="0"/>
              <w:rPr>
                <w:sz w:val="20"/>
                <w:szCs w:val="20"/>
                <w:color w:val="auto"/>
              </w:rPr>
            </w:pPr>
            <w:r>
              <w:rPr>
                <w:rFonts w:ascii="Arial" w:cs="Arial" w:eastAsia="Arial" w:hAnsi="Arial"/>
                <w:sz w:val="18"/>
                <w:szCs w:val="18"/>
                <w:color w:val="auto"/>
                <w:w w:val="98"/>
              </w:rPr>
              <w:t>Cover Page Interactive Data File (embedded within the inline</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420" w:type="dxa"/>
            <w:vAlign w:val="bottom"/>
          </w:tcPr>
          <w:p>
            <w:pPr>
              <w:ind w:left="540"/>
              <w:spacing w:after="0"/>
              <w:rPr>
                <w:sz w:val="20"/>
                <w:szCs w:val="20"/>
                <w:color w:val="auto"/>
              </w:rPr>
            </w:pPr>
            <w:r>
              <w:rPr>
                <w:rFonts w:ascii="Arial" w:cs="Arial" w:eastAsia="Arial" w:hAnsi="Arial"/>
                <w:sz w:val="18"/>
                <w:szCs w:val="18"/>
                <w:color w:val="auto"/>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30"/>
        </w:trPr>
        <w:tc>
          <w:tcPr>
            <w:tcW w:w="1400" w:type="dxa"/>
            <w:vAlign w:val="bottom"/>
          </w:tcPr>
          <w:p>
            <w:pPr>
              <w:spacing w:after="0"/>
              <w:rPr>
                <w:sz w:val="20"/>
                <w:szCs w:val="20"/>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XBRL document)</w:t>
            </w: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48"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Information Omitted.</w:t>
      </w:r>
    </w:p>
    <w:p>
      <w:pPr>
        <w:spacing w:after="0" w:line="9"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jc w:val="both"/>
        <w:ind w:left="520" w:hanging="512"/>
        <w:spacing w:after="0" w:line="302"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55" w:lineRule="exact"/>
        <w:rPr>
          <w:sz w:val="20"/>
          <w:szCs w:val="20"/>
          <w:color w:val="auto"/>
        </w:rPr>
      </w:pPr>
    </w:p>
    <w:p>
      <w:pPr>
        <w:ind w:right="420" w:firstLine="8"/>
        <w:spacing w:after="0" w:line="277" w:lineRule="auto"/>
        <w:tabs>
          <w:tab w:leader="none" w:pos="24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—See (a) 2 above. All other financial statement schedules are omitted because they are not applicable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information is included in the consolidated financial statements or notes thereto.</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338" w:right="45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b w:val="1"/>
                <w:bCs w:val="1"/>
                <w:color w:val="auto"/>
              </w:rPr>
              <w:t>FIBROGEN, INC.</w:t>
            </w:r>
          </w:p>
        </w:tc>
      </w:tr>
      <w:tr>
        <w:trPr>
          <w:trHeight w:val="351"/>
        </w:trPr>
        <w:tc>
          <w:tcPr>
            <w:tcW w:w="3420" w:type="dxa"/>
            <w:vAlign w:val="bottom"/>
          </w:tcPr>
          <w:p>
            <w:pPr>
              <w:spacing w:after="0"/>
              <w:rPr>
                <w:sz w:val="20"/>
                <w:szCs w:val="20"/>
                <w:color w:val="auto"/>
              </w:rPr>
            </w:pPr>
            <w:r>
              <w:rPr>
                <w:rFonts w:ascii="Arial" w:cs="Arial" w:eastAsia="Arial" w:hAnsi="Arial"/>
                <w:sz w:val="18"/>
                <w:szCs w:val="18"/>
                <w:color w:val="auto"/>
              </w:rPr>
              <w:t>Date: March 2, 2020</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3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51"/>
        </w:trPr>
        <w:tc>
          <w:tcPr>
            <w:tcW w:w="3420" w:type="dxa"/>
            <w:vAlign w:val="bottom"/>
          </w:tcPr>
          <w:p>
            <w:pPr>
              <w:spacing w:after="0"/>
              <w:rPr>
                <w:sz w:val="20"/>
                <w:szCs w:val="20"/>
                <w:color w:val="auto"/>
              </w:rPr>
            </w:pPr>
            <w:r>
              <w:rPr>
                <w:rFonts w:ascii="Arial" w:cs="Arial" w:eastAsia="Arial" w:hAnsi="Arial"/>
                <w:sz w:val="18"/>
                <w:szCs w:val="18"/>
                <w:color w:val="auto"/>
              </w:rPr>
              <w:t>Date: March 2, 2020</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3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2"/>
        </w:trPr>
        <w:tc>
          <w:tcPr>
            <w:tcW w:w="3420" w:type="dxa"/>
            <w:vAlign w:val="bottom"/>
          </w:tcPr>
          <w:p>
            <w:pPr>
              <w:spacing w:after="0"/>
              <w:rPr>
                <w:sz w:val="24"/>
                <w:szCs w:val="24"/>
                <w:color w:val="auto"/>
              </w:rPr>
            </w:pPr>
          </w:p>
        </w:tc>
        <w:tc>
          <w:tcPr>
            <w:tcW w:w="2900" w:type="dxa"/>
            <w:vAlign w:val="bottom"/>
          </w:tcPr>
          <w:p>
            <w:pPr>
              <w:jc w:val="right"/>
              <w:ind w:right="390"/>
              <w:spacing w:after="0"/>
              <w:rPr>
                <w:sz w:val="20"/>
                <w:szCs w:val="20"/>
                <w:color w:val="auto"/>
              </w:rPr>
            </w:pPr>
            <w:r>
              <w:rPr>
                <w:rFonts w:ascii="Arial" w:cs="Arial" w:eastAsia="Arial" w:hAnsi="Arial"/>
                <w:sz w:val="18"/>
                <w:szCs w:val="18"/>
                <w:color w:val="auto"/>
              </w:rPr>
              <w:t>160</w:t>
            </w:r>
          </w:p>
        </w:tc>
        <w:tc>
          <w:tcPr>
            <w:tcW w:w="510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Enrique Conterno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80"/>
          </w:cols>
          <w:pgMar w:left="240" w:top="337" w:right="279" w:bottom="1440" w:gutter="0" w:footer="0" w:header="0"/>
        </w:sectPr>
      </w:pPr>
    </w:p>
    <w:p>
      <w:pPr>
        <w:spacing w:after="0" w:line="230"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3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Enrique Conterno</w:t>
      </w:r>
    </w:p>
    <w:p>
      <w:pPr>
        <w:spacing w:after="0" w:line="46"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Pat Cotroneo</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James A. Schoeneck</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Suzanne Blaug</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Suzanne Blaug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Jeffrey L. Edwards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 Jeffrey W. Henderson</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9070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3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Maykin Ho, Ph.D.</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Maykin Ho,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 Thomas F. Kearns Jr.</w:t>
      </w:r>
    </w:p>
    <w:p>
      <w:pPr>
        <w:spacing w:after="0" w:line="57"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9070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Kalevi Kurkijärvi, Ph.D.</w:t>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9070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4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Gerald Lema</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Gerald 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Rory B. Riggs</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140"/>
        <w:spacing w:after="0"/>
        <w:rPr>
          <w:sz w:val="20"/>
          <w:szCs w:val="20"/>
          <w:color w:val="auto"/>
        </w:rPr>
      </w:pPr>
      <w:r>
        <w:rPr>
          <w:rFonts w:ascii="Arial" w:cs="Arial" w:eastAsia="Arial" w:hAnsi="Arial"/>
          <w:sz w:val="14"/>
          <w:szCs w:val="14"/>
          <w:b w:val="1"/>
          <w:bCs w:val="1"/>
          <w:u w:val="single" w:color="auto"/>
          <w:color w:val="auto"/>
        </w:rPr>
        <w:t>Title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Senior Vice President, Finance and Chief Financial Officer </w:t>
      </w: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right"/>
        <w:ind w:right="840"/>
        <w:spacing w:after="0"/>
        <w:rPr>
          <w:sz w:val="20"/>
          <w:szCs w:val="20"/>
          <w:color w:val="auto"/>
        </w:rPr>
      </w:pPr>
      <w:r>
        <w:rPr>
          <w:rFonts w:ascii="Arial" w:cs="Arial" w:eastAsia="Arial" w:hAnsi="Arial"/>
          <w:sz w:val="14"/>
          <w:szCs w:val="14"/>
          <w:b w:val="1"/>
          <w:bCs w:val="1"/>
          <w:u w:val="single" w:color="auto"/>
          <w:color w:val="auto"/>
        </w:rPr>
        <w:t>Date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79" w:lineRule="exact"/>
        <w:rPr>
          <w:sz w:val="20"/>
          <w:szCs w:val="20"/>
          <w:color w:val="auto"/>
        </w:rPr>
      </w:pPr>
    </w:p>
    <w:p>
      <w:pPr>
        <w:sectPr>
          <w:pgSz w:w="11900" w:h="16838" w:orient="portrait"/>
          <w:cols w:equalWidth="0" w:num="3">
            <w:col w:w="3980" w:space="720"/>
            <w:col w:w="4240" w:space="420"/>
            <w:col w:w="2020"/>
          </w:cols>
          <w:pgMar w:left="240" w:top="337" w:right="27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 Roberto Pedro Rosenkranz, Ph.D., M.B.A.</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Roberto Pedro Rosenkranz,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907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Toshinari Tamura, Ph.D.</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Toshinari Tamura,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 2020</w:t>
      </w:r>
    </w:p>
    <w:p>
      <w:pPr>
        <w:spacing w:after="0" w:line="200" w:lineRule="exact"/>
        <w:rPr>
          <w:sz w:val="20"/>
          <w:szCs w:val="20"/>
          <w:color w:val="auto"/>
        </w:rPr>
      </w:pPr>
    </w:p>
    <w:p>
      <w:pPr>
        <w:spacing w:after="0" w:line="224"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 2020</w:t>
      </w:r>
    </w:p>
    <w:p>
      <w:pPr>
        <w:spacing w:after="0" w:line="354" w:lineRule="exact"/>
        <w:rPr>
          <w:sz w:val="20"/>
          <w:szCs w:val="20"/>
          <w:color w:val="auto"/>
        </w:rPr>
      </w:pPr>
    </w:p>
    <w:p>
      <w:pPr>
        <w:sectPr>
          <w:pgSz w:w="11900" w:h="16838" w:orient="portrait"/>
          <w:cols w:equalWidth="0" w:num="2">
            <w:col w:w="3980" w:space="720"/>
            <w:col w:w="6680"/>
          </w:cols>
          <w:pgMar w:left="240" w:top="337" w:right="279" w:bottom="1440" w:gutter="0" w:footer="0" w:header="0"/>
          <w:type w:val="continuous"/>
        </w:sect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380"/>
          </w:cols>
          <w:pgMar w:left="240" w:top="337" w:right="27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ind w:right="140" w:firstLine="823"/>
        <w:spacing w:after="0" w:line="259" w:lineRule="auto"/>
        <w:rPr>
          <w:sz w:val="20"/>
          <w:szCs w:val="20"/>
          <w:color w:val="auto"/>
        </w:rPr>
      </w:pPr>
      <w:r>
        <w:rPr>
          <w:rFonts w:ascii="Arial" w:cs="Arial" w:eastAsia="Arial" w:hAnsi="Arial"/>
          <w:sz w:val="18"/>
          <w:szCs w:val="18"/>
          <w:color w:val="auto"/>
        </w:rPr>
        <w:t>The following description summarizes the most important terms of our capital stock. Because it is only a summary, it does not contain all the information that may be important to you. For a complete description of the matters set forth in this “Description of Capital Stock,” you should refer to our amended and restated certificate of incorporation and amended and restated bylaws, which are included as exhibits to our Annual Report on Form 10-K, and to the applicable provisions of Delaware law.</w:t>
      </w:r>
    </w:p>
    <w:p>
      <w:pPr>
        <w:spacing w:after="0" w:line="295" w:lineRule="exact"/>
        <w:rPr>
          <w:sz w:val="20"/>
          <w:szCs w:val="20"/>
          <w:color w:val="auto"/>
        </w:rPr>
      </w:pPr>
    </w:p>
    <w:p>
      <w:pPr>
        <w:ind w:right="460" w:firstLine="823"/>
        <w:spacing w:after="0" w:line="277" w:lineRule="auto"/>
        <w:rPr>
          <w:sz w:val="20"/>
          <w:szCs w:val="20"/>
          <w:color w:val="auto"/>
        </w:rPr>
      </w:pPr>
      <w:r>
        <w:rPr>
          <w:rFonts w:ascii="Arial" w:cs="Arial" w:eastAsia="Arial" w:hAnsi="Arial"/>
          <w:sz w:val="18"/>
          <w:szCs w:val="18"/>
          <w:color w:val="auto"/>
        </w:rPr>
        <w:t>Our authorized capital stock consists of 225,000,000 shares of common stock, par value $0.01 per share and 125,000,000 shares of preferred stock, par value $0.01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333" w:lineRule="exact"/>
        <w:rPr>
          <w:sz w:val="20"/>
          <w:szCs w:val="20"/>
          <w:color w:val="auto"/>
        </w:rPr>
      </w:pPr>
    </w:p>
    <w:p>
      <w:pPr>
        <w:ind w:right="200" w:firstLine="823"/>
        <w:spacing w:after="0" w:line="264" w:lineRule="auto"/>
        <w:rPr>
          <w:sz w:val="20"/>
          <w:szCs w:val="20"/>
          <w:color w:val="auto"/>
        </w:rPr>
      </w:pPr>
      <w:r>
        <w:rPr>
          <w:rFonts w:ascii="Arial" w:cs="Arial" w:eastAsia="Arial" w:hAnsi="Arial"/>
          <w:sz w:val="18"/>
          <w:szCs w:val="18"/>
          <w:color w:val="auto"/>
        </w:rPr>
        <w:t>Each holder of our common stock is entitled to one vote for each share of common stock held on all matters submitted to a vote of stockholders, except as otherwise expressly provided in our amended and restated certificate of incorporation or required by applicable law. We have not provided for cumulative voting for the election of directors in our amended and restated certificate of incorporation.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333" w:lineRule="exact"/>
        <w:rPr>
          <w:sz w:val="20"/>
          <w:szCs w:val="20"/>
          <w:color w:val="auto"/>
        </w:rPr>
      </w:pPr>
    </w:p>
    <w:p>
      <w:pPr>
        <w:ind w:right="60" w:firstLine="823"/>
        <w:spacing w:after="0" w:line="264" w:lineRule="auto"/>
        <w:rPr>
          <w:sz w:val="20"/>
          <w:szCs w:val="20"/>
          <w:color w:val="auto"/>
        </w:rPr>
      </w:pPr>
      <w:r>
        <w:rPr>
          <w:rFonts w:ascii="Arial" w:cs="Arial" w:eastAsia="Arial" w:hAnsi="Arial"/>
          <w:sz w:val="18"/>
          <w:szCs w:val="18"/>
          <w:i w:val="1"/>
          <w:iCs w:val="1"/>
          <w:color w:val="auto"/>
        </w:rPr>
        <w:t xml:space="preserve">Dividends and Distributions. </w:t>
      </w:r>
      <w:r>
        <w:rPr>
          <w:rFonts w:ascii="Arial" w:cs="Arial" w:eastAsia="Arial" w:hAnsi="Arial"/>
          <w:sz w:val="18"/>
          <w:szCs w:val="18"/>
          <w:color w:val="auto"/>
        </w:rPr>
        <w:t>Subject to the prior rights of holders of all classes and series of stock at the time outstanding having prior rights as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the holders of common stock will be entitled to receive, when, as and if declared by our board of directors, out of any assets legally available therefor, such dividends as may be declared from time to time by our board of directors.</w:t>
      </w:r>
    </w:p>
    <w:p>
      <w:pPr>
        <w:spacing w:after="0" w:line="289" w:lineRule="exact"/>
        <w:rPr>
          <w:sz w:val="20"/>
          <w:szCs w:val="20"/>
          <w:color w:val="auto"/>
        </w:rPr>
      </w:pPr>
    </w:p>
    <w:p>
      <w:pPr>
        <w:jc w:val="both"/>
        <w:ind w:firstLine="823"/>
        <w:spacing w:after="0" w:line="26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our liquidation, dissolution or winding-up, upon the completion of the distributions required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preferred stock that may then be outstanding, the remaining assets legally available for distribution to stockholders shall be distributed ratably among the holders of common stock and any participating preferred stock outstanding at that time.</w:t>
      </w:r>
    </w:p>
    <w:p>
      <w:pPr>
        <w:spacing w:after="0" w:line="181" w:lineRule="exact"/>
        <w:rPr>
          <w:sz w:val="20"/>
          <w:szCs w:val="20"/>
          <w:color w:val="auto"/>
        </w:rPr>
      </w:pPr>
    </w:p>
    <w:p>
      <w:pPr>
        <w:ind w:right="780" w:firstLine="823"/>
        <w:spacing w:after="0" w:line="277" w:lineRule="auto"/>
        <w:rPr>
          <w:sz w:val="20"/>
          <w:szCs w:val="20"/>
          <w:color w:val="auto"/>
        </w:rPr>
      </w:pPr>
      <w:r>
        <w:rPr>
          <w:rFonts w:ascii="Arial" w:cs="Arial" w:eastAsia="Arial" w:hAnsi="Arial"/>
          <w:sz w:val="18"/>
          <w:szCs w:val="18"/>
          <w:color w:val="auto"/>
        </w:rPr>
        <w:t>Holders of common stock have no preemptive or conversion rights or other subscription rights. There are no redemption or sinking fund provisions applicable to the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823"/>
        <w:spacing w:after="0" w:line="271" w:lineRule="auto"/>
        <w:rPr>
          <w:sz w:val="20"/>
          <w:szCs w:val="20"/>
          <w:color w:val="auto"/>
        </w:rPr>
      </w:pPr>
      <w:r>
        <w:rPr>
          <w:rFonts w:ascii="Arial" w:cs="Arial" w:eastAsia="Arial" w:hAnsi="Arial"/>
          <w:sz w:val="17"/>
          <w:szCs w:val="17"/>
          <w:color w:val="auto"/>
        </w:rPr>
        <w:t>Our amended and restated certificate of incorporation provides that our board of directors may, without further action by our stockholders, fix the rights, preferences, privileges and restrictions of up to an aggregate of 125,000,000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which could decrease the market price of our common stock. In addition, the issuance of preferred stock could have the effect of delaying, deferring or preventing a change of control or other corporate action. No shares of preferred stock are outstanding, and we have no present plan to issue any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40" w:firstLine="823"/>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Its address is 6201 15th Avenue, Brooklyn, New York 11219.</w:t>
      </w:r>
    </w:p>
    <w:p>
      <w:pPr>
        <w:sectPr>
          <w:pgSz w:w="11900" w:h="16838" w:orient="portrait"/>
          <w:cols w:equalWidth="0" w:num="1">
            <w:col w:w="11420"/>
          </w:cols>
          <w:pgMar w:left="240" w:top="338" w:right="239" w:bottom="1440" w:gutter="0" w:footer="0" w:header="0"/>
        </w:sectPr>
      </w:pPr>
    </w:p>
    <w:bookmarkStart w:id="164" w:name="page165"/>
    <w:bookmarkEnd w:id="164"/>
    <w:p>
      <w:pPr>
        <w:ind w:right="20" w:firstLine="8"/>
        <w:spacing w:after="0" w:line="298" w:lineRule="auto"/>
        <w:tabs>
          <w:tab w:leader="none" w:pos="23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10.28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SUPPLY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(Roxadustat)</w:t>
      </w:r>
    </w:p>
    <w:p>
      <w:pPr>
        <w:spacing w:after="0" w:line="216" w:lineRule="exact"/>
        <w:rPr>
          <w:sz w:val="20"/>
          <w:szCs w:val="20"/>
          <w:color w:val="auto"/>
        </w:rPr>
      </w:pPr>
    </w:p>
    <w:p>
      <w:pPr>
        <w:jc w:val="both"/>
        <w:ind w:firstLine="827"/>
        <w:spacing w:after="0" w:line="262" w:lineRule="auto"/>
        <w:rPr>
          <w:sz w:val="20"/>
          <w:szCs w:val="20"/>
          <w:color w:val="auto"/>
        </w:rPr>
      </w:pPr>
      <w:r>
        <w:rPr>
          <w:rFonts w:ascii="Arial" w:cs="Arial" w:eastAsia="Arial" w:hAnsi="Arial"/>
          <w:sz w:val="19"/>
          <w:szCs w:val="19"/>
          <w:b w:val="1"/>
          <w:bCs w:val="1"/>
          <w:color w:val="auto"/>
        </w:rPr>
        <w:t xml:space="preserve">This Commercial Supply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effective as of January 1,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FibroGen, Inc., a Delaware corporation with offices located at 409 Illinois Street, San Francisco, California 94158, and its Affiliates (collectively, “</w:t>
      </w:r>
      <w:r>
        <w:rPr>
          <w:rFonts w:ascii="Arial" w:cs="Arial" w:eastAsia="Arial" w:hAnsi="Arial"/>
          <w:sz w:val="19"/>
          <w:szCs w:val="19"/>
          <w:b w:val="1"/>
          <w:bCs w:val="1"/>
          <w:color w:val="auto"/>
        </w:rPr>
        <w:t>FibroGen</w:t>
      </w:r>
      <w:r>
        <w:rPr>
          <w:rFonts w:ascii="Arial" w:cs="Arial" w:eastAsia="Arial" w:hAnsi="Arial"/>
          <w:sz w:val="19"/>
          <w:szCs w:val="19"/>
          <w:color w:val="auto"/>
        </w:rPr>
        <w:t>”), and Catalent Pharma Solutions, LLC, a Delaware limited liability corporation having an address at 14 Schoolhouse Road, Somerset, New Jersey 08873 (“</w:t>
      </w:r>
      <w:r>
        <w:rPr>
          <w:rFonts w:ascii="Arial" w:cs="Arial" w:eastAsia="Arial" w:hAnsi="Arial"/>
          <w:sz w:val="19"/>
          <w:szCs w:val="19"/>
          <w:b w:val="1"/>
          <w:bCs w:val="1"/>
          <w:color w:val="auto"/>
        </w:rPr>
        <w:t>Catalent</w:t>
      </w:r>
      <w:r>
        <w:rPr>
          <w:rFonts w:ascii="Arial" w:cs="Arial" w:eastAsia="Arial" w:hAnsi="Arial"/>
          <w:sz w:val="19"/>
          <w:szCs w:val="19"/>
          <w:color w:val="auto"/>
        </w:rPr>
        <w:t>”). Catalent and each of its Affiliates shall collectively be referred to herein as “</w:t>
      </w:r>
      <w:r>
        <w:rPr>
          <w:rFonts w:ascii="Arial" w:cs="Arial" w:eastAsia="Arial" w:hAnsi="Arial"/>
          <w:sz w:val="19"/>
          <w:szCs w:val="19"/>
          <w:b w:val="1"/>
          <w:bCs w:val="1"/>
          <w:color w:val="auto"/>
        </w:rPr>
        <w:t>Catalent</w:t>
      </w:r>
      <w:r>
        <w:rPr>
          <w:rFonts w:ascii="Arial" w:cs="Arial" w:eastAsia="Arial" w:hAnsi="Arial"/>
          <w:sz w:val="19"/>
          <w:szCs w:val="19"/>
          <w:color w:val="auto"/>
        </w:rPr>
        <w:t>”. FibroGen and Catalent may be referred to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left="1680" w:hanging="845"/>
        <w:spacing w:after="0"/>
        <w:tabs>
          <w:tab w:leader="none" w:pos="16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FibroGen owns or controls certain technology and intellectual property relating to the compound known as roxadustat (or</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FG-4592);</w:t>
      </w:r>
    </w:p>
    <w:p>
      <w:pPr>
        <w:spacing w:after="0" w:line="199" w:lineRule="exact"/>
        <w:rPr>
          <w:rFonts w:ascii="Arial" w:cs="Arial" w:eastAsia="Arial" w:hAnsi="Arial"/>
          <w:sz w:val="18"/>
          <w:szCs w:val="18"/>
          <w:b w:val="1"/>
          <w:bCs w:val="1"/>
          <w:color w:val="auto"/>
        </w:rPr>
      </w:pPr>
    </w:p>
    <w:p>
      <w:pPr>
        <w:ind w:firstLine="835"/>
        <w:spacing w:after="0" w:line="260" w:lineRule="auto"/>
        <w:tabs>
          <w:tab w:leader="none" w:pos="1657"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Catalent is a leading provider of advanced technologies, and development, manufacturing and packaging services, for pharmaceutical, biotechnology and consumer healthcare companies; and</w:t>
      </w:r>
    </w:p>
    <w:p>
      <w:pPr>
        <w:spacing w:after="0" w:line="176" w:lineRule="exact"/>
        <w:rPr>
          <w:rFonts w:ascii="Arial" w:cs="Arial" w:eastAsia="Arial" w:hAnsi="Arial"/>
          <w:sz w:val="20"/>
          <w:szCs w:val="20"/>
          <w:b w:val="1"/>
          <w:bCs w:val="1"/>
          <w:color w:val="auto"/>
        </w:rPr>
      </w:pPr>
    </w:p>
    <w:p>
      <w:pPr>
        <w:jc w:val="both"/>
        <w:ind w:firstLine="835"/>
        <w:spacing w:after="0" w:line="250" w:lineRule="auto"/>
        <w:tabs>
          <w:tab w:leader="none" w:pos="1668"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FibroGen desires to engage Catalent to perform Manufacturing Services (as defined below) for FibroGen, including without limitation the manufacture and supply of roxadustat bulk drug product, and Catalent desires to provide such services on the terms set forth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16"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promises and covenants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and intending to be legally bound hereby, the Parties hereto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20"/>
          <w:szCs w:val="20"/>
          <w:color w:val="auto"/>
        </w:rPr>
        <w:t>The following capitalized terms, whether used in the singular or plural, shall have the meanings ascribed to them below for purposes of this Agreement:</w:t>
      </w:r>
    </w:p>
    <w:p>
      <w:pPr>
        <w:spacing w:after="0" w:line="171"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Acknowledgement</w:t>
      </w:r>
      <w:r>
        <w:rPr>
          <w:rFonts w:ascii="Arial" w:cs="Arial" w:eastAsia="Arial" w:hAnsi="Arial"/>
          <w:sz w:val="16"/>
          <w:szCs w:val="16"/>
          <w:color w:val="auto"/>
        </w:rPr>
        <w:t>” has the meaning set forth in Section 2.2.2.</w:t>
      </w:r>
    </w:p>
    <w:p>
      <w:pPr>
        <w:spacing w:after="0" w:line="216" w:lineRule="exact"/>
        <w:rPr>
          <w:sz w:val="20"/>
          <w:szCs w:val="20"/>
          <w:color w:val="auto"/>
        </w:rPr>
      </w:pPr>
    </w:p>
    <w:p>
      <w:pPr>
        <w:jc w:val="both"/>
        <w:ind w:firstLine="827"/>
        <w:spacing w:after="0" w:line="245"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either Party, any other corporation or business entity that directly, or indirectly through one or more intermediaries, controls, is controlled by or is under common control with such Party. For purposes of this definition, the term “control” means direct or indirect ownership of more than fifty percent (50%) of the outstanding voting securities or other ownership interests or the power to direct or cause the direction of the management or policies of such entity, whether through the ownership of voting securities, by contract, or otherwise. Affiliates of FibroGen shall include, without limitation, any wholly foreign owned entities (whether owned or controlled directly by FibroGen or through one of its subsidiaries).</w:t>
      </w:r>
    </w:p>
    <w:p>
      <w:pPr>
        <w:spacing w:after="0" w:line="185"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ANVISA</w:t>
      </w:r>
      <w:r>
        <w:rPr>
          <w:rFonts w:ascii="Arial" w:cs="Arial" w:eastAsia="Arial" w:hAnsi="Arial"/>
          <w:sz w:val="18"/>
          <w:szCs w:val="18"/>
          <w:color w:val="auto"/>
        </w:rPr>
        <w:t>” means Brazil's National Health Surveillance Agency.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5" w:name="page166"/>
    <w:bookmarkEnd w:id="165"/>
    <w:p>
      <w:pPr>
        <w:ind w:right="20" w:firstLine="8"/>
        <w:spacing w:after="0" w:line="298" w:lineRule="auto"/>
        <w:tabs>
          <w:tab w:leader="none" w:pos="23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20"/>
          <w:szCs w:val="20"/>
          <w:color w:val="auto"/>
        </w:rPr>
        <w:t>1.4 “</w:t>
      </w:r>
      <w:r>
        <w:rPr>
          <w:rFonts w:ascii="Arial" w:cs="Arial" w:eastAsia="Arial" w:hAnsi="Arial"/>
          <w:sz w:val="20"/>
          <w:szCs w:val="20"/>
          <w:b w:val="1"/>
          <w:bCs w:val="1"/>
          <w:color w:val="auto"/>
        </w:rPr>
        <w:t>API</w:t>
      </w:r>
      <w:r>
        <w:rPr>
          <w:rFonts w:ascii="Arial" w:cs="Arial" w:eastAsia="Arial" w:hAnsi="Arial"/>
          <w:sz w:val="20"/>
          <w:szCs w:val="20"/>
          <w:color w:val="auto"/>
        </w:rPr>
        <w:t>” means FibroGen’s proprietary active pharmaceutical ingredient designated as FG-4592 (roxadustat), as further described in the Specifications.</w:t>
      </w:r>
    </w:p>
    <w:p>
      <w:pPr>
        <w:spacing w:after="0" w:line="164"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color w:val="auto"/>
        </w:rPr>
        <w:t>Applicable Law(s)</w:t>
      </w:r>
      <w:r>
        <w:rPr>
          <w:rFonts w:ascii="Arial" w:cs="Arial" w:eastAsia="Arial" w:hAnsi="Arial"/>
          <w:sz w:val="20"/>
          <w:szCs w:val="20"/>
          <w:color w:val="auto"/>
        </w:rPr>
        <w:t>” means, with respect to FibroGen, all laws, ordinances, rules and regulations, currently in effect or enacted or promulgated during the Term, and as amended from time to time, of each jurisdiction in which API or Product is produced, marketed, distributed, used or sold; and, with respect to Catalent, all laws, rules, and regulations applicable to the Manufacturing Services or otherwise bearing on the performance of this Agreement, and the relevant Purchase Order, including, as applicable, cGMP and other regulatory standards or requirements of Regulatory Authorities.</w:t>
      </w:r>
    </w:p>
    <w:p>
      <w:pPr>
        <w:spacing w:after="0" w:line="185" w:lineRule="exact"/>
        <w:rPr>
          <w:sz w:val="20"/>
          <w:szCs w:val="20"/>
          <w:color w:val="auto"/>
        </w:rPr>
      </w:pPr>
    </w:p>
    <w:p>
      <w:pPr>
        <w:jc w:val="both"/>
        <w:ind w:right="20" w:firstLine="827"/>
        <w:spacing w:after="0" w:line="267"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Batches</w:t>
      </w:r>
      <w:r>
        <w:rPr>
          <w:rFonts w:ascii="Arial" w:cs="Arial" w:eastAsia="Arial" w:hAnsi="Arial"/>
          <w:sz w:val="20"/>
          <w:szCs w:val="20"/>
          <w:color w:val="auto"/>
        </w:rPr>
        <w:t>” or a “</w:t>
      </w:r>
      <w:r>
        <w:rPr>
          <w:rFonts w:ascii="Arial" w:cs="Arial" w:eastAsia="Arial" w:hAnsi="Arial"/>
          <w:sz w:val="20"/>
          <w:szCs w:val="20"/>
          <w:b w:val="1"/>
          <w:bCs w:val="1"/>
          <w:color w:val="auto"/>
        </w:rPr>
        <w:t>Batch</w:t>
      </w:r>
      <w:r>
        <w:rPr>
          <w:rFonts w:ascii="Arial" w:cs="Arial" w:eastAsia="Arial" w:hAnsi="Arial"/>
          <w:sz w:val="20"/>
          <w:szCs w:val="20"/>
          <w:color w:val="auto"/>
        </w:rPr>
        <w:t xml:space="preserve">” of Product means a specific quantity of tablets defined in </w:t>
      </w:r>
      <w:r>
        <w:rPr>
          <w:rFonts w:ascii="Arial" w:cs="Arial" w:eastAsia="Arial" w:hAnsi="Arial"/>
          <w:sz w:val="20"/>
          <w:szCs w:val="20"/>
          <w:b w:val="1"/>
          <w:bCs w:val="1"/>
          <w:u w:val="single" w:color="auto"/>
          <w:color w:val="auto"/>
        </w:rPr>
        <w:t>Attachment A</w:t>
      </w:r>
      <w:r>
        <w:rPr>
          <w:rFonts w:ascii="Arial" w:cs="Arial" w:eastAsia="Arial" w:hAnsi="Arial"/>
          <w:sz w:val="20"/>
          <w:szCs w:val="20"/>
          <w:color w:val="auto"/>
        </w:rPr>
        <w:t xml:space="preserve"> hereto that is intended to have uniform character and quality, within specified limits as described in more detail in </w:t>
      </w:r>
      <w:r>
        <w:rPr>
          <w:rFonts w:ascii="Arial" w:cs="Arial" w:eastAsia="Arial" w:hAnsi="Arial"/>
          <w:sz w:val="20"/>
          <w:szCs w:val="20"/>
          <w:u w:val="single" w:color="auto"/>
          <w:color w:val="auto"/>
        </w:rPr>
        <w:t>Attachment A</w:t>
      </w:r>
      <w:r>
        <w:rPr>
          <w:rFonts w:ascii="Arial" w:cs="Arial" w:eastAsia="Arial" w:hAnsi="Arial"/>
          <w:sz w:val="20"/>
          <w:szCs w:val="20"/>
          <w:color w:val="auto"/>
        </w:rPr>
        <w:t xml:space="preserve"> hereto).</w:t>
      </w:r>
    </w:p>
    <w:p>
      <w:pPr>
        <w:spacing w:after="0" w:line="164"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1.7 “</w:t>
      </w:r>
      <w:r>
        <w:rPr>
          <w:rFonts w:ascii="Arial" w:cs="Arial" w:eastAsia="Arial" w:hAnsi="Arial"/>
          <w:sz w:val="20"/>
          <w:szCs w:val="20"/>
          <w:b w:val="1"/>
          <w:bCs w:val="1"/>
          <w:color w:val="auto"/>
        </w:rPr>
        <w:t>Batch Documentation Package</w:t>
      </w:r>
      <w:r>
        <w:rPr>
          <w:rFonts w:ascii="Arial" w:cs="Arial" w:eastAsia="Arial" w:hAnsi="Arial"/>
          <w:sz w:val="20"/>
          <w:szCs w:val="20"/>
          <w:color w:val="auto"/>
        </w:rPr>
        <w:t>” means all of the documentation associated with the production, manufacturing, packaging, labeling, testing, and release of a given Batch or Blend, including without limitation, Executed Batch Records, sampling documentation, raw data, test results, deviation reports, the Certificate of Analysis, the Certificate of Compliance, and any additional documentation required under the applicable Quality Agreement. Unless otherwise agreed to in a signed writing by both Parties, the Batch Documentation Package shall be in the English language.</w:t>
      </w:r>
    </w:p>
    <w:p>
      <w:pPr>
        <w:spacing w:after="0" w:line="185"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Binding Forecast</w:t>
      </w:r>
      <w:r>
        <w:rPr>
          <w:rFonts w:ascii="Arial" w:cs="Arial" w:eastAsia="Arial" w:hAnsi="Arial"/>
          <w:sz w:val="16"/>
          <w:szCs w:val="16"/>
          <w:color w:val="auto"/>
        </w:rPr>
        <w:t>” has the meaning set forth in Section 2.7.</w:t>
      </w:r>
    </w:p>
    <w:p>
      <w:pPr>
        <w:spacing w:after="0" w:line="216" w:lineRule="exact"/>
        <w:rPr>
          <w:sz w:val="20"/>
          <w:szCs w:val="20"/>
          <w:color w:val="auto"/>
        </w:rPr>
      </w:pPr>
    </w:p>
    <w:p>
      <w:pPr>
        <w:jc w:val="both"/>
        <w:ind w:firstLine="827"/>
        <w:spacing w:after="0" w:line="248"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color w:val="auto"/>
        </w:rPr>
        <w:t>Blend</w:t>
      </w:r>
      <w:r>
        <w:rPr>
          <w:rFonts w:ascii="Arial" w:cs="Arial" w:eastAsia="Arial" w:hAnsi="Arial"/>
          <w:sz w:val="20"/>
          <w:szCs w:val="20"/>
          <w:color w:val="auto"/>
        </w:rPr>
        <w:t>” means a theoretical yield of [ ] ([ ]) kilograms of drug product blend that is to be compressed into Batches (tablets of different strengths) and produced according to a single manufacturing order during the same cycle of manufacture as specified in the applicable Purchase Order. For clarity, a Blend refers to a mixture that contains API and excipients, and is lubricated and ready for compression into different strengths of Product, as described in more detail in Attachment A hereto.</w:t>
      </w:r>
    </w:p>
    <w:p>
      <w:pPr>
        <w:spacing w:after="0" w:line="184" w:lineRule="exact"/>
        <w:rPr>
          <w:sz w:val="20"/>
          <w:szCs w:val="20"/>
          <w:color w:val="auto"/>
        </w:rPr>
      </w:pPr>
    </w:p>
    <w:p>
      <w:pPr>
        <w:jc w:val="both"/>
        <w:ind w:firstLine="827"/>
        <w:spacing w:after="0" w:line="245"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b w:val="1"/>
          <w:bCs w:val="1"/>
          <w:color w:val="auto"/>
        </w:rPr>
        <w:t>Catalent Background Intellectual Property</w:t>
      </w:r>
      <w:r>
        <w:rPr>
          <w:rFonts w:ascii="Arial" w:cs="Arial" w:eastAsia="Arial" w:hAnsi="Arial"/>
          <w:sz w:val="20"/>
          <w:szCs w:val="20"/>
          <w:color w:val="auto"/>
        </w:rPr>
        <w:t>” means all Intellectual Property that is: (a) used in the course of performing Manufacturing Services under this Agreement; and (b) (i) owned or controlled by Catalent prior to the Effective Date of this Agreement, or (ii) made, conceived or reduced to practice outside the scope of this Agreement without the use of any FibroGen Confidential Information, FibroGen-supplied Materials or Product. For clarity, Catalent Background Intellectual Property shall not include any FibroGen Intellectual Property, FibroGen Owned Work Product, Product, or Manufacturing Process(es), or any other Intellectual Property relating to FibroGen-supplied Materials or Product.</w:t>
      </w:r>
    </w:p>
    <w:p>
      <w:pPr>
        <w:spacing w:after="0" w:line="185" w:lineRule="exact"/>
        <w:rPr>
          <w:sz w:val="20"/>
          <w:szCs w:val="20"/>
          <w:color w:val="auto"/>
        </w:rPr>
      </w:pPr>
    </w:p>
    <w:p>
      <w:pPr>
        <w:jc w:val="both"/>
        <w:ind w:firstLine="827"/>
        <w:spacing w:after="0" w:line="29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Catalent Confidential Information</w:t>
      </w:r>
      <w:r>
        <w:rPr>
          <w:rFonts w:ascii="Arial" w:cs="Arial" w:eastAsia="Arial" w:hAnsi="Arial"/>
          <w:sz w:val="18"/>
          <w:szCs w:val="18"/>
          <w:color w:val="auto"/>
        </w:rPr>
        <w:t>” means all confidential and proprietary information actually disclosed by Catalent to FibroGen in the course of performing Manufacturing Services under this Agreement and approved Purchase Orders. For clarity, Catalent Confidential Information shall not include any FibroGen Confidential Information, API, Product, or FibroGen Owned Work Product.</w:t>
      </w:r>
    </w:p>
    <w:p>
      <w:pPr>
        <w:spacing w:after="0" w:line="144"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color w:val="auto"/>
        </w:rPr>
        <w:t>Catalent Facility(ies</w:t>
      </w:r>
      <w:r>
        <w:rPr>
          <w:rFonts w:ascii="Arial" w:cs="Arial" w:eastAsia="Arial" w:hAnsi="Arial"/>
          <w:sz w:val="20"/>
          <w:szCs w:val="20"/>
          <w:color w:val="auto"/>
        </w:rPr>
        <w:t>)” means the facility(ies) listed in Section 3.1 hereto, which facility(ies) are owned and operated by Catalent and will be used for the performance of Manufacturing Services, and the production of Product.</w:t>
      </w:r>
    </w:p>
    <w:p>
      <w:pPr>
        <w:spacing w:after="0" w:line="16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Catalent Owned Work Product</w:t>
      </w:r>
      <w:r>
        <w:rPr>
          <w:rFonts w:ascii="Arial" w:cs="Arial" w:eastAsia="Arial" w:hAnsi="Arial"/>
          <w:sz w:val="18"/>
          <w:szCs w:val="18"/>
          <w:color w:val="auto"/>
        </w:rPr>
        <w:t>” shall have the meaning as set forth in Section 10.1.</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6" w:name="page167"/>
    <w:bookmarkEnd w:id="166"/>
    <w:p>
      <w:pPr>
        <w:ind w:right="40" w:firstLine="8"/>
        <w:spacing w:after="0" w:line="298" w:lineRule="auto"/>
        <w:tabs>
          <w:tab w:leader="none" w:pos="23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both"/>
        <w:ind w:right="20" w:firstLine="827"/>
        <w:spacing w:after="0" w:line="253"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color w:val="auto"/>
        </w:rPr>
        <w:t>Certificate of Analysis</w:t>
      </w:r>
      <w:r>
        <w:rPr>
          <w:rFonts w:ascii="Arial" w:cs="Arial" w:eastAsia="Arial" w:hAnsi="Arial"/>
          <w:sz w:val="20"/>
          <w:szCs w:val="20"/>
          <w:color w:val="auto"/>
        </w:rPr>
        <w:t>” means a document prepared by Catalent certifying that a particular Batch of Product was tested and conforms to the Specifications. Unless otherwise agreed to in a signed writing by both Parties, the Certificate of Analysis shall be in the English language.</w:t>
      </w:r>
    </w:p>
    <w:p>
      <w:pPr>
        <w:spacing w:after="0" w:line="178" w:lineRule="exact"/>
        <w:rPr>
          <w:sz w:val="20"/>
          <w:szCs w:val="20"/>
          <w:color w:val="auto"/>
        </w:rPr>
      </w:pPr>
    </w:p>
    <w:p>
      <w:pPr>
        <w:jc w:val="both"/>
        <w:ind w:right="20" w:firstLine="827"/>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Certificate of Compliance</w:t>
      </w:r>
      <w:r>
        <w:rPr>
          <w:rFonts w:ascii="Arial" w:cs="Arial" w:eastAsia="Arial" w:hAnsi="Arial"/>
          <w:sz w:val="18"/>
          <w:szCs w:val="18"/>
          <w:color w:val="auto"/>
        </w:rPr>
        <w:t>” means a document prepared by Catalent that states that a particular Batch of Product was manufactured in compliance with the Quality Agreement and: (a) lists the manufacturing date, unique Batch number, Product number, and quantity of Product in such Batch; (b) certifies that such Batch was manufactured in accordance with the Master Batch Record and all Applicable Laws including cGMP; and (c) certifies all excursions and investigations associated with the Batch have been closed and found to not impact the Batch. The Parties shall from time to time agree upon a format or formats for the Certificate of Compliance to be used under this Agreement. Unless otherwise agreed to in a signed writing by both Parties, the Certificate of Compliance shall be in the English language.</w:t>
      </w:r>
    </w:p>
    <w:p>
      <w:pPr>
        <w:spacing w:after="0" w:line="160" w:lineRule="exact"/>
        <w:rPr>
          <w:sz w:val="20"/>
          <w:szCs w:val="20"/>
          <w:color w:val="auto"/>
        </w:rPr>
      </w:pPr>
    </w:p>
    <w:p>
      <w:pPr>
        <w:jc w:val="both"/>
        <w:ind w:right="20" w:firstLine="827"/>
        <w:spacing w:after="0" w:line="255"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b w:val="1"/>
          <w:bCs w:val="1"/>
          <w:color w:val="auto"/>
        </w:rPr>
        <w:t>cGMP</w:t>
      </w:r>
      <w:r>
        <w:rPr>
          <w:rFonts w:ascii="Arial" w:cs="Arial" w:eastAsia="Arial" w:hAnsi="Arial"/>
          <w:sz w:val="19"/>
          <w:szCs w:val="19"/>
          <w:color w:val="auto"/>
        </w:rPr>
        <w:t>” means the current good manufacturing practices for the manufacture of pharmaceutical products, including without limitation: (a) the United States Federal Food, Drug, and Cosmetic Act, as amended (21 U.S.C. §321 et seq.) and the regulatory requirements for current good manufacturing practices as promulgated by the FDA thereunder; including without limitation 21 C.F.R. Part 11 (as applicable to electronic systems used in the manufacture of Product), 21 C.F.R. Parts 210 and 211 as amended; and (b) the regulatory requirements for current good manufacturing practices as promulgated by the International Conference on Harmonization (ICH); and (c) Guidance for Industry Q7A Good Manufacturing Practice Guidance for Active Pharmaceutical Ingredients; and/or the European Community Directive 2003/94/EC of October 8, 2003; and (d) the EC Guide to Good Manufacturing Practice for Medicinal Intermediate Products; and (e) 2003/94/EEC Directive (as supplemented by Volume 4 of EudraLex published by the European Commission), as amended, if and as implemented in the relevant constituent country; and (f) all additional Regulatory Authority documents and regulations that replace, amend, modify, supplant or complement any of the foregoing and any amendments to the foregoing; and (g) any and all current Good Manufacturing Practices applicable to the manufacture, testing and/or any other processing of pharmaceutical products in other countries and territories worldwide where the respective Final Products are sold or otherwise marketed from time to time provided that Catalent is informed about such other Good Manufacturing Practices by FibroGen in accordance with the Quality Agreement within a reasonable time so as not to delay release of the Final Product.</w:t>
      </w:r>
    </w:p>
    <w:p>
      <w:pPr>
        <w:sectPr>
          <w:pgSz w:w="11900" w:h="16838" w:orient="portrait"/>
          <w:cols w:equalWidth="0" w:num="1">
            <w:col w:w="11440"/>
          </w:cols>
          <w:pgMar w:left="240" w:top="126" w:right="219" w:bottom="1440" w:gutter="0" w:footer="0" w:header="0"/>
        </w:sectPr>
      </w:pP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1.17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context requires.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FibroGen Confidential Information and/or Catalent Confidential Information, as the</w:t>
      </w:r>
    </w:p>
    <w:p>
      <w:pPr>
        <w:spacing w:after="0" w:line="428" w:lineRule="exact"/>
        <w:rPr>
          <w:sz w:val="20"/>
          <w:szCs w:val="20"/>
          <w:color w:val="auto"/>
        </w:rPr>
      </w:pPr>
    </w:p>
    <w:p>
      <w:pPr>
        <w:sectPr>
          <w:pgSz w:w="11900" w:h="16838" w:orient="portrait"/>
          <w:cols w:equalWidth="0" w:num="2">
            <w:col w:w="1320" w:space="500"/>
            <w:col w:w="9620"/>
          </w:cols>
          <w:pgMar w:left="240" w:top="126" w:right="219" w:bottom="1440" w:gutter="0" w:footer="0" w:header="0"/>
          <w:type w:val="continuous"/>
        </w:sectPr>
      </w:pPr>
    </w:p>
    <w:p>
      <w:pPr>
        <w:spacing w:after="0" w:line="40" w:lineRule="exact"/>
        <w:rPr>
          <w:sz w:val="20"/>
          <w:szCs w:val="20"/>
          <w:color w:val="auto"/>
        </w:rPr>
      </w:pPr>
    </w:p>
    <w:p>
      <w:pPr>
        <w:jc w:val="both"/>
        <w:ind w:right="20" w:firstLine="827"/>
        <w:spacing w:after="0" w:line="253"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b w:val="1"/>
          <w:bCs w:val="1"/>
          <w:color w:val="auto"/>
        </w:rPr>
        <w:t>Contract Year</w:t>
      </w:r>
      <w:r>
        <w:rPr>
          <w:rFonts w:ascii="Arial" w:cs="Arial" w:eastAsia="Arial" w:hAnsi="Arial"/>
          <w:sz w:val="20"/>
          <w:szCs w:val="20"/>
          <w:color w:val="auto"/>
        </w:rPr>
        <w:t>” means, (i) for the first Contract Year, the period beginning on the Effective Date and ending on December 31, 2020 (“Contract Year 1”) and (ii) following Contract Year 1, each consecutive twelve (12) month period beginning on January 1 and ending on December 31 (“Contract Year 2”, “Contract Year 3”, etc.).</w:t>
      </w:r>
    </w:p>
    <w:p>
      <w:pPr>
        <w:spacing w:after="0" w:line="178" w:lineRule="exact"/>
        <w:rPr>
          <w:sz w:val="20"/>
          <w:szCs w:val="20"/>
          <w:color w:val="auto"/>
        </w:rPr>
      </w:pPr>
    </w:p>
    <w:p>
      <w:pPr>
        <w:jc w:val="both"/>
        <w:ind w:right="20" w:firstLine="827"/>
        <w:spacing w:after="0" w:line="323"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Delivery</w:t>
      </w:r>
      <w:r>
        <w:rPr>
          <w:rFonts w:ascii="Arial" w:cs="Arial" w:eastAsia="Arial" w:hAnsi="Arial"/>
          <w:sz w:val="18"/>
          <w:szCs w:val="18"/>
          <w:color w:val="auto"/>
        </w:rPr>
        <w:t>” shall mean that Product shall be made available pursuant to Section 4.3 of this Agreement; and “</w:t>
      </w:r>
      <w:r>
        <w:rPr>
          <w:rFonts w:ascii="Arial" w:cs="Arial" w:eastAsia="Arial" w:hAnsi="Arial"/>
          <w:sz w:val="18"/>
          <w:szCs w:val="18"/>
          <w:b w:val="1"/>
          <w:bCs w:val="1"/>
          <w:color w:val="auto"/>
        </w:rPr>
        <w:t>Delivery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the date specified for Delivery of Product pursuant to a Purchase Order or Acknowledgement in accordance with Section 2.2.</w:t>
      </w:r>
    </w:p>
    <w:p>
      <w:pPr>
        <w:spacing w:after="0" w:line="118" w:lineRule="exact"/>
        <w:rPr>
          <w:sz w:val="20"/>
          <w:szCs w:val="20"/>
          <w:color w:val="auto"/>
        </w:rPr>
      </w:pPr>
    </w:p>
    <w:p>
      <w:pPr>
        <w:jc w:val="both"/>
        <w:ind w:right="20" w:firstLine="827"/>
        <w:spacing w:after="0" w:line="293"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b w:val="1"/>
          <w:bCs w:val="1"/>
          <w:color w:val="auto"/>
        </w:rPr>
        <w:t>Demand</w:t>
      </w:r>
      <w:r>
        <w:rPr>
          <w:rFonts w:ascii="Arial" w:cs="Arial" w:eastAsia="Arial" w:hAnsi="Arial"/>
          <w:sz w:val="19"/>
          <w:szCs w:val="19"/>
          <w:color w:val="auto"/>
        </w:rPr>
        <w:t>” means the number of units of Product required by FibroGen, or its Designees, to fulfill all of its requirements for [ ] in the Territory for the applicable Contract Year. “</w:t>
      </w:r>
      <w:r>
        <w:rPr>
          <w:rFonts w:ascii="Arial" w:cs="Arial" w:eastAsia="Arial" w:hAnsi="Arial"/>
          <w:sz w:val="19"/>
          <w:szCs w:val="19"/>
          <w:b w:val="1"/>
          <w:bCs w:val="1"/>
          <w:color w:val="auto"/>
        </w:rPr>
        <w:t>Demand Records</w:t>
      </w:r>
      <w:r>
        <w:rPr>
          <w:rFonts w:ascii="Arial" w:cs="Arial" w:eastAsia="Arial" w:hAnsi="Arial"/>
          <w:sz w:val="19"/>
          <w:szCs w:val="19"/>
          <w:color w:val="auto"/>
        </w:rPr>
        <w:t>” has the meaning set forth in Section 2.4.1.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00" w:type="dxa"/>
            <w:vAlign w:val="bottom"/>
          </w:tcPr>
          <w:p>
            <w:pPr>
              <w:jc w:val="right"/>
              <w:ind w:right="521"/>
              <w:spacing w:after="0"/>
              <w:rPr>
                <w:sz w:val="20"/>
                <w:szCs w:val="20"/>
                <w:color w:val="auto"/>
              </w:rPr>
            </w:pPr>
            <w:r>
              <w:rPr>
                <w:rFonts w:ascii="Arial" w:cs="Arial" w:eastAsia="Arial" w:hAnsi="Arial"/>
                <w:sz w:val="20"/>
                <w:szCs w:val="20"/>
                <w:color w:val="auto"/>
              </w:rPr>
              <w:t>1.21</w:t>
            </w:r>
          </w:p>
        </w:tc>
        <w:tc>
          <w:tcPr>
            <w:tcW w:w="9640" w:type="dxa"/>
            <w:vAlign w:val="bottom"/>
          </w:tcPr>
          <w:p>
            <w:pPr>
              <w:jc w:val="right"/>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Designee</w:t>
            </w:r>
            <w:r>
              <w:rPr>
                <w:rFonts w:ascii="Arial" w:cs="Arial" w:eastAsia="Arial" w:hAnsi="Arial"/>
                <w:sz w:val="20"/>
                <w:szCs w:val="20"/>
                <w:color w:val="auto"/>
                <w:w w:val="90"/>
              </w:rPr>
              <w:t>” means a designee of FibroGen that has been granted the right to receive Product, as specified in writing by</w:t>
            </w:r>
          </w:p>
        </w:tc>
      </w:tr>
      <w:tr>
        <w:trPr>
          <w:trHeight w:val="250"/>
        </w:trPr>
        <w:tc>
          <w:tcPr>
            <w:tcW w:w="1800" w:type="dxa"/>
            <w:vAlign w:val="bottom"/>
          </w:tcPr>
          <w:p>
            <w:pPr>
              <w:jc w:val="right"/>
              <w:spacing w:after="0"/>
              <w:rPr>
                <w:sz w:val="20"/>
                <w:szCs w:val="20"/>
                <w:color w:val="auto"/>
              </w:rPr>
            </w:pPr>
            <w:r>
              <w:rPr>
                <w:rFonts w:ascii="Arial" w:cs="Arial" w:eastAsia="Arial" w:hAnsi="Arial"/>
                <w:sz w:val="20"/>
                <w:szCs w:val="20"/>
                <w:color w:val="auto"/>
                <w:w w:val="88"/>
              </w:rPr>
              <w:t>FibroGen to Catalent.</w:t>
            </w:r>
          </w:p>
        </w:tc>
        <w:tc>
          <w:tcPr>
            <w:tcW w:w="9640" w:type="dxa"/>
            <w:vAlign w:val="bottom"/>
          </w:tcPr>
          <w:p>
            <w:pPr>
              <w:spacing w:after="0"/>
              <w:rPr>
                <w:sz w:val="21"/>
                <w:szCs w:val="21"/>
                <w:color w:val="auto"/>
              </w:rPr>
            </w:pPr>
          </w:p>
        </w:tc>
      </w:tr>
      <w:tr>
        <w:trPr>
          <w:trHeight w:val="590"/>
        </w:trPr>
        <w:tc>
          <w:tcPr>
            <w:tcW w:w="1800" w:type="dxa"/>
            <w:vAlign w:val="bottom"/>
          </w:tcPr>
          <w:p>
            <w:pPr>
              <w:spacing w:after="0"/>
              <w:rPr>
                <w:sz w:val="24"/>
                <w:szCs w:val="24"/>
                <w:color w:val="auto"/>
              </w:rPr>
            </w:pPr>
          </w:p>
        </w:tc>
        <w:tc>
          <w:tcPr>
            <w:tcW w:w="9640" w:type="dxa"/>
            <w:vAlign w:val="bottom"/>
          </w:tcPr>
          <w:p>
            <w:pPr>
              <w:jc w:val="right"/>
              <w:ind w:right="5585"/>
              <w:spacing w:after="0"/>
              <w:rPr>
                <w:sz w:val="20"/>
                <w:szCs w:val="20"/>
                <w:color w:val="auto"/>
              </w:rPr>
            </w:pPr>
            <w:r>
              <w:rPr>
                <w:rFonts w:ascii="Arial" w:cs="Arial" w:eastAsia="Arial" w:hAnsi="Arial"/>
                <w:sz w:val="18"/>
                <w:szCs w:val="18"/>
                <w:color w:val="auto"/>
              </w:rPr>
              <w:t>3</w:t>
            </w:r>
          </w:p>
        </w:tc>
      </w:tr>
      <w:tr>
        <w:trPr>
          <w:trHeight w:val="304"/>
        </w:trPr>
        <w:tc>
          <w:tcPr>
            <w:tcW w:w="18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type w:val="continuous"/>
        </w:sectPr>
      </w:pPr>
    </w:p>
    <w:bookmarkStart w:id="167" w:name="page168"/>
    <w:bookmarkEnd w:id="167"/>
    <w:p>
      <w:pPr>
        <w:ind w:firstLine="827"/>
        <w:spacing w:after="0" w:line="235" w:lineRule="auto"/>
        <w:framePr w:w="1260" w:h="406" w:wrap="auto" w:vAnchor="page" w:hAnchor="page" w:x="200" w:y="2165"/>
        <w:rPr>
          <w:rFonts w:ascii="Arial" w:cs="Arial" w:eastAsia="Arial" w:hAnsi="Arial"/>
          <w:sz w:val="18"/>
          <w:szCs w:val="18"/>
          <w:color w:val="auto"/>
        </w:rPr>
      </w:pPr>
      <w:r>
        <w:rPr>
          <w:rFonts w:ascii="Arial" w:cs="Arial" w:eastAsia="Arial" w:hAnsi="Arial"/>
          <w:sz w:val="18"/>
          <w:szCs w:val="18"/>
          <w:color w:val="auto"/>
        </w:rPr>
        <w:t>1.24 was produced.</w:t>
      </w:r>
    </w:p>
    <w:p>
      <w:pPr>
        <w:ind w:right="20" w:firstLine="8"/>
        <w:spacing w:after="0" w:line="298" w:lineRule="auto"/>
        <w:tabs>
          <w:tab w:leader="none" w:pos="23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DQSA</w:t>
      </w:r>
      <w:r>
        <w:rPr>
          <w:rFonts w:ascii="Arial" w:cs="Arial" w:eastAsia="Arial" w:hAnsi="Arial"/>
          <w:sz w:val="18"/>
          <w:szCs w:val="18"/>
          <w:color w:val="auto"/>
        </w:rPr>
        <w:t>” shall have the meaning described in Section 11.2.9 hereof.</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or any successor agency thereto.</w:t>
      </w:r>
    </w:p>
    <w:p>
      <w:pPr>
        <w:spacing w:after="0" w:line="216" w:lineRule="exact"/>
        <w:rPr>
          <w:rFonts w:ascii="Arial" w:cs="Arial" w:eastAsia="Arial" w:hAnsi="Arial"/>
          <w:sz w:val="18"/>
          <w:szCs w:val="18"/>
          <w:color w:val="auto"/>
        </w:rPr>
      </w:pPr>
    </w:p>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 Batch Records</w:t>
      </w:r>
      <w:r>
        <w:rPr>
          <w:rFonts w:ascii="Arial" w:cs="Arial" w:eastAsia="Arial" w:hAnsi="Arial"/>
          <w:sz w:val="18"/>
          <w:szCs w:val="18"/>
          <w:color w:val="auto"/>
        </w:rPr>
        <w:t>” means the collection of records that provides a traceable history of how a Batch of Product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20" w:firstLine="827"/>
        <w:spacing w:after="0" w:line="323"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 having the administrative authority to regulate the marketing of human pharmaceutical products or biological therapeutic products in the United States.</w:t>
      </w:r>
    </w:p>
    <w:p>
      <w:pPr>
        <w:spacing w:after="0" w:line="118" w:lineRule="exact"/>
        <w:rPr>
          <w:rFonts w:ascii="Arial" w:cs="Arial" w:eastAsia="Arial" w:hAnsi="Arial"/>
          <w:sz w:val="18"/>
          <w:szCs w:val="18"/>
          <w:color w:val="auto"/>
        </w:rPr>
      </w:pPr>
    </w:p>
    <w:p>
      <w:pPr>
        <w:jc w:val="both"/>
        <w:ind w:firstLine="827"/>
        <w:spacing w:after="0" w:line="274"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FibroGen Confidential Information</w:t>
      </w:r>
      <w:r>
        <w:rPr>
          <w:rFonts w:ascii="Arial" w:cs="Arial" w:eastAsia="Arial" w:hAnsi="Arial"/>
          <w:sz w:val="18"/>
          <w:szCs w:val="18"/>
          <w:color w:val="auto"/>
        </w:rPr>
        <w:t>” means any research, development, clinical, manufacturing, or commercialization strategies, and all related technical and other data and information, whether patented or unpatented, that relate to FibroGen-supplied Materials, FibroGen's compound structures, synthesis, formulation and manufacturing methods, test methods, operations, technologies, forecasts and business and scientific plans, including without limitation, trade secrets, know-how, and other intellectual property, that is disclosed to, or supplied to Catalent in any form by or on behalf of FibroGen pursuant to this Agreement, or data, results, and information included in or relating to the Products generated or otherwise obtained by Catalent in the course of performing Manufacturing Services pursuant to this Agreement. For clarity, all Product, Batch Documentation Package, Master Batch Records, FibroGen Intellectual Property, FibroGen-supplied Materials and FibroGen Owned Work Product, shall be deemed to be FibroGen Confidential Information.</w:t>
      </w:r>
    </w:p>
    <w:p>
      <w:pPr>
        <w:spacing w:after="0" w:line="162"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Intellectual Property</w:t>
      </w:r>
      <w:r>
        <w:rPr>
          <w:rFonts w:ascii="Arial" w:cs="Arial" w:eastAsia="Arial" w:hAnsi="Arial"/>
          <w:sz w:val="18"/>
          <w:szCs w:val="18"/>
          <w:color w:val="auto"/>
        </w:rPr>
        <w:t>” means all Intellectual Property owned or controlled by FibroGen.</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Owned Work Product</w:t>
      </w:r>
      <w:r>
        <w:rPr>
          <w:rFonts w:ascii="Arial" w:cs="Arial" w:eastAsia="Arial" w:hAnsi="Arial"/>
          <w:sz w:val="18"/>
          <w:szCs w:val="18"/>
          <w:color w:val="auto"/>
        </w:rPr>
        <w:t>” has the meaning set forth in Section 10.1.</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Review Period</w:t>
      </w:r>
      <w:r>
        <w:rPr>
          <w:rFonts w:ascii="Arial" w:cs="Arial" w:eastAsia="Arial" w:hAnsi="Arial"/>
          <w:sz w:val="18"/>
          <w:szCs w:val="18"/>
          <w:color w:val="auto"/>
        </w:rPr>
        <w:t>” has meaning set forth in Section 4.2</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Final Product</w:t>
      </w:r>
      <w:r>
        <w:rPr>
          <w:rFonts w:ascii="Arial" w:cs="Arial" w:eastAsia="Arial" w:hAnsi="Arial"/>
          <w:sz w:val="18"/>
          <w:szCs w:val="18"/>
          <w:color w:val="auto"/>
        </w:rPr>
        <w:t>” means a final product sold to the public that includes Product supplied hereunder.</w:t>
      </w:r>
    </w:p>
    <w:p>
      <w:pPr>
        <w:spacing w:after="0" w:line="216" w:lineRule="exact"/>
        <w:rPr>
          <w:rFonts w:ascii="Arial" w:cs="Arial" w:eastAsia="Arial" w:hAnsi="Arial"/>
          <w:sz w:val="18"/>
          <w:szCs w:val="18"/>
          <w:color w:val="auto"/>
        </w:rPr>
      </w:pPr>
    </w:p>
    <w:p>
      <w:pPr>
        <w:jc w:val="both"/>
        <w:ind w:firstLine="827"/>
        <w:spacing w:after="0" w:line="253"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b w:val="1"/>
          <w:bCs w:val="1"/>
          <w:color w:val="auto"/>
        </w:rPr>
        <w:t>FibroGen-supplied Materials</w:t>
      </w:r>
      <w:r>
        <w:rPr>
          <w:rFonts w:ascii="Arial" w:cs="Arial" w:eastAsia="Arial" w:hAnsi="Arial"/>
          <w:sz w:val="20"/>
          <w:szCs w:val="20"/>
          <w:color w:val="auto"/>
        </w:rPr>
        <w:t>” means any materials (including API, reference standards, progeny, derivatives, and modifications thereof) that are provided by or on behalf of FibroGen to Catalent for the purpose of performing Manufacturing Services, as further described in Attachment D.</w:t>
      </w:r>
    </w:p>
    <w:p>
      <w:pPr>
        <w:spacing w:after="0" w:line="178"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FMD</w:t>
      </w:r>
      <w:r>
        <w:rPr>
          <w:rFonts w:ascii="Arial" w:cs="Arial" w:eastAsia="Arial" w:hAnsi="Arial"/>
          <w:sz w:val="18"/>
          <w:szCs w:val="18"/>
          <w:color w:val="auto"/>
        </w:rPr>
        <w:t>” has the meaning set forth in Section 11.2.9 hereof.</w:t>
      </w:r>
    </w:p>
    <w:p>
      <w:pPr>
        <w:spacing w:after="0" w:line="216" w:lineRule="exact"/>
        <w:rPr>
          <w:rFonts w:ascii="Arial" w:cs="Arial" w:eastAsia="Arial" w:hAnsi="Arial"/>
          <w:sz w:val="18"/>
          <w:szCs w:val="18"/>
          <w:color w:val="auto"/>
        </w:rPr>
      </w:pPr>
    </w:p>
    <w:p>
      <w:pPr>
        <w:jc w:val="both"/>
        <w:ind w:firstLine="827"/>
        <w:spacing w:after="0" w:line="253" w:lineRule="auto"/>
        <w:rPr>
          <w:sz w:val="20"/>
          <w:szCs w:val="20"/>
          <w:color w:val="auto"/>
        </w:rPr>
      </w:pPr>
      <w:r>
        <w:rPr>
          <w:rFonts w:ascii="Arial" w:cs="Arial" w:eastAsia="Arial" w:hAnsi="Arial"/>
          <w:sz w:val="20"/>
          <w:szCs w:val="20"/>
          <w:color w:val="auto"/>
        </w:rPr>
        <w:t>1.33 “</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all Patents, copyrights, trade secrets, know-how, inventions, and all other intellectual property rights that are owned or controlled by a Party (whether patentable or not), including all applications and registrations with respect thereto.</w:t>
      </w:r>
    </w:p>
    <w:p>
      <w:pPr>
        <w:spacing w:after="0" w:line="178"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Manufacturing Committee</w:t>
      </w:r>
      <w:r>
        <w:rPr>
          <w:rFonts w:ascii="Arial" w:cs="Arial" w:eastAsia="Arial" w:hAnsi="Arial"/>
          <w:sz w:val="18"/>
          <w:szCs w:val="18"/>
          <w:color w:val="auto"/>
        </w:rPr>
        <w:t>” or “</w:t>
      </w:r>
      <w:r>
        <w:rPr>
          <w:rFonts w:ascii="Arial" w:cs="Arial" w:eastAsia="Arial" w:hAnsi="Arial"/>
          <w:sz w:val="18"/>
          <w:szCs w:val="18"/>
          <w:b w:val="1"/>
          <w:bCs w:val="1"/>
          <w:color w:val="auto"/>
        </w:rPr>
        <w:t>JMC</w:t>
      </w:r>
      <w:r>
        <w:rPr>
          <w:rFonts w:ascii="Arial" w:cs="Arial" w:eastAsia="Arial" w:hAnsi="Arial"/>
          <w:sz w:val="18"/>
          <w:szCs w:val="18"/>
          <w:color w:val="auto"/>
        </w:rPr>
        <w:t>” shall have the meaning set forth in Section 3.8.</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Key Performance Indicators</w:t>
      </w:r>
      <w:r>
        <w:rPr>
          <w:rFonts w:ascii="Arial" w:cs="Arial" w:eastAsia="Arial" w:hAnsi="Arial"/>
          <w:sz w:val="18"/>
          <w:szCs w:val="18"/>
          <w:color w:val="auto"/>
        </w:rPr>
        <w:t>” or “</w:t>
      </w:r>
      <w:r>
        <w:rPr>
          <w:rFonts w:ascii="Arial" w:cs="Arial" w:eastAsia="Arial" w:hAnsi="Arial"/>
          <w:sz w:val="18"/>
          <w:szCs w:val="18"/>
          <w:b w:val="1"/>
          <w:bCs w:val="1"/>
          <w:color w:val="auto"/>
        </w:rPr>
        <w:t>KPI(s)”</w:t>
      </w:r>
      <w:r>
        <w:rPr>
          <w:rFonts w:ascii="Arial" w:cs="Arial" w:eastAsia="Arial" w:hAnsi="Arial"/>
          <w:sz w:val="18"/>
          <w:szCs w:val="18"/>
          <w:color w:val="auto"/>
        </w:rPr>
        <w:t xml:space="preserve"> has the meaning set forth in Section 3.8 hereof.</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Latent Defects</w:t>
      </w:r>
      <w:r>
        <w:rPr>
          <w:rFonts w:ascii="Arial" w:cs="Arial" w:eastAsia="Arial" w:hAnsi="Arial"/>
          <w:sz w:val="18"/>
          <w:szCs w:val="18"/>
          <w:color w:val="auto"/>
        </w:rPr>
        <w:t>” has the meaning set forth in Section 4.2.4.</w:t>
      </w:r>
    </w:p>
    <w:p>
      <w:pPr>
        <w:spacing w:after="0" w:line="216" w:lineRule="exact"/>
        <w:rPr>
          <w:rFonts w:ascii="Arial" w:cs="Arial" w:eastAsia="Arial" w:hAnsi="Arial"/>
          <w:sz w:val="18"/>
          <w:szCs w:val="18"/>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Long Lead Time Materials</w:t>
      </w:r>
      <w:r>
        <w:rPr>
          <w:rFonts w:ascii="Arial" w:cs="Arial" w:eastAsia="Arial" w:hAnsi="Arial"/>
          <w:sz w:val="18"/>
          <w:szCs w:val="18"/>
          <w:color w:val="auto"/>
        </w:rPr>
        <w:t>” has the meaning set forth in Section 3.2.1.</w:t>
      </w:r>
    </w:p>
    <w:p>
      <w:pPr>
        <w:spacing w:after="0" w:line="386"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ind w:right="20" w:firstLine="8"/>
        <w:spacing w:after="0" w:line="298" w:lineRule="auto"/>
        <w:tabs>
          <w:tab w:leader="none" w:pos="23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Manufacturing Process</w:t>
      </w:r>
      <w:r>
        <w:rPr>
          <w:rFonts w:ascii="Arial" w:cs="Arial" w:eastAsia="Arial" w:hAnsi="Arial"/>
          <w:sz w:val="16"/>
          <w:szCs w:val="16"/>
          <w:color w:val="auto"/>
        </w:rPr>
        <w:t>” means the production process for the manufacture of Product.</w:t>
      </w:r>
    </w:p>
    <w:p>
      <w:pPr>
        <w:spacing w:after="0" w:line="216"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 Services</w:t>
      </w:r>
      <w:r>
        <w:rPr>
          <w:rFonts w:ascii="Arial" w:cs="Arial" w:eastAsia="Arial" w:hAnsi="Arial"/>
          <w:sz w:val="18"/>
          <w:szCs w:val="18"/>
          <w:color w:val="auto"/>
        </w:rPr>
        <w:t>” has the meaning set forth in Section 2.3.</w:t>
      </w:r>
    </w:p>
    <w:p>
      <w:pPr>
        <w:spacing w:after="0" w:line="216"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9"/>
          <w:szCs w:val="19"/>
          <w:color w:val="auto"/>
        </w:rPr>
        <w:t>1.40 “</w:t>
      </w:r>
      <w:r>
        <w:rPr>
          <w:rFonts w:ascii="Arial" w:cs="Arial" w:eastAsia="Arial" w:hAnsi="Arial"/>
          <w:sz w:val="19"/>
          <w:szCs w:val="19"/>
          <w:b w:val="1"/>
          <w:bCs w:val="1"/>
          <w:color w:val="auto"/>
        </w:rPr>
        <w:t>Master Batch Record</w:t>
      </w:r>
      <w:r>
        <w:rPr>
          <w:rFonts w:ascii="Arial" w:cs="Arial" w:eastAsia="Arial" w:hAnsi="Arial"/>
          <w:sz w:val="19"/>
          <w:szCs w:val="19"/>
          <w:color w:val="auto"/>
        </w:rPr>
        <w:t>” or “</w:t>
      </w:r>
      <w:r>
        <w:rPr>
          <w:rFonts w:ascii="Arial" w:cs="Arial" w:eastAsia="Arial" w:hAnsi="Arial"/>
          <w:sz w:val="19"/>
          <w:szCs w:val="19"/>
          <w:b w:val="1"/>
          <w:bCs w:val="1"/>
          <w:color w:val="auto"/>
        </w:rPr>
        <w:t>MBR</w:t>
      </w:r>
      <w:r>
        <w:rPr>
          <w:rFonts w:ascii="Arial" w:cs="Arial" w:eastAsia="Arial" w:hAnsi="Arial"/>
          <w:sz w:val="19"/>
          <w:szCs w:val="19"/>
          <w:color w:val="auto"/>
        </w:rPr>
        <w:t>” means the document agreed on by the Parties in a signed writing that defines the Manufacturing Process of a particular Product, and pertains to the manufacture and supply of each Batch of Product, as may be amended from time to time by a signed writing of the Parties. The Master Batch Record shall include, without limitation, the appropriate applicable requirements for components (such as Raw Materials, FibroGen-supplied Materials, intermediates, in-process materials, and packaging materials and labels) and quantities of each as used; major production equipment; detailed production instructions, including sequences to be followed; sampling instructions and in-process controls with their acceptance criteria; time limits for completion of individual processing steps and/or the total process; expected yield ranges at appropriate phases of processing or of time; special notations and precautions to be followed; and instructions for storage of the intermediate, in-process material, Product to assure its viability for use. The Master Batch Record shall be presented in the English language. The Master Batch Record shall also incorporate by reference, without limitation, such additional information as may be required under the Quality Agreement.</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1.41</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MHRA</w:t>
            </w:r>
            <w:r>
              <w:rPr>
                <w:rFonts w:ascii="Arial" w:cs="Arial" w:eastAsia="Arial" w:hAnsi="Arial"/>
                <w:sz w:val="20"/>
                <w:szCs w:val="20"/>
                <w:color w:val="auto"/>
              </w:rPr>
              <w:t>” means the United Kingdom Medicines and Healthcare products Regulatory Agency.</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1.42</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  ] Requirement</w:t>
            </w:r>
            <w:r>
              <w:rPr>
                <w:rFonts w:ascii="Arial" w:cs="Arial" w:eastAsia="Arial" w:hAnsi="Arial"/>
                <w:sz w:val="20"/>
                <w:szCs w:val="20"/>
                <w:color w:val="auto"/>
              </w:rPr>
              <w:t>” has the meaning set forth in Section 2.4.</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1.43</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Non-Conforming FibroGen-supplied Materials</w:t>
            </w:r>
            <w:r>
              <w:rPr>
                <w:rFonts w:ascii="Arial" w:cs="Arial" w:eastAsia="Arial" w:hAnsi="Arial"/>
                <w:sz w:val="20"/>
                <w:szCs w:val="20"/>
                <w:color w:val="auto"/>
              </w:rPr>
              <w:t>” has the meaning set forth in Section 3.2.2(b).</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1.44</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Non-Conforming Processing</w:t>
            </w:r>
            <w:r>
              <w:rPr>
                <w:rFonts w:ascii="Arial" w:cs="Arial" w:eastAsia="Arial" w:hAnsi="Arial"/>
                <w:sz w:val="20"/>
                <w:szCs w:val="20"/>
                <w:color w:val="auto"/>
              </w:rPr>
              <w:t>” has the meaning set forth in Section 4.2.1.</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1.45</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Non-Conforming Product</w:t>
            </w:r>
            <w:r>
              <w:rPr>
                <w:rFonts w:ascii="Arial" w:cs="Arial" w:eastAsia="Arial" w:hAnsi="Arial"/>
                <w:sz w:val="20"/>
                <w:szCs w:val="20"/>
                <w:color w:val="auto"/>
              </w:rPr>
              <w:t>” has the meaning set forth in Section 4.2.1.</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1.46</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Services</w:t>
            </w:r>
            <w:r>
              <w:rPr>
                <w:rFonts w:ascii="Arial" w:cs="Arial" w:eastAsia="Arial" w:hAnsi="Arial"/>
                <w:sz w:val="20"/>
                <w:szCs w:val="20"/>
                <w:color w:val="auto"/>
              </w:rPr>
              <w:t>” has the meaning set forth in Section 2.6 hereof.</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1.47</w:t>
            </w:r>
          </w:p>
        </w:tc>
        <w:tc>
          <w:tcPr>
            <w:tcW w:w="992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w:t>
            </w:r>
            <w:r>
              <w:rPr>
                <w:rFonts w:ascii="Arial" w:cs="Arial" w:eastAsia="Arial" w:hAnsi="Arial"/>
                <w:sz w:val="20"/>
                <w:szCs w:val="20"/>
                <w:color w:val="auto"/>
              </w:rPr>
              <w:t>” means a pre-approval inspection of the Catalent Facility as required by a Regulatory Authority.</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1.48</w:t>
            </w:r>
          </w:p>
        </w:tc>
        <w:tc>
          <w:tcPr>
            <w:tcW w:w="9920" w:type="dxa"/>
            <w:vAlign w:val="bottom"/>
          </w:tcPr>
          <w:p>
            <w:pPr>
              <w:ind w:left="32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color w:val="auto"/>
                <w:w w:val="95"/>
              </w:rPr>
              <w:t>Patents</w:t>
            </w:r>
            <w:r>
              <w:rPr>
                <w:rFonts w:ascii="Arial" w:cs="Arial" w:eastAsia="Arial" w:hAnsi="Arial"/>
                <w:sz w:val="20"/>
                <w:szCs w:val="20"/>
                <w:color w:val="auto"/>
                <w:w w:val="95"/>
              </w:rPr>
              <w:t>” means, with respect to an invention, any patent or patent application, and any patent issuing therefrom,</w:t>
            </w:r>
          </w:p>
        </w:tc>
      </w:tr>
    </w:tbl>
    <w:p>
      <w:pPr>
        <w:jc w:val="both"/>
        <w:spacing w:after="0" w:line="282" w:lineRule="auto"/>
        <w:rPr>
          <w:sz w:val="20"/>
          <w:szCs w:val="20"/>
          <w:color w:val="auto"/>
        </w:rPr>
      </w:pPr>
      <w:r>
        <w:rPr>
          <w:rFonts w:ascii="Arial" w:cs="Arial" w:eastAsia="Arial" w:hAnsi="Arial"/>
          <w:sz w:val="18"/>
          <w:szCs w:val="18"/>
          <w:color w:val="auto"/>
        </w:rPr>
        <w:t>together with any extensions, reissues, reexaminations, substitutions, renewals, divisions, continuations, continuations-in-part, and foreign equivalents thereof, and any patent or patent application claiming priority to any application in common with any such patent containing a disclosure substantially similar to that of any such patent, all to the extent the foregoing contain claims covering such invention.</w:t>
      </w:r>
    </w:p>
    <w:p>
      <w:pPr>
        <w:spacing w:after="0" w:line="153"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20"/>
          <w:szCs w:val="20"/>
          <w:color w:val="auto"/>
        </w:rPr>
        <w:t>1.49 “</w:t>
      </w:r>
      <w:r>
        <w:rPr>
          <w:rFonts w:ascii="Arial" w:cs="Arial" w:eastAsia="Arial" w:hAnsi="Arial"/>
          <w:sz w:val="20"/>
          <w:szCs w:val="20"/>
          <w:b w:val="1"/>
          <w:bCs w:val="1"/>
          <w:color w:val="auto"/>
        </w:rPr>
        <w:t>Process</w:t>
      </w:r>
      <w:r>
        <w:rPr>
          <w:rFonts w:ascii="Arial" w:cs="Arial" w:eastAsia="Arial" w:hAnsi="Arial"/>
          <w:sz w:val="20"/>
          <w:szCs w:val="20"/>
          <w:color w:val="auto"/>
        </w:rPr>
        <w:t>” or “</w:t>
      </w:r>
      <w:r>
        <w:rPr>
          <w:rFonts w:ascii="Arial" w:cs="Arial" w:eastAsia="Arial" w:hAnsi="Arial"/>
          <w:sz w:val="20"/>
          <w:szCs w:val="20"/>
          <w:b w:val="1"/>
          <w:bCs w:val="1"/>
          <w:color w:val="auto"/>
        </w:rPr>
        <w:t>Processing</w:t>
      </w:r>
      <w:r>
        <w:rPr>
          <w:rFonts w:ascii="Arial" w:cs="Arial" w:eastAsia="Arial" w:hAnsi="Arial"/>
          <w:sz w:val="20"/>
          <w:szCs w:val="20"/>
          <w:color w:val="auto"/>
        </w:rPr>
        <w:t>” means the compounding, filling or tableting, encapsulating, producing and bulk packaging (but not secondary or retail packaging) of FibroGen-supplied Materials and Raw Materials into Product by Catalent, in accordance with the Specifications and under the terms of this Agreement.</w:t>
      </w:r>
    </w:p>
    <w:p>
      <w:pPr>
        <w:spacing w:after="0" w:line="178"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Processing Date</w:t>
      </w:r>
      <w:r>
        <w:rPr>
          <w:rFonts w:ascii="Arial" w:cs="Arial" w:eastAsia="Arial" w:hAnsi="Arial"/>
          <w:sz w:val="16"/>
          <w:szCs w:val="16"/>
          <w:color w:val="auto"/>
        </w:rPr>
        <w:t>” means the day on which the first step of physical processing occurs.</w:t>
      </w:r>
    </w:p>
    <w:p>
      <w:pPr>
        <w:spacing w:after="0" w:line="216"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20"/>
          <w:szCs w:val="20"/>
          <w:color w:val="auto"/>
        </w:rPr>
        <w:t>1.51 “</w:t>
      </w:r>
      <w:r>
        <w:rPr>
          <w:rFonts w:ascii="Arial" w:cs="Arial" w:eastAsia="Arial" w:hAnsi="Arial"/>
          <w:sz w:val="20"/>
          <w:szCs w:val="20"/>
          <w:b w:val="1"/>
          <w:bCs w:val="1"/>
          <w:color w:val="auto"/>
        </w:rPr>
        <w:t>Product</w:t>
      </w:r>
      <w:r>
        <w:rPr>
          <w:rFonts w:ascii="Arial" w:cs="Arial" w:eastAsia="Arial" w:hAnsi="Arial"/>
          <w:sz w:val="20"/>
          <w:szCs w:val="20"/>
          <w:color w:val="auto"/>
        </w:rPr>
        <w:t>” means the bulk pharmaceutical drug product containing the API, as more specifically described in the Specifications, in the form attached hereto as Attachment E, and as may be further amended by the Parties.</w:t>
      </w:r>
    </w:p>
    <w:p>
      <w:pPr>
        <w:spacing w:after="0" w:line="16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Maintenance Services</w:t>
      </w:r>
      <w:r>
        <w:rPr>
          <w:rFonts w:ascii="Arial" w:cs="Arial" w:eastAsia="Arial" w:hAnsi="Arial"/>
          <w:sz w:val="16"/>
          <w:szCs w:val="16"/>
          <w:color w:val="auto"/>
        </w:rPr>
        <w:t>” has the meaning set forth in Section 2.5.</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9" w:name="page170"/>
    <w:bookmarkEnd w:id="169"/>
    <w:p>
      <w:pPr>
        <w:ind w:right="20" w:firstLine="8"/>
        <w:spacing w:after="0" w:line="298" w:lineRule="auto"/>
        <w:tabs>
          <w:tab w:leader="none" w:pos="23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both"/>
        <w:ind w:right="20" w:firstLine="827"/>
        <w:spacing w:after="0" w:line="267" w:lineRule="auto"/>
        <w:rPr>
          <w:sz w:val="20"/>
          <w:szCs w:val="20"/>
          <w:color w:val="auto"/>
        </w:rPr>
      </w:pPr>
      <w:r>
        <w:rPr>
          <w:rFonts w:ascii="Arial" w:cs="Arial" w:eastAsia="Arial" w:hAnsi="Arial"/>
          <w:sz w:val="20"/>
          <w:szCs w:val="20"/>
          <w:color w:val="auto"/>
        </w:rPr>
        <w:t>1.53 “</w:t>
      </w:r>
      <w:r>
        <w:rPr>
          <w:rFonts w:ascii="Arial" w:cs="Arial" w:eastAsia="Arial" w:hAnsi="Arial"/>
          <w:sz w:val="20"/>
          <w:szCs w:val="20"/>
          <w:b w:val="1"/>
          <w:bCs w:val="1"/>
          <w:color w:val="auto"/>
        </w:rPr>
        <w:t>Product Storage Fees</w:t>
      </w:r>
      <w:r>
        <w:rPr>
          <w:rFonts w:ascii="Arial" w:cs="Arial" w:eastAsia="Arial" w:hAnsi="Arial"/>
          <w:sz w:val="20"/>
          <w:szCs w:val="20"/>
          <w:color w:val="auto"/>
        </w:rPr>
        <w:t>” has the meaning set forth in Section 4.4, and as further described in this Agreement in Attachment A. For clarity, Product Storage Fees shall not include storage of API.</w:t>
      </w:r>
    </w:p>
    <w:p>
      <w:pPr>
        <w:spacing w:after="0" w:line="16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Purchase Order(s)</w:t>
      </w:r>
      <w:r>
        <w:rPr>
          <w:rFonts w:ascii="Arial" w:cs="Arial" w:eastAsia="Arial" w:hAnsi="Arial"/>
          <w:sz w:val="18"/>
          <w:szCs w:val="18"/>
          <w:color w:val="auto"/>
        </w:rPr>
        <w:t>” has the meaning set forth in Section 2.2.2.</w:t>
      </w:r>
    </w:p>
    <w:p>
      <w:pPr>
        <w:spacing w:after="0" w:line="216" w:lineRule="exact"/>
        <w:rPr>
          <w:sz w:val="20"/>
          <w:szCs w:val="20"/>
          <w:color w:val="auto"/>
        </w:rPr>
      </w:pPr>
    </w:p>
    <w:p>
      <w:pPr>
        <w:jc w:val="both"/>
        <w:ind w:firstLine="827"/>
        <w:spacing w:after="0" w:line="323"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Quality Agreement</w:t>
      </w:r>
      <w:r>
        <w:rPr>
          <w:rFonts w:ascii="Arial" w:cs="Arial" w:eastAsia="Arial" w:hAnsi="Arial"/>
          <w:sz w:val="18"/>
          <w:szCs w:val="18"/>
          <w:color w:val="auto"/>
        </w:rPr>
        <w:t>” means the quality agreement agreed on by Catalent and FibroGen in a signed writing that relates to the manufacture of Product, as may be amended from time to time by a signed writing of the Parties, and as more fully set forth in Article 8.</w:t>
      </w:r>
    </w:p>
    <w:p>
      <w:pPr>
        <w:spacing w:after="0" w:line="118"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b w:val="1"/>
          <w:bCs w:val="1"/>
          <w:color w:val="auto"/>
        </w:rPr>
        <w:t>Raw Material</w:t>
      </w:r>
      <w:r>
        <w:rPr>
          <w:rFonts w:ascii="Arial" w:cs="Arial" w:eastAsia="Arial" w:hAnsi="Arial"/>
          <w:sz w:val="20"/>
          <w:szCs w:val="20"/>
          <w:color w:val="auto"/>
        </w:rPr>
        <w:t>” means all ingredients, excipients, packaging materials, and reagents, including labels, solvents and other components other than FibroGen-supplied Materials that are required to perform the Manufacturing Services and/or manufacture the Product.</w:t>
      </w:r>
    </w:p>
    <w:p>
      <w:pPr>
        <w:spacing w:after="0" w:line="178" w:lineRule="exact"/>
        <w:rPr>
          <w:sz w:val="20"/>
          <w:szCs w:val="20"/>
          <w:color w:val="auto"/>
        </w:rPr>
      </w:pPr>
    </w:p>
    <w:tbl>
      <w:tblPr>
        <w:tblLayout w:type="fixed"/>
        <w:tblInd w:w="84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1.57</w:t>
            </w:r>
          </w:p>
        </w:tc>
        <w:tc>
          <w:tcPr>
            <w:tcW w:w="4780" w:type="dxa"/>
            <w:vAlign w:val="bottom"/>
          </w:tcPr>
          <w:p>
            <w:pPr>
              <w:ind w:left="32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color w:val="auto"/>
                <w:w w:val="98"/>
              </w:rPr>
              <w:t>Recall</w:t>
            </w:r>
            <w:r>
              <w:rPr>
                <w:rFonts w:ascii="Arial" w:cs="Arial" w:eastAsia="Arial" w:hAnsi="Arial"/>
                <w:sz w:val="20"/>
                <w:szCs w:val="20"/>
                <w:color w:val="auto"/>
                <w:w w:val="98"/>
              </w:rPr>
              <w:t>” has the meaning set forth in Section 6.6.1.</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1.58</w:t>
            </w:r>
          </w:p>
        </w:tc>
        <w:tc>
          <w:tcPr>
            <w:tcW w:w="4780" w:type="dxa"/>
            <w:vAlign w:val="bottom"/>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Registration</w:t>
            </w:r>
            <w:r>
              <w:rPr>
                <w:rFonts w:ascii="Arial" w:cs="Arial" w:eastAsia="Arial" w:hAnsi="Arial"/>
                <w:sz w:val="20"/>
                <w:szCs w:val="20"/>
                <w:color w:val="auto"/>
                <w:w w:val="89"/>
              </w:rPr>
              <w:t>” has the meaning set forth in Section 6.1.</w:t>
            </w:r>
          </w:p>
        </w:tc>
      </w:tr>
    </w:tbl>
    <w:p>
      <w:pPr>
        <w:spacing w:after="0" w:line="189"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1.59 “</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each approval, permit, product and/or establishment license, registration or authorization, including each approval pursuant to U.S. Investigational New Drug Applications, New Drug Applications and Abbreviated New Drug Applications (or equivalent non-U.S. filings, such as European marketing authorization applications), as applicable, of a Regulatory Authority that is necessary or advisable in connection with the development, manufacture, testing, use, storage, exportation, importation, transport, promotion, marketing, distribution or sale of API or Product in the Territory.</w:t>
      </w:r>
    </w:p>
    <w:p>
      <w:pPr>
        <w:spacing w:after="0" w:line="185"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1.60 “</w:t>
      </w:r>
      <w:r>
        <w:rPr>
          <w:rFonts w:ascii="Arial" w:cs="Arial" w:eastAsia="Arial" w:hAnsi="Arial"/>
          <w:sz w:val="20"/>
          <w:szCs w:val="20"/>
          <w:b w:val="1"/>
          <w:bCs w:val="1"/>
          <w:color w:val="auto"/>
        </w:rPr>
        <w:t>Regulatory Authority(ies)</w:t>
      </w:r>
      <w:r>
        <w:rPr>
          <w:rFonts w:ascii="Arial" w:cs="Arial" w:eastAsia="Arial" w:hAnsi="Arial"/>
          <w:sz w:val="20"/>
          <w:szCs w:val="20"/>
          <w:color w:val="auto"/>
        </w:rPr>
        <w:t>” means the FDA (for the USA), EMA (for the EU), ANVISA (for Brazil), MHRA (for the UK), and/or all other applicable, national, multi-national, state, regional or local regulatory agency, department, bureau, body or other governmental entity involved in or responsible for regulation of the relevant subject, as the context requires in this Agreement. Notwithstanding the foregoing, Regulatory Authorities shall include the relevant health, environmental, and safety agency pertaining to the country in which Manufacturing Services are performed.</w:t>
      </w:r>
    </w:p>
    <w:p>
      <w:pPr>
        <w:spacing w:after="0" w:line="185" w:lineRule="exact"/>
        <w:rPr>
          <w:sz w:val="20"/>
          <w:szCs w:val="20"/>
          <w:color w:val="auto"/>
        </w:rPr>
      </w:pPr>
    </w:p>
    <w:p>
      <w:pPr>
        <w:jc w:val="both"/>
        <w:ind w:firstLine="827"/>
        <w:spacing w:after="0" w:line="248" w:lineRule="auto"/>
        <w:rPr>
          <w:sz w:val="20"/>
          <w:szCs w:val="20"/>
          <w:color w:val="auto"/>
        </w:rPr>
      </w:pPr>
      <w:r>
        <w:rPr>
          <w:rFonts w:ascii="Arial" w:cs="Arial" w:eastAsia="Arial" w:hAnsi="Arial"/>
          <w:sz w:val="20"/>
          <w:szCs w:val="20"/>
          <w:color w:val="auto"/>
        </w:rPr>
        <w:t>1.61 “</w:t>
      </w:r>
      <w:r>
        <w:rPr>
          <w:rFonts w:ascii="Arial" w:cs="Arial" w:eastAsia="Arial" w:hAnsi="Arial"/>
          <w:sz w:val="20"/>
          <w:szCs w:val="20"/>
          <w:b w:val="1"/>
          <w:bCs w:val="1"/>
          <w:color w:val="auto"/>
        </w:rPr>
        <w:t>Regulatory Filing</w:t>
      </w:r>
      <w:r>
        <w:rPr>
          <w:rFonts w:ascii="Arial" w:cs="Arial" w:eastAsia="Arial" w:hAnsi="Arial"/>
          <w:sz w:val="20"/>
          <w:szCs w:val="20"/>
          <w:color w:val="auto"/>
        </w:rPr>
        <w:t>” means any or all applications submitted to Regulatory Authorities for the purpose of registering the Product, the Manufacturing Process, and/or Final Product as required by statute or regulation, and any amendments or supplements thereto, and any other filings required by the Regulatory Authorities relating to the manufacture, testing, sale or distribution of Product and/or Final Product (as applicable).</w:t>
      </w:r>
    </w:p>
    <w:p>
      <w:pPr>
        <w:spacing w:after="0" w:line="184"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b w:val="1"/>
          <w:bCs w:val="1"/>
          <w:color w:val="auto"/>
        </w:rPr>
        <w:t>Representatives</w:t>
      </w:r>
      <w:r>
        <w:rPr>
          <w:rFonts w:ascii="Arial" w:cs="Arial" w:eastAsia="Arial" w:hAnsi="Arial"/>
          <w:sz w:val="20"/>
          <w:szCs w:val="20"/>
          <w:color w:val="auto"/>
        </w:rPr>
        <w:t>” of an entity mean such entity's duly authorized officers, directors, employees, agents, accountants, attorneys or other professional advisors.</w:t>
      </w:r>
    </w:p>
    <w:p>
      <w:pPr>
        <w:spacing w:after="0" w:line="16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Rolling Forecast</w:t>
      </w:r>
      <w:r>
        <w:rPr>
          <w:rFonts w:ascii="Arial" w:cs="Arial" w:eastAsia="Arial" w:hAnsi="Arial"/>
          <w:sz w:val="16"/>
          <w:szCs w:val="16"/>
          <w:color w:val="auto"/>
        </w:rPr>
        <w:t>” has the meaning set forth in Section 2.7.</w:t>
      </w:r>
    </w:p>
    <w:p>
      <w:pPr>
        <w:spacing w:after="0" w:line="216" w:lineRule="exact"/>
        <w:rPr>
          <w:sz w:val="20"/>
          <w:szCs w:val="20"/>
          <w:color w:val="auto"/>
        </w:rPr>
      </w:pPr>
    </w:p>
    <w:p>
      <w:pPr>
        <w:jc w:val="both"/>
        <w:ind w:right="20" w:firstLine="827"/>
        <w:spacing w:after="0" w:line="267"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b w:val="1"/>
          <w:bCs w:val="1"/>
          <w:color w:val="auto"/>
        </w:rPr>
        <w:t>Seizure</w:t>
      </w:r>
      <w:r>
        <w:rPr>
          <w:rFonts w:ascii="Arial" w:cs="Arial" w:eastAsia="Arial" w:hAnsi="Arial"/>
          <w:sz w:val="20"/>
          <w:szCs w:val="20"/>
          <w:color w:val="auto"/>
        </w:rPr>
        <w:t>” means any action by the FDA or other Regulatory Authority to detain Final Products manufactured from Product or prevent the distribution, prescription, consumption or release of such Final Products manufactured from Product.</w:t>
      </w:r>
    </w:p>
    <w:p>
      <w:pPr>
        <w:spacing w:after="0" w:line="164" w:lineRule="exact"/>
        <w:rPr>
          <w:sz w:val="20"/>
          <w:szCs w:val="20"/>
          <w:color w:val="auto"/>
        </w:rPr>
      </w:pPr>
    </w:p>
    <w:p>
      <w:pPr>
        <w:jc w:val="both"/>
        <w:ind w:firstLine="827"/>
        <w:spacing w:after="0" w:line="248" w:lineRule="auto"/>
        <w:rPr>
          <w:sz w:val="20"/>
          <w:szCs w:val="20"/>
          <w:color w:val="auto"/>
        </w:rPr>
      </w:pPr>
      <w:r>
        <w:rPr>
          <w:rFonts w:ascii="Arial" w:cs="Arial" w:eastAsia="Arial" w:hAnsi="Arial"/>
          <w:sz w:val="20"/>
          <w:szCs w:val="20"/>
          <w:color w:val="auto"/>
        </w:rPr>
        <w:t>1.65 “</w:t>
      </w:r>
      <w:r>
        <w:rPr>
          <w:rFonts w:ascii="Arial" w:cs="Arial" w:eastAsia="Arial" w:hAnsi="Arial"/>
          <w:sz w:val="20"/>
          <w:szCs w:val="20"/>
          <w:b w:val="1"/>
          <w:bCs w:val="1"/>
          <w:color w:val="auto"/>
        </w:rPr>
        <w:t>Specifications</w:t>
      </w:r>
      <w:r>
        <w:rPr>
          <w:rFonts w:ascii="Arial" w:cs="Arial" w:eastAsia="Arial" w:hAnsi="Arial"/>
          <w:sz w:val="20"/>
          <w:szCs w:val="20"/>
          <w:color w:val="auto"/>
        </w:rPr>
        <w:t>” means the Product, Raw Material, and other specifications detailed in Attachment E, including reference standards agreed on by the Parties in one or more signed writings, including as applicable the characteristics, formulae, labeling, expiry date, storage requirements, and as may be amended from time to time by a signed writing of the Parties with Catalent's consent not to be unreasonably withheld.</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0" w:name="page171"/>
    <w:bookmarkEnd w:id="170"/>
    <w:p>
      <w:pPr>
        <w:ind w:right="20" w:firstLine="8"/>
        <w:spacing w:after="0" w:line="298" w:lineRule="auto"/>
        <w:tabs>
          <w:tab w:leader="none" w:pos="23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20"/>
          <w:szCs w:val="20"/>
          <w:color w:val="auto"/>
        </w:rPr>
        <w:t>1.66 “</w:t>
      </w:r>
      <w:r>
        <w:rPr>
          <w:rFonts w:ascii="Arial" w:cs="Arial" w:eastAsia="Arial" w:hAnsi="Arial"/>
          <w:sz w:val="20"/>
          <w:szCs w:val="20"/>
          <w:b w:val="1"/>
          <w:bCs w:val="1"/>
          <w:color w:val="auto"/>
        </w:rPr>
        <w:t>Special Packaging</w:t>
      </w:r>
      <w:r>
        <w:rPr>
          <w:rFonts w:ascii="Arial" w:cs="Arial" w:eastAsia="Arial" w:hAnsi="Arial"/>
          <w:sz w:val="20"/>
          <w:szCs w:val="20"/>
          <w:color w:val="auto"/>
        </w:rPr>
        <w:t>” means packaging that is not industry standard or commonly used by Catalent for commercial products, which shall include metal drums, or special tape. Special Packaging shall not include fiber drums, plastic drums, serialized seals, temperature/humidity monitoring devices, and similar packaging.</w:t>
      </w:r>
    </w:p>
    <w:p>
      <w:pPr>
        <w:spacing w:after="0" w:line="178" w:lineRule="exact"/>
        <w:rPr>
          <w:sz w:val="20"/>
          <w:szCs w:val="20"/>
          <w:color w:val="auto"/>
        </w:rPr>
      </w:pPr>
    </w:p>
    <w:p>
      <w:pPr>
        <w:jc w:val="both"/>
        <w:ind w:firstLine="827"/>
        <w:spacing w:after="0" w:line="253" w:lineRule="auto"/>
        <w:rPr>
          <w:sz w:val="20"/>
          <w:szCs w:val="20"/>
          <w:color w:val="auto"/>
        </w:rPr>
      </w:pPr>
      <w:r>
        <w:rPr>
          <w:rFonts w:ascii="Arial" w:cs="Arial" w:eastAsia="Arial" w:hAnsi="Arial"/>
          <w:sz w:val="20"/>
          <w:szCs w:val="20"/>
          <w:color w:val="auto"/>
        </w:rPr>
        <w:t>1.67 “</w:t>
      </w:r>
      <w:r>
        <w:rPr>
          <w:rFonts w:ascii="Arial" w:cs="Arial" w:eastAsia="Arial" w:hAnsi="Arial"/>
          <w:sz w:val="20"/>
          <w:szCs w:val="20"/>
          <w:b w:val="1"/>
          <w:bCs w:val="1"/>
          <w:color w:val="auto"/>
        </w:rPr>
        <w:t>Subcontractor</w:t>
      </w:r>
      <w:r>
        <w:rPr>
          <w:rFonts w:ascii="Arial" w:cs="Arial" w:eastAsia="Arial" w:hAnsi="Arial"/>
          <w:sz w:val="20"/>
          <w:szCs w:val="20"/>
          <w:color w:val="auto"/>
        </w:rPr>
        <w:t>” means any independent entity that Catalent contracts with FibroGen's prior written consent pursuant to Section 3.7 to perform any Manufacturing Services or meet any obligations that are required under the terms and conditions of this Agreement and applicable Purchase Orders.</w:t>
      </w:r>
    </w:p>
    <w:p>
      <w:pPr>
        <w:spacing w:after="0" w:line="178"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Article 16.</w:t>
      </w:r>
    </w:p>
    <w:p>
      <w:pPr>
        <w:spacing w:after="0" w:line="216" w:lineRule="exact"/>
        <w:rPr>
          <w:sz w:val="20"/>
          <w:szCs w:val="20"/>
          <w:color w:val="auto"/>
        </w:rPr>
      </w:pPr>
    </w:p>
    <w:p>
      <w:pPr>
        <w:jc w:val="both"/>
        <w:ind w:firstLine="827"/>
        <w:spacing w:after="0" w:line="267"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b w:val="1"/>
          <w:bCs w:val="1"/>
          <w:color w:val="auto"/>
        </w:rPr>
        <w:t>Territory</w:t>
      </w:r>
      <w:r>
        <w:rPr>
          <w:rFonts w:ascii="Arial" w:cs="Arial" w:eastAsia="Arial" w:hAnsi="Arial"/>
          <w:sz w:val="20"/>
          <w:szCs w:val="20"/>
          <w:color w:val="auto"/>
        </w:rPr>
        <w:t>” means [ ] with the exception of [ ]and the countries then being sanctioned by the United States, as listed by the Office of Foreign Asset Control.</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1.70</w:t>
            </w:r>
          </w:p>
        </w:tc>
        <w:tc>
          <w:tcPr>
            <w:tcW w:w="7540" w:type="dxa"/>
            <w:vAlign w:val="bottom"/>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Third Party</w:t>
            </w:r>
            <w:r>
              <w:rPr>
                <w:rFonts w:ascii="Arial" w:cs="Arial" w:eastAsia="Arial" w:hAnsi="Arial"/>
                <w:sz w:val="20"/>
                <w:szCs w:val="20"/>
                <w:color w:val="auto"/>
                <w:w w:val="90"/>
              </w:rPr>
              <w:t>” means any entity other than FibroGen, Catalent, and FibroGen's Designees.</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1.71</w:t>
            </w:r>
          </w:p>
        </w:tc>
        <w:tc>
          <w:tcPr>
            <w:tcW w:w="754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w:t>
            </w:r>
            <w:r>
              <w:rPr>
                <w:rFonts w:ascii="Arial" w:cs="Arial" w:eastAsia="Arial" w:hAnsi="Arial"/>
                <w:sz w:val="20"/>
                <w:szCs w:val="20"/>
                <w:color w:val="auto"/>
              </w:rPr>
              <w:t>” has the meaning set forth on Attachment A.</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1.72</w:t>
            </w:r>
          </w:p>
        </w:tc>
        <w:tc>
          <w:tcPr>
            <w:tcW w:w="754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 Pricing</w:t>
            </w:r>
            <w:r>
              <w:rPr>
                <w:rFonts w:ascii="Arial" w:cs="Arial" w:eastAsia="Arial" w:hAnsi="Arial"/>
                <w:sz w:val="20"/>
                <w:szCs w:val="20"/>
                <w:color w:val="auto"/>
              </w:rPr>
              <w:t>” has the meaning set forth in Section 5.2.1.</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1.73</w:t>
            </w:r>
          </w:p>
        </w:tc>
        <w:tc>
          <w:tcPr>
            <w:tcW w:w="754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Vendor</w:t>
            </w:r>
            <w:r>
              <w:rPr>
                <w:rFonts w:ascii="Arial" w:cs="Arial" w:eastAsia="Arial" w:hAnsi="Arial"/>
                <w:sz w:val="20"/>
                <w:szCs w:val="20"/>
                <w:color w:val="auto"/>
              </w:rPr>
              <w:t>” has the meaning set forth in Section 3.2.1(b).</w:t>
            </w:r>
          </w:p>
        </w:tc>
      </w:tr>
    </w:tbl>
    <w:p>
      <w:pPr>
        <w:spacing w:after="0" w:line="189" w:lineRule="exact"/>
        <w:rPr>
          <w:sz w:val="20"/>
          <w:szCs w:val="20"/>
          <w:color w:val="auto"/>
        </w:rPr>
      </w:pPr>
    </w:p>
    <w:p>
      <w:pPr>
        <w:jc w:val="both"/>
        <w:ind w:firstLine="827"/>
        <w:spacing w:after="0" w:line="248" w:lineRule="auto"/>
        <w:rPr>
          <w:sz w:val="20"/>
          <w:szCs w:val="20"/>
          <w:color w:val="auto"/>
        </w:rPr>
      </w:pPr>
      <w:r>
        <w:rPr>
          <w:rFonts w:ascii="Arial" w:cs="Arial" w:eastAsia="Arial" w:hAnsi="Arial"/>
          <w:sz w:val="20"/>
          <w:szCs w:val="20"/>
          <w:color w:val="auto"/>
        </w:rPr>
        <w:t>1.74 “</w:t>
      </w:r>
      <w:r>
        <w:rPr>
          <w:rFonts w:ascii="Arial" w:cs="Arial" w:eastAsia="Arial" w:hAnsi="Arial"/>
          <w:sz w:val="20"/>
          <w:szCs w:val="20"/>
          <w:b w:val="1"/>
          <w:bCs w:val="1"/>
          <w:color w:val="auto"/>
        </w:rPr>
        <w:t>Waste</w:t>
      </w:r>
      <w:r>
        <w:rPr>
          <w:rFonts w:ascii="Arial" w:cs="Arial" w:eastAsia="Arial" w:hAnsi="Arial"/>
          <w:sz w:val="20"/>
          <w:szCs w:val="20"/>
          <w:color w:val="auto"/>
        </w:rPr>
        <w:t>” means any “hazardous substance” and/or “hazardous material” and/or any other waste material, pollutant and/or contaminant of any kind as defined by the Regulatory Authority(ies) having jurisdiction at the Catalent Facility, including, without limitation, any Raw Materials, in-process materials, routine process waste or any by-product arising from any activities conducted pursuant to this Agreement.</w:t>
      </w:r>
    </w:p>
    <w:p>
      <w:pPr>
        <w:spacing w:after="0" w:line="184"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PURCHASE ORDERS AND SUPPLY; FORECASTS</w:t>
      </w:r>
    </w:p>
    <w:p>
      <w:pPr>
        <w:spacing w:after="0" w:line="200"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Agreement</w:t>
      </w:r>
      <w:r>
        <w:rPr>
          <w:rFonts w:ascii="Arial" w:cs="Arial" w:eastAsia="Arial" w:hAnsi="Arial"/>
          <w:sz w:val="20"/>
          <w:szCs w:val="20"/>
          <w:color w:val="auto"/>
        </w:rPr>
        <w:t>. This Agreement establishes the general terms and conditions applicable to Catalent's manufacturing and supply of the Product to FibroGen. This Agreement is intended to allow the Parties to contract for the performance of manufacturing and supply of the Product through the execution of separate written Purchase Orders (defined below in Section 2.2.2) in accordance with this Agreement. Each Purchase Order shall become part of and incorporated by reference into this Agreement and each Purchase Order shall be subject to all of the terms and conditions of this Agreement. Any changes to a Purchase Order shall be agreed to in a signed writing by the Parties prior to any such changes being effective.</w:t>
      </w:r>
    </w:p>
    <w:p>
      <w:pPr>
        <w:spacing w:after="0" w:line="196" w:lineRule="exact"/>
        <w:rPr>
          <w:sz w:val="20"/>
          <w:szCs w:val="20"/>
          <w:color w:val="auto"/>
        </w:rPr>
      </w:pPr>
    </w:p>
    <w:p>
      <w:pPr>
        <w:ind w:left="840"/>
        <w:spacing w:after="0"/>
        <w:tabs>
          <w:tab w:leader="none" w:pos="1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Purchase Order(s).</w:t>
      </w:r>
    </w:p>
    <w:p>
      <w:pPr>
        <w:spacing w:after="0" w:line="216" w:lineRule="exact"/>
        <w:rPr>
          <w:sz w:val="20"/>
          <w:szCs w:val="20"/>
          <w:color w:val="auto"/>
        </w:rPr>
      </w:pPr>
    </w:p>
    <w:p>
      <w:pPr>
        <w:jc w:val="both"/>
        <w:ind w:firstLine="1654"/>
        <w:spacing w:after="0" w:line="250" w:lineRule="auto"/>
        <w:rPr>
          <w:sz w:val="20"/>
          <w:szCs w:val="20"/>
          <w:color w:val="auto"/>
        </w:rPr>
      </w:pPr>
      <w:r>
        <w:rPr>
          <w:rFonts w:ascii="Arial" w:cs="Arial" w:eastAsia="Arial" w:hAnsi="Arial"/>
          <w:sz w:val="20"/>
          <w:szCs w:val="20"/>
          <w:color w:val="auto"/>
        </w:rPr>
        <w:t>2.2.1 Each Purchase Order complying with the requirements of this Section shall be valid and binding upon the submission of such Purchase Order by FibroGen, subject to Section 2.2.2. Each such Purchase Order submitted by FibroGen shall be governed by the terms and conditions of this Agreement.</w:t>
      </w:r>
    </w:p>
    <w:p>
      <w:pPr>
        <w:spacing w:after="0" w:line="186" w:lineRule="exact"/>
        <w:rPr>
          <w:sz w:val="20"/>
          <w:szCs w:val="20"/>
          <w:color w:val="auto"/>
        </w:rPr>
      </w:pPr>
    </w:p>
    <w:p>
      <w:pPr>
        <w:jc w:val="both"/>
        <w:ind w:firstLine="1654"/>
        <w:spacing w:after="0" w:line="278" w:lineRule="auto"/>
        <w:rPr>
          <w:sz w:val="20"/>
          <w:szCs w:val="20"/>
          <w:color w:val="auto"/>
        </w:rPr>
      </w:pPr>
      <w:r>
        <w:rPr>
          <w:rFonts w:ascii="Arial" w:cs="Arial" w:eastAsia="Arial" w:hAnsi="Arial"/>
          <w:sz w:val="18"/>
          <w:szCs w:val="18"/>
          <w:color w:val="auto"/>
        </w:rPr>
        <w:t>2.2.2 From time to time as provided in this Section, FibroGen shall submit to Catalent a binding, non-cancelable purchase order for Product specifying the number of Blends of Product to be manufactured, the Batch size (to the extent the Specifications permit Batches of different sizes), number of Batches of specific strengths, and the requested Delivery Date and FibroGen Designee address for each Batch of Product (each, a “</w:t>
      </w:r>
      <w:r>
        <w:rPr>
          <w:rFonts w:ascii="Arial" w:cs="Arial" w:eastAsia="Arial" w:hAnsi="Arial"/>
          <w:sz w:val="18"/>
          <w:szCs w:val="18"/>
          <w:b w:val="1"/>
          <w:bCs w:val="1"/>
          <w:color w:val="auto"/>
        </w:rPr>
        <w:t>Purchase Order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the Delivery Date may not be less than [ ] ([ ]) days after the date such Purchase Order is submitted unless agreed on by Catalent. Within [ ] ([ ]) business days following receipt of a</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1" w:name="page172"/>
    <w:bookmarkEnd w:id="171"/>
    <w:p>
      <w:pPr>
        <w:ind w:right="20" w:firstLine="8"/>
        <w:spacing w:after="0" w:line="298" w:lineRule="auto"/>
        <w:tabs>
          <w:tab w:leader="none" w:pos="23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Purchase Order, Catalent shall issue a written acknowledgement (each, an “</w:t>
      </w:r>
      <w:r>
        <w:rPr>
          <w:rFonts w:ascii="Arial" w:cs="Arial" w:eastAsia="Arial" w:hAnsi="Arial"/>
          <w:sz w:val="19"/>
          <w:szCs w:val="19"/>
          <w:b w:val="1"/>
          <w:bCs w:val="1"/>
          <w:color w:val="auto"/>
        </w:rPr>
        <w:t>Acknowledgement</w:t>
      </w:r>
      <w:r>
        <w:rPr>
          <w:rFonts w:ascii="Arial" w:cs="Arial" w:eastAsia="Arial" w:hAnsi="Arial"/>
          <w:sz w:val="19"/>
          <w:szCs w:val="19"/>
          <w:color w:val="auto"/>
        </w:rPr>
        <w:t>”) that it accepts or rejects such Purchase Order. Each acceptance Acknowledgement shall either confirm the Delivery Date set forth in the Purchase Order or set forth an alternative Delivery Date in view of the Binding Forecast. Catalent and FibroGen will jointly work towards establishing the alternate Delivery Date. Catalent may reject any Purchase Order if it exceeds [ ] percent ([__]%) of the Binding Forecast or is otherwise not given in accordance with this Agreement. In the event of a conflict between the terms of any Purchase Order or Acknowledgment and this Agreement, the terms of this Agreement shall control. FibroGen shall submit a Purchase Order for the amount set forth in the applicable Binding Forecast in increments of []. Purchase Orders for quantities of Product in excess of the Binding Forecast (as defined in Section 2.7) shall be submitted by FibroGen at least [ ] ([]) days in advance of the Delivery Date requested in the Purchase Order.</w:t>
      </w:r>
    </w:p>
    <w:p>
      <w:pPr>
        <w:spacing w:after="0" w:line="180" w:lineRule="exact"/>
        <w:rPr>
          <w:sz w:val="20"/>
          <w:szCs w:val="20"/>
          <w:color w:val="auto"/>
        </w:rPr>
      </w:pPr>
    </w:p>
    <w:p>
      <w:pPr>
        <w:jc w:val="both"/>
        <w:ind w:firstLine="1654"/>
        <w:spacing w:after="0" w:line="244" w:lineRule="auto"/>
        <w:rPr>
          <w:sz w:val="20"/>
          <w:szCs w:val="20"/>
          <w:color w:val="auto"/>
        </w:rPr>
      </w:pPr>
      <w:r>
        <w:rPr>
          <w:rFonts w:ascii="Arial" w:cs="Arial" w:eastAsia="Arial" w:hAnsi="Arial"/>
          <w:sz w:val="20"/>
          <w:szCs w:val="20"/>
          <w:color w:val="auto"/>
        </w:rPr>
        <w:t>2.2.3 Catalent shall use [ ] efforts to manufacture and supply FibroGen with quantities of Product in excess of [__] of the quantities specified in the Binding Forecast, or with a Delivery Date earlier than those specified in the Binding Forecast, subject to Catalent's other supply commitments and manufacturing, packaging and equipment capacity. Catalent shall at all times maintain (i) sufficient manufacturing capacity at the Catalent Facility, and (ii) sufficient stocks of Raw Materials, in each case enabling Catalent to manufacture [ ]) of the quantities of Product set forth in the most recent Binding Forecast. [ ].</w:t>
      </w:r>
    </w:p>
    <w:p>
      <w:pPr>
        <w:spacing w:after="0" w:line="195" w:lineRule="exact"/>
        <w:rPr>
          <w:sz w:val="20"/>
          <w:szCs w:val="20"/>
          <w:color w:val="auto"/>
        </w:rPr>
      </w:pPr>
    </w:p>
    <w:p>
      <w:pPr>
        <w:jc w:val="both"/>
        <w:ind w:firstLine="1654"/>
        <w:spacing w:after="0" w:line="255" w:lineRule="auto"/>
        <w:rPr>
          <w:sz w:val="20"/>
          <w:szCs w:val="20"/>
          <w:color w:val="auto"/>
        </w:rPr>
      </w:pPr>
      <w:r>
        <w:rPr>
          <w:rFonts w:ascii="Arial" w:cs="Arial" w:eastAsia="Arial" w:hAnsi="Arial"/>
          <w:sz w:val="19"/>
          <w:szCs w:val="19"/>
          <w:color w:val="auto"/>
        </w:rPr>
        <w:t>2.2.4 FibroGen may modify the Delivery Date or quantity of Product in a Purchase Order only by submitting a written change order to Catalent and communicating Product strengths at least [ ] ([ ]) days in advance of the earliest Processing Date covered by such change order. Such change order shall be effective and binding against Catalent only upon the written approval of Catalent (such approval not to be unreasonably withheld), and, notwithstanding any such written approval, FibroGen shall remain responsible for the Binding Forecast. Notwithstanding any amount due to Catalent under Section 5.3, if FibroGen fails to place Purchase Orders sufficient to satisfy the Binding Forecast, FibroGen shall pay to Catalent in accordance with Article 5 an amount equal to the Unit Pricing for all Units that would have been Processed if FibroGen had placed Purchase Orders sufficient to satisfy the Binding Forecast. Neither changes to nor postponement of any Blend or Batch of Product, nor the payment of the fees described in this Section, will reduce or in any way affect the Binding Forecast obligations set forth in Section 2.7. Additionally, and notwithstanding anything to the contrary in this Section 2.2.4, Catalent shall have no further obligation with respect to such Purchase Order, until FibroGen supplies conforming FibroGen-supplied Materials set forth in Section 3.2.2(a). Any deferment of Purchase Orders to the extent caused by FibroGen</w:t>
      </w:r>
      <w:r>
        <w:rPr>
          <w:rFonts w:ascii="Arial" w:cs="Arial" w:eastAsia="Arial" w:hAnsi="Arial"/>
          <w:sz w:val="20"/>
          <w:szCs w:val="20"/>
          <w:color w:val="auto"/>
        </w:rPr>
        <w:t>’</w:t>
      </w:r>
      <w:r>
        <w:rPr>
          <w:rFonts w:ascii="Arial" w:cs="Arial" w:eastAsia="Arial" w:hAnsi="Arial"/>
          <w:sz w:val="19"/>
          <w:szCs w:val="19"/>
          <w:color w:val="auto"/>
        </w:rPr>
        <w:t>s failure to supply FibroGen-supplied Materials in accordance with this Section 2.2.4 shall not constitute a breach of this Agreement by Catalent.</w:t>
      </w:r>
    </w:p>
    <w:p>
      <w:pPr>
        <w:spacing w:after="0" w:line="187" w:lineRule="exact"/>
        <w:rPr>
          <w:sz w:val="20"/>
          <w:szCs w:val="20"/>
          <w:color w:val="auto"/>
        </w:rPr>
      </w:pPr>
    </w:p>
    <w:p>
      <w:pPr>
        <w:jc w:val="both"/>
        <w:ind w:firstLine="827"/>
        <w:spacing w:after="0" w:line="25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Supply</w:t>
      </w:r>
      <w:r>
        <w:rPr>
          <w:rFonts w:ascii="Arial" w:cs="Arial" w:eastAsia="Arial" w:hAnsi="Arial"/>
          <w:sz w:val="19"/>
          <w:szCs w:val="19"/>
          <w:color w:val="auto"/>
        </w:rPr>
        <w:t xml:space="preserve">. Subject to the terms and conditions of this Agreement, Catalent hereby agrees to manufacture and supply FibroGen (and other Designees) with the amounts of Product ordered by FibroGen pursuant to the Purchase Orders submitted in accordance with this Agreement. Such manufacture and supply of Product, including (a) the compounding, filling, or tableting, producing and bulk packaging (but not secondary or retail packaging) of FibroGen-supplied Materials and Raw Materials into Product by Catalent, in accordance with the Specifications and under the terms of this Agreement; (b) Product Maintenance Services as described in Section 2.5 (and </w:t>
      </w:r>
      <w:r>
        <w:rPr>
          <w:rFonts w:ascii="Arial" w:cs="Arial" w:eastAsia="Arial" w:hAnsi="Arial"/>
          <w:sz w:val="19"/>
          <w:szCs w:val="19"/>
          <w:u w:val="single" w:color="auto"/>
          <w:color w:val="auto"/>
        </w:rPr>
        <w:t>Attachment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hereto); (c) the provision of other deliverables, such as the Batch Document Package; and (d) Other Services (collectively, the “</w:t>
      </w:r>
      <w:r>
        <w:rPr>
          <w:rFonts w:ascii="Arial" w:cs="Arial" w:eastAsia="Arial" w:hAnsi="Arial"/>
          <w:sz w:val="19"/>
          <w:szCs w:val="19"/>
          <w:b w:val="1"/>
          <w:bCs w:val="1"/>
          <w:color w:val="auto"/>
        </w:rPr>
        <w:t>Manufacturing Services</w:t>
      </w:r>
      <w:r>
        <w:rPr>
          <w:rFonts w:ascii="Arial" w:cs="Arial" w:eastAsia="Arial" w:hAnsi="Arial"/>
          <w:sz w:val="19"/>
          <w:szCs w:val="19"/>
          <w:color w:val="auto"/>
        </w:rPr>
        <w:t>”) shall be performed in a professional manner consistent with industry standards and in compliance with the terms and conditions of this Agreement, the Quality Agreement, the Specifications and all Applicable Laws.</w:t>
      </w:r>
    </w:p>
    <w:p>
      <w:pPr>
        <w:spacing w:after="0" w:line="18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During [ ], Catalent covenants and agrees that it shall manufacture and supply Product [ ] pursuant to this Agreement and shall not [ ]. It is understood and agreed that FibroGen may [ ], and nothing in this Agreement shall be construed to prevent FibroGen from doing so provided that the foregoing shall not limit FibroGen's </w:t>
      </w:r>
      <w:r>
        <w:rPr>
          <w:rFonts w:ascii="Arial" w:cs="Arial" w:eastAsia="Arial" w:hAnsi="Arial"/>
          <w:sz w:val="18"/>
          <w:szCs w:val="18"/>
          <w:color w:val="auto"/>
        </w:rPr>
        <w:t>[</w:t>
      </w:r>
      <w:r>
        <w:rPr>
          <w:rFonts w:ascii="Arial" w:cs="Arial" w:eastAsia="Arial" w:hAnsi="Arial"/>
          <w:sz w:val="20"/>
          <w:szCs w:val="20"/>
          <w:color w:val="auto"/>
        </w:rPr>
        <w:t xml:space="preserve"> ].</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2" w:name="page173"/>
    <w:bookmarkEnd w:id="172"/>
    <w:p>
      <w:pPr>
        <w:ind w:right="20" w:firstLine="8"/>
        <w:spacing w:after="0" w:line="298" w:lineRule="auto"/>
        <w:tabs>
          <w:tab w:leader="none" w:pos="23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jc w:val="right"/>
              <w:ind w:right="410"/>
              <w:spacing w:after="0"/>
              <w:rPr>
                <w:sz w:val="20"/>
                <w:szCs w:val="20"/>
                <w:color w:val="auto"/>
              </w:rPr>
            </w:pPr>
            <w:r>
              <w:rPr>
                <w:rFonts w:ascii="Arial" w:cs="Arial" w:eastAsia="Arial" w:hAnsi="Arial"/>
                <w:sz w:val="16"/>
                <w:szCs w:val="16"/>
                <w:b w:val="1"/>
                <w:bCs w:val="1"/>
                <w:color w:val="auto"/>
                <w:w w:val="92"/>
              </w:rPr>
              <w:t>Confidential</w:t>
            </w:r>
          </w:p>
        </w:tc>
        <w:tc>
          <w:tcPr>
            <w:tcW w:w="1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200" w:type="dxa"/>
            <w:vAlign w:val="bottom"/>
          </w:tcPr>
          <w:p>
            <w:pPr>
              <w:spacing w:after="0"/>
              <w:rPr>
                <w:sz w:val="18"/>
                <w:szCs w:val="18"/>
                <w:color w:val="auto"/>
              </w:rPr>
            </w:pPr>
          </w:p>
        </w:tc>
      </w:tr>
      <w:tr>
        <w:trPr>
          <w:trHeight w:val="348"/>
        </w:trPr>
        <w:tc>
          <w:tcPr>
            <w:tcW w:w="1380" w:type="dxa"/>
            <w:vAlign w:val="bottom"/>
          </w:tcPr>
          <w:p>
            <w:pPr>
              <w:jc w:val="right"/>
              <w:ind w:right="210"/>
              <w:spacing w:after="0"/>
              <w:rPr>
                <w:sz w:val="20"/>
                <w:szCs w:val="20"/>
                <w:color w:val="auto"/>
              </w:rPr>
            </w:pPr>
            <w:r>
              <w:rPr>
                <w:rFonts w:ascii="Arial" w:cs="Arial" w:eastAsia="Arial" w:hAnsi="Arial"/>
                <w:sz w:val="20"/>
                <w:szCs w:val="20"/>
                <w:color w:val="auto"/>
              </w:rPr>
              <w:t>2.4</w:t>
            </w:r>
          </w:p>
        </w:tc>
        <w:tc>
          <w:tcPr>
            <w:tcW w:w="1320" w:type="dxa"/>
            <w:vAlign w:val="bottom"/>
          </w:tcPr>
          <w:p>
            <w:pPr>
              <w:jc w:val="right"/>
              <w:ind w:right="581"/>
              <w:spacing w:after="0"/>
              <w:rPr>
                <w:sz w:val="20"/>
                <w:szCs w:val="20"/>
                <w:color w:val="auto"/>
              </w:rPr>
            </w:pPr>
            <w:r>
              <w:rPr>
                <w:rFonts w:ascii="Arial" w:cs="Arial" w:eastAsia="Arial" w:hAnsi="Arial"/>
                <w:sz w:val="20"/>
                <w:szCs w:val="20"/>
                <w:color w:val="auto"/>
              </w:rPr>
              <w:t>[ ].</w:t>
            </w:r>
          </w:p>
        </w:tc>
        <w:tc>
          <w:tcPr>
            <w:tcW w:w="250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401"/>
        </w:trPr>
        <w:tc>
          <w:tcPr>
            <w:tcW w:w="1380" w:type="dxa"/>
            <w:vAlign w:val="bottom"/>
          </w:tcPr>
          <w:p>
            <w:pPr>
              <w:spacing w:after="0"/>
              <w:rPr>
                <w:sz w:val="24"/>
                <w:szCs w:val="24"/>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color w:val="auto"/>
              </w:rPr>
              <w:t>2.4.1</w:t>
            </w:r>
          </w:p>
        </w:tc>
        <w:tc>
          <w:tcPr>
            <w:tcW w:w="8700" w:type="dxa"/>
            <w:vAlign w:val="bottom"/>
            <w:gridSpan w:val="2"/>
          </w:tcPr>
          <w:p>
            <w:pPr>
              <w:spacing w:after="0"/>
              <w:rPr>
                <w:sz w:val="20"/>
                <w:szCs w:val="20"/>
                <w:color w:val="auto"/>
              </w:rPr>
            </w:pPr>
            <w:r>
              <w:rPr>
                <w:rFonts w:ascii="Arial" w:cs="Arial" w:eastAsia="Arial" w:hAnsi="Arial"/>
                <w:sz w:val="20"/>
                <w:szCs w:val="20"/>
                <w:color w:val="auto"/>
                <w:w w:val="90"/>
              </w:rPr>
              <w:t>Demand Records; Audit Rights. FibroGen will keep complete and accurate books and records relating to the</w:t>
            </w:r>
          </w:p>
        </w:tc>
      </w:tr>
      <w:tr>
        <w:trPr>
          <w:trHeight w:val="20"/>
        </w:trPr>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Demand, in sufficient detail to enable the calculation and verification of applicable [ ] in any given Contract Year (“</w:t>
      </w:r>
      <w:r>
        <w:rPr>
          <w:rFonts w:ascii="Arial" w:cs="Arial" w:eastAsia="Arial" w:hAnsi="Arial"/>
          <w:sz w:val="18"/>
          <w:szCs w:val="18"/>
          <w:b w:val="1"/>
          <w:bCs w:val="1"/>
          <w:color w:val="auto"/>
        </w:rPr>
        <w:t>Demand Records</w:t>
      </w:r>
      <w:r>
        <w:rPr>
          <w:rFonts w:ascii="Arial" w:cs="Arial" w:eastAsia="Arial" w:hAnsi="Arial"/>
          <w:sz w:val="18"/>
          <w:szCs w:val="18"/>
          <w:color w:val="auto"/>
        </w:rPr>
        <w:t>”). Upon the written request and not more than once per calendar year, Catalent shall be entitled to audit, or to have an independent accountant audit, such Demand Records. FibroGen shall provide Catalent or such auditors, as applicable, with access during normal business hours at FibroGen's relevant location and to such of the pertinent Demand Records of FibroGen as may be reasonably necessary to verify the matters in question. Such access shall include the right of Catalent or the independent accounting firm to interview FibroGen's personnel if reasonable. Each such examination shall be limited to pertinent Demand Records for any year ending not more than [ ] ([ ]) years prior to the date of such request. Before permitting such independent accounting firm to have access to such Demand Records and personnel, FibroGen may require such independent accounting firm and its personnel involved in such audit, to sign a confidentiality and use agreement to prohibit the independent accounting firm and its personnel from disclosing FibroGen's financial and proprietary information except to Catalent as contemplated by this section of the Agreement. Furthermore, the number of such audit personnel shall be limited to [ ] person.</w:t>
      </w:r>
    </w:p>
    <w:p>
      <w:pPr>
        <w:spacing w:after="0" w:line="172"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Product Maintenance Services</w:t>
      </w:r>
      <w:r>
        <w:rPr>
          <w:rFonts w:ascii="Arial" w:cs="Arial" w:eastAsia="Arial" w:hAnsi="Arial"/>
          <w:sz w:val="20"/>
          <w:szCs w:val="20"/>
          <w:color w:val="auto"/>
        </w:rPr>
        <w:t xml:space="preserve">. Catalent shall provide and FibroGen will receive those product maintenance services specified in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(the “</w:t>
      </w:r>
      <w:r>
        <w:rPr>
          <w:rFonts w:ascii="Arial" w:cs="Arial" w:eastAsia="Arial" w:hAnsi="Arial"/>
          <w:sz w:val="20"/>
          <w:szCs w:val="20"/>
          <w:b w:val="1"/>
          <w:bCs w:val="1"/>
          <w:color w:val="auto"/>
        </w:rPr>
        <w:t>Product Maintenance Services</w:t>
      </w:r>
      <w:r>
        <w:rPr>
          <w:rFonts w:ascii="Arial" w:cs="Arial" w:eastAsia="Arial" w:hAnsi="Arial"/>
          <w:sz w:val="20"/>
          <w:szCs w:val="20"/>
          <w:color w:val="auto"/>
        </w:rPr>
        <w:t>”).</w:t>
      </w:r>
    </w:p>
    <w:p>
      <w:pPr>
        <w:spacing w:after="0" w:line="17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Other Services</w:t>
      </w:r>
      <w:r>
        <w:rPr>
          <w:rFonts w:ascii="Arial" w:cs="Arial" w:eastAsia="Arial" w:hAnsi="Arial"/>
          <w:sz w:val="19"/>
          <w:szCs w:val="19"/>
          <w:color w:val="auto"/>
        </w:rPr>
        <w:t xml:space="preserve">. Catalent shall provide other Product-related services set forth in </w:t>
      </w:r>
      <w:r>
        <w:rPr>
          <w:rFonts w:ascii="Arial" w:cs="Arial" w:eastAsia="Arial" w:hAnsi="Arial"/>
          <w:sz w:val="19"/>
          <w:szCs w:val="19"/>
          <w:u w:val="single" w:color="auto"/>
          <w:color w:val="auto"/>
        </w:rPr>
        <w:t>Attachment C</w:t>
      </w:r>
      <w:r>
        <w:rPr>
          <w:rFonts w:ascii="Arial" w:cs="Arial" w:eastAsia="Arial" w:hAnsi="Arial"/>
          <w:sz w:val="19"/>
          <w:szCs w:val="19"/>
          <w:color w:val="auto"/>
        </w:rPr>
        <w:t>, such as validation services, supported by Catalent on an as-needed basis under a countersigned quotation and preapproved in writing by FibroGen (“</w:t>
      </w:r>
      <w:r>
        <w:rPr>
          <w:rFonts w:ascii="Arial" w:cs="Arial" w:eastAsia="Arial" w:hAnsi="Arial"/>
          <w:sz w:val="19"/>
          <w:szCs w:val="19"/>
          <w:b w:val="1"/>
          <w:bCs w:val="1"/>
          <w:color w:val="auto"/>
        </w:rPr>
        <w:t>Other</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Attachment C</w:t>
      </w:r>
      <w:r>
        <w:rPr>
          <w:rFonts w:ascii="Arial" w:cs="Arial" w:eastAsia="Arial" w:hAnsi="Arial"/>
          <w:sz w:val="19"/>
          <w:szCs w:val="19"/>
          <w:color w:val="auto"/>
        </w:rPr>
        <w:t>. The terms and conditions of this Agreement shall govern and apply to such services.</w:t>
      </w:r>
    </w:p>
    <w:p>
      <w:pPr>
        <w:spacing w:after="0" w:line="170" w:lineRule="exact"/>
        <w:rPr>
          <w:sz w:val="20"/>
          <w:szCs w:val="20"/>
          <w:color w:val="auto"/>
        </w:rPr>
      </w:pPr>
    </w:p>
    <w:p>
      <w:pPr>
        <w:jc w:val="both"/>
        <w:ind w:firstLine="827"/>
        <w:spacing w:after="0" w:line="259"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Forecast</w:t>
      </w:r>
      <w:r>
        <w:rPr>
          <w:rFonts w:ascii="Arial" w:cs="Arial" w:eastAsia="Arial" w:hAnsi="Arial"/>
          <w:sz w:val="19"/>
          <w:szCs w:val="19"/>
          <w:color w:val="auto"/>
        </w:rPr>
        <w:t>. On or around the [ ] ([ ]) day of each [ ], beginning at least [ ], or such other date as agreed by the Parties, and continuing during the Term of this Agreement on a monthly basis, FibroGen shall furnish to Catalent a written [ ] ([ )] month rolling forecast of the quantities of Product that FibroGen anticipates FibroGen will require for Product to be delivered under a Purchase Order (each, a “</w:t>
      </w:r>
      <w:r>
        <w:rPr>
          <w:rFonts w:ascii="Arial" w:cs="Arial" w:eastAsia="Arial" w:hAnsi="Arial"/>
          <w:sz w:val="19"/>
          <w:szCs w:val="19"/>
          <w:b w:val="1"/>
          <w:bCs w:val="1"/>
          <w:color w:val="auto"/>
        </w:rPr>
        <w:t>Rolling Forecast</w:t>
      </w:r>
      <w:r>
        <w:rPr>
          <w:rFonts w:ascii="Arial" w:cs="Arial" w:eastAsia="Arial" w:hAnsi="Arial"/>
          <w:sz w:val="19"/>
          <w:szCs w:val="19"/>
          <w:color w:val="auto"/>
        </w:rPr>
        <w:t>”). By way of example, the Rolling Forecast delivered in [ ] will cover the period from [ ] through [ ]. The first [ ] ([ ]) months of each Rolling Forecast shall constitute a binding order for the quantities of Product in such Rolling Forecast (the “</w:t>
      </w:r>
      <w:r>
        <w:rPr>
          <w:rFonts w:ascii="Arial" w:cs="Arial" w:eastAsia="Arial" w:hAnsi="Arial"/>
          <w:sz w:val="19"/>
          <w:szCs w:val="19"/>
          <w:b w:val="1"/>
          <w:bCs w:val="1"/>
          <w:color w:val="auto"/>
        </w:rPr>
        <w:t>Binding</w:t>
      </w:r>
      <w:r>
        <w:rPr>
          <w:rFonts w:ascii="Arial" w:cs="Arial" w:eastAsia="Arial" w:hAnsi="Arial"/>
          <w:sz w:val="19"/>
          <w:szCs w:val="19"/>
          <w:color w:val="auto"/>
        </w:rPr>
        <w:t xml:space="preserve"> </w:t>
      </w:r>
      <w:r>
        <w:rPr>
          <w:rFonts w:ascii="Arial" w:cs="Arial" w:eastAsia="Arial" w:hAnsi="Arial"/>
          <w:sz w:val="19"/>
          <w:szCs w:val="19"/>
          <w:b w:val="1"/>
          <w:bCs w:val="1"/>
          <w:color w:val="auto"/>
        </w:rPr>
        <w:t>Forecast</w:t>
      </w:r>
      <w:r>
        <w:rPr>
          <w:rFonts w:ascii="Arial" w:cs="Arial" w:eastAsia="Arial" w:hAnsi="Arial"/>
          <w:sz w:val="19"/>
          <w:szCs w:val="19"/>
          <w:color w:val="auto"/>
        </w:rPr>
        <w:t>”) and the following [ ] months of the Rolling Forecast shall be non-binding, good-faith estimates.</w:t>
      </w:r>
    </w:p>
    <w:p>
      <w:pPr>
        <w:spacing w:after="0" w:line="179"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Shortfalls in Supply</w:t>
      </w:r>
      <w:r>
        <w:rPr>
          <w:rFonts w:ascii="Arial" w:cs="Arial" w:eastAsia="Arial" w:hAnsi="Arial"/>
          <w:sz w:val="19"/>
          <w:szCs w:val="19"/>
          <w:color w:val="auto"/>
        </w:rPr>
        <w:t>. If Catalent fails to meet its supply obligations to FibroGen under this Agreement, then Catalent shall use [ ] efforts to cure such failure as soon as practicable. During such supply failure, Catalent shall use [ ] efforts to allocate manufacturing capacity to the manufacture and supply of Product to FibroGen or other Designees, until such supply failure is remedied. If any supply failure continues in effect for a period of more than [ ] ([ ]) days, Catalent and FibroGen shall meet and work together reasonably and in good faith to seek a prompt and commercially reasonable solution to the problem causing the supply failure.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OBLIGATIONS</w:t>
      </w:r>
    </w:p>
    <w:p>
      <w:pPr>
        <w:spacing w:after="0" w:line="200"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Catalent Facility</w:t>
      </w:r>
      <w:r>
        <w:rPr>
          <w:rFonts w:ascii="Arial" w:cs="Arial" w:eastAsia="Arial" w:hAnsi="Arial"/>
          <w:sz w:val="20"/>
          <w:szCs w:val="20"/>
          <w:color w:val="auto"/>
        </w:rPr>
        <w:t xml:space="preserve">. All Product manufactured for FibroGen hereunder shall be manufactured solely by Catalent at the Catalent facility located at [ ] (“[ </w:t>
      </w:r>
      <w:r>
        <w:rPr>
          <w:rFonts w:ascii="Arial" w:cs="Arial" w:eastAsia="Arial" w:hAnsi="Arial"/>
          <w:sz w:val="20"/>
          <w:szCs w:val="20"/>
          <w:b w:val="1"/>
          <w:bCs w:val="1"/>
          <w:color w:val="auto"/>
        </w:rPr>
        <w:t>] Facility</w:t>
      </w:r>
      <w:r>
        <w:rPr>
          <w:rFonts w:ascii="Arial" w:cs="Arial" w:eastAsia="Arial" w:hAnsi="Arial"/>
          <w:sz w:val="20"/>
          <w:szCs w:val="20"/>
          <w:color w:val="auto"/>
        </w:rPr>
        <w:t xml:space="preserve">”) and for the purpose of a second option to support Product release and stability testing at the Catalent facility located at [ ] (“[ </w:t>
      </w:r>
      <w:r>
        <w:rPr>
          <w:rFonts w:ascii="Arial" w:cs="Arial" w:eastAsia="Arial" w:hAnsi="Arial"/>
          <w:sz w:val="20"/>
          <w:szCs w:val="20"/>
          <w:b w:val="1"/>
          <w:bCs w:val="1"/>
          <w:color w:val="auto"/>
        </w:rPr>
        <w:t>] Facility</w:t>
      </w:r>
      <w:r>
        <w:rPr>
          <w:rFonts w:ascii="Arial" w:cs="Arial" w:eastAsia="Arial" w:hAnsi="Arial"/>
          <w:sz w:val="20"/>
          <w:szCs w:val="20"/>
          <w:color w:val="auto"/>
        </w:rPr>
        <w:t>”) or such other facility as agreed by the Parties in writing (collectively, the “</w:t>
      </w:r>
      <w:r>
        <w:rPr>
          <w:rFonts w:ascii="Arial" w:cs="Arial" w:eastAsia="Arial" w:hAnsi="Arial"/>
          <w:sz w:val="20"/>
          <w:szCs w:val="20"/>
          <w:b w:val="1"/>
          <w:bCs w:val="1"/>
          <w:color w:val="auto"/>
        </w:rPr>
        <w:t>Catalent Facility</w:t>
      </w:r>
      <w:r>
        <w:rPr>
          <w:rFonts w:ascii="Arial" w:cs="Arial" w:eastAsia="Arial" w:hAnsi="Arial"/>
          <w:sz w:val="20"/>
          <w:szCs w:val="20"/>
          <w:color w:val="auto"/>
        </w:rPr>
        <w:t>”). The Catalent Facility may not be changed without an amendment to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ind w:right="20" w:firstLine="8"/>
        <w:spacing w:after="0" w:line="298" w:lineRule="auto"/>
        <w:tabs>
          <w:tab w:leader="none" w:pos="23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jc w:val="right"/>
              <w:ind w:right="410"/>
              <w:spacing w:after="0"/>
              <w:rPr>
                <w:sz w:val="20"/>
                <w:szCs w:val="20"/>
                <w:color w:val="auto"/>
              </w:rPr>
            </w:pPr>
            <w:r>
              <w:rPr>
                <w:rFonts w:ascii="Arial" w:cs="Arial" w:eastAsia="Arial" w:hAnsi="Arial"/>
                <w:sz w:val="16"/>
                <w:szCs w:val="16"/>
                <w:b w:val="1"/>
                <w:bCs w:val="1"/>
                <w:color w:val="auto"/>
                <w:w w:val="92"/>
              </w:rPr>
              <w:t>Confidential</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3"/>
        </w:trPr>
        <w:tc>
          <w:tcPr>
            <w:tcW w:w="1380" w:type="dxa"/>
            <w:vAlign w:val="bottom"/>
          </w:tcPr>
          <w:p>
            <w:pPr>
              <w:jc w:val="right"/>
              <w:ind w:right="210"/>
              <w:spacing w:after="0"/>
              <w:rPr>
                <w:sz w:val="20"/>
                <w:szCs w:val="20"/>
                <w:color w:val="auto"/>
              </w:rPr>
            </w:pPr>
            <w:r>
              <w:rPr>
                <w:rFonts w:ascii="Arial" w:cs="Arial" w:eastAsia="Arial" w:hAnsi="Arial"/>
                <w:sz w:val="20"/>
                <w:szCs w:val="20"/>
                <w:color w:val="auto"/>
              </w:rPr>
              <w:t>3.2</w:t>
            </w:r>
          </w:p>
        </w:tc>
        <w:tc>
          <w:tcPr>
            <w:tcW w:w="360" w:type="dxa"/>
            <w:vAlign w:val="bottom"/>
          </w:tcPr>
          <w:p>
            <w:pPr>
              <w:spacing w:after="0"/>
              <w:rPr>
                <w:sz w:val="24"/>
                <w:szCs w:val="24"/>
                <w:color w:val="auto"/>
              </w:rPr>
            </w:pPr>
          </w:p>
        </w:tc>
        <w:tc>
          <w:tcPr>
            <w:tcW w:w="3880" w:type="dxa"/>
            <w:vAlign w:val="bottom"/>
            <w:gridSpan w:val="4"/>
          </w:tcPr>
          <w:p>
            <w:pPr>
              <w:spacing w:after="0"/>
              <w:rPr>
                <w:sz w:val="20"/>
                <w:szCs w:val="20"/>
                <w:color w:val="auto"/>
              </w:rPr>
            </w:pPr>
            <w:r>
              <w:rPr>
                <w:rFonts w:ascii="Arial" w:cs="Arial" w:eastAsia="Arial" w:hAnsi="Arial"/>
                <w:sz w:val="20"/>
                <w:szCs w:val="20"/>
                <w:color w:val="auto"/>
                <w:w w:val="90"/>
              </w:rPr>
              <w:t>Raw Materials and FibroGen-supplied Materials.</w:t>
            </w:r>
          </w:p>
        </w:tc>
      </w:tr>
      <w:tr>
        <w:trPr>
          <w:trHeight w:val="20"/>
        </w:trPr>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380" w:type="dxa"/>
            <w:vAlign w:val="bottom"/>
          </w:tcPr>
          <w:p>
            <w:pPr>
              <w:spacing w:after="0"/>
              <w:rPr>
                <w:sz w:val="24"/>
                <w:szCs w:val="24"/>
                <w:color w:val="auto"/>
              </w:rPr>
            </w:pPr>
          </w:p>
        </w:tc>
        <w:tc>
          <w:tcPr>
            <w:tcW w:w="1320" w:type="dxa"/>
            <w:vAlign w:val="bottom"/>
            <w:gridSpan w:val="2"/>
          </w:tcPr>
          <w:p>
            <w:pPr>
              <w:jc w:val="right"/>
              <w:ind w:right="541"/>
              <w:spacing w:after="0"/>
              <w:rPr>
                <w:sz w:val="20"/>
                <w:szCs w:val="20"/>
                <w:color w:val="auto"/>
              </w:rPr>
            </w:pPr>
            <w:r>
              <w:rPr>
                <w:rFonts w:ascii="Arial" w:cs="Arial" w:eastAsia="Arial" w:hAnsi="Arial"/>
                <w:sz w:val="20"/>
                <w:szCs w:val="20"/>
                <w:color w:val="auto"/>
              </w:rPr>
              <w:t>3.2.1</w:t>
            </w:r>
          </w:p>
        </w:tc>
        <w:tc>
          <w:tcPr>
            <w:tcW w:w="1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Raw Materials.</w:t>
            </w:r>
          </w:p>
        </w:tc>
        <w:tc>
          <w:tcPr>
            <w:tcW w:w="1700" w:type="dxa"/>
            <w:vAlign w:val="bottom"/>
            <w:gridSpan w:val="2"/>
          </w:tcPr>
          <w:p>
            <w:pPr>
              <w:spacing w:after="0"/>
              <w:rPr>
                <w:sz w:val="24"/>
                <w:szCs w:val="24"/>
                <w:color w:val="auto"/>
              </w:rPr>
            </w:pPr>
          </w:p>
        </w:tc>
      </w:tr>
    </w:tbl>
    <w:p>
      <w:pPr>
        <w:spacing w:after="0" w:line="226" w:lineRule="exact"/>
        <w:rPr>
          <w:sz w:val="20"/>
          <w:szCs w:val="20"/>
          <w:color w:val="auto"/>
        </w:rPr>
      </w:pPr>
    </w:p>
    <w:p>
      <w:pPr>
        <w:jc w:val="both"/>
        <w:ind w:firstLine="2489"/>
        <w:spacing w:after="0" w:line="274" w:lineRule="auto"/>
        <w:tabs>
          <w:tab w:leader="none" w:pos="334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Procurement</w:t>
      </w:r>
      <w:r>
        <w:rPr>
          <w:rFonts w:ascii="Arial" w:cs="Arial" w:eastAsia="Arial" w:hAnsi="Arial"/>
          <w:sz w:val="18"/>
          <w:szCs w:val="18"/>
          <w:color w:val="auto"/>
        </w:rPr>
        <w:t>. Catalent shall be responsible for procuring, inspecting and releasing adequate Raw Materials as necessary to meet [] of the Binding Forecast, unless otherwise agreed by the Parties in writing. Catalent shall not be liable for any delay in delivery of Product if (i) Catalent is unable to obtain, in a timely manner, a particular Raw Material necessary for Processing and (ii) Catalent placed orders for such Raw Materials (other than Long Lead Time Materials) promptly following receipt of FibroGen's Binding Forecast and in view of the Raw Materials procurement necessary for the Rolling Forecast. As used herein, “</w:t>
      </w:r>
      <w:r>
        <w:rPr>
          <w:rFonts w:ascii="Arial" w:cs="Arial" w:eastAsia="Arial" w:hAnsi="Arial"/>
          <w:sz w:val="18"/>
          <w:szCs w:val="18"/>
          <w:b w:val="1"/>
          <w:bCs w:val="1"/>
          <w:color w:val="auto"/>
        </w:rPr>
        <w:t>Long Lead Time Materials</w:t>
      </w:r>
      <w:r>
        <w:rPr>
          <w:rFonts w:ascii="Arial" w:cs="Arial" w:eastAsia="Arial" w:hAnsi="Arial"/>
          <w:sz w:val="18"/>
          <w:szCs w:val="18"/>
          <w:color w:val="auto"/>
        </w:rPr>
        <w:t xml:space="preserve">” means any Raw Material that is subject to purchase lead time beyond the Binding Forecast time frame, as identified in </w:t>
      </w:r>
      <w:r>
        <w:rPr>
          <w:rFonts w:ascii="Arial" w:cs="Arial" w:eastAsia="Arial" w:hAnsi="Arial"/>
          <w:sz w:val="18"/>
          <w:szCs w:val="18"/>
          <w:u w:val="single" w:color="auto"/>
          <w:color w:val="auto"/>
        </w:rPr>
        <w:t>Attachment D</w:t>
      </w:r>
      <w:r>
        <w:rPr>
          <w:rFonts w:ascii="Arial" w:cs="Arial" w:eastAsia="Arial" w:hAnsi="Arial"/>
          <w:sz w:val="18"/>
          <w:szCs w:val="18"/>
          <w:color w:val="auto"/>
        </w:rPr>
        <w:t>. Catalent shall maintain a stock of Long Lead Time Materials as necessary to meet the then-current Rolling Forecast. For clarity, [ ].</w:t>
      </w:r>
    </w:p>
    <w:p>
      <w:pPr>
        <w:spacing w:after="0" w:line="163" w:lineRule="exact"/>
        <w:rPr>
          <w:rFonts w:ascii="Arial" w:cs="Arial" w:eastAsia="Arial" w:hAnsi="Arial"/>
          <w:sz w:val="18"/>
          <w:szCs w:val="18"/>
          <w:color w:val="auto"/>
        </w:rPr>
      </w:pPr>
    </w:p>
    <w:p>
      <w:pPr>
        <w:jc w:val="both"/>
        <w:ind w:firstLine="2489"/>
        <w:spacing w:after="0" w:line="248" w:lineRule="auto"/>
        <w:tabs>
          <w:tab w:leader="none" w:pos="33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FibroGen requires a change to a specific supplier, manufacturer or vendor (“</w:t>
      </w:r>
      <w:r>
        <w:rPr>
          <w:rFonts w:ascii="Arial" w:cs="Arial" w:eastAsia="Arial" w:hAnsi="Arial"/>
          <w:sz w:val="20"/>
          <w:szCs w:val="20"/>
          <w:b w:val="1"/>
          <w:bCs w:val="1"/>
          <w:color w:val="auto"/>
        </w:rPr>
        <w:t>Vendor</w:t>
      </w:r>
      <w:r>
        <w:rPr>
          <w:rFonts w:ascii="Arial" w:cs="Arial" w:eastAsia="Arial" w:hAnsi="Arial"/>
          <w:sz w:val="20"/>
          <w:szCs w:val="20"/>
          <w:color w:val="auto"/>
        </w:rPr>
        <w:t>”) to be used for Raw Material, then such Vendor will be identified in the Specifications and the Raw Materials from such Vendor shall be deemed FibroGen-supplied Materials for purposes of the other Sections of this Agreement. [ ]. If FibroGen decides to use a specific vendor, FibroGen will be responsible for [ ].</w:t>
      </w:r>
    </w:p>
    <w:p>
      <w:pPr>
        <w:spacing w:after="0" w:line="189" w:lineRule="exact"/>
        <w:rPr>
          <w:rFonts w:ascii="Arial" w:cs="Arial" w:eastAsia="Arial" w:hAnsi="Arial"/>
          <w:sz w:val="20"/>
          <w:szCs w:val="20"/>
          <w:color w:val="auto"/>
        </w:rPr>
      </w:pPr>
    </w:p>
    <w:p>
      <w:pPr>
        <w:ind w:firstLine="2489"/>
        <w:spacing w:after="0" w:line="260" w:lineRule="auto"/>
        <w:tabs>
          <w:tab w:leader="none" w:pos="3349"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 the event of (i) a Specification change requested by FibroGen (ii) obsolescence of any Raw Material or (iii) expiration or termination of this Agreement by FibroGen other than due to a material breach of Catalent, [ ].</w:t>
      </w:r>
    </w:p>
    <w:p>
      <w:pPr>
        <w:spacing w:after="0" w:line="176" w:lineRule="exact"/>
        <w:rPr>
          <w:rFonts w:ascii="Arial" w:cs="Arial" w:eastAsia="Arial" w:hAnsi="Arial"/>
          <w:sz w:val="20"/>
          <w:szCs w:val="20"/>
          <w:color w:val="auto"/>
        </w:rPr>
      </w:pPr>
    </w:p>
    <w:p>
      <w:pPr>
        <w:jc w:val="both"/>
        <w:ind w:firstLine="2489"/>
        <w:spacing w:after="0" w:line="246" w:lineRule="auto"/>
        <w:tabs>
          <w:tab w:leader="none" w:pos="336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Raw Materials Compliance</w:t>
      </w:r>
      <w:r>
        <w:rPr>
          <w:rFonts w:ascii="Arial" w:cs="Arial" w:eastAsia="Arial" w:hAnsi="Arial"/>
          <w:sz w:val="20"/>
          <w:szCs w:val="20"/>
          <w:color w:val="auto"/>
        </w:rPr>
        <w:t>. All Raw Materials used in the Manufacturing Process shall comply with the applicable Specifications, Purchase Order, and Quality Agreement, or as otherwise agreed in a signed writing by the Parties. Catalent or a Subcontractor approved in accordance with Section 3.7 shall perform testing and evaluation of the Raw Materials as required to meet the foregoing obligations.</w:t>
      </w:r>
    </w:p>
    <w:p>
      <w:pPr>
        <w:spacing w:after="0" w:line="191" w:lineRule="exact"/>
        <w:rPr>
          <w:rFonts w:ascii="Arial" w:cs="Arial" w:eastAsia="Arial" w:hAnsi="Arial"/>
          <w:sz w:val="20"/>
          <w:szCs w:val="20"/>
          <w:color w:val="auto"/>
        </w:rPr>
      </w:pPr>
    </w:p>
    <w:p>
      <w:pPr>
        <w:jc w:val="both"/>
        <w:ind w:firstLine="2489"/>
        <w:spacing w:after="0" w:line="250" w:lineRule="auto"/>
        <w:tabs>
          <w:tab w:leader="none" w:pos="334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Retention and Reserve Samples</w:t>
      </w:r>
      <w:r>
        <w:rPr>
          <w:rFonts w:ascii="Arial" w:cs="Arial" w:eastAsia="Arial" w:hAnsi="Arial"/>
          <w:sz w:val="20"/>
          <w:szCs w:val="20"/>
          <w:color w:val="auto"/>
        </w:rPr>
        <w:t>. Catalent shall identify and retain certain reserve samples as set forth in the Quality Agreement, the Master Batch Record, the applicable standard operating procedures and Applicable Laws, or as otherwise agreed to in a signed writing by Catalent and FibroGen.</w:t>
      </w:r>
    </w:p>
    <w:p>
      <w:pPr>
        <w:spacing w:after="0" w:line="186" w:lineRule="exact"/>
        <w:rPr>
          <w:rFonts w:ascii="Arial" w:cs="Arial" w:eastAsia="Arial" w:hAnsi="Arial"/>
          <w:sz w:val="20"/>
          <w:szCs w:val="20"/>
          <w:color w:val="auto"/>
        </w:rPr>
      </w:pPr>
    </w:p>
    <w:p>
      <w:pPr>
        <w:jc w:val="both"/>
        <w:ind w:firstLine="2489"/>
        <w:spacing w:after="0" w:line="243" w:lineRule="auto"/>
        <w:tabs>
          <w:tab w:leader="none" w:pos="332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Artwork and Labeling</w:t>
      </w:r>
      <w:r>
        <w:rPr>
          <w:rFonts w:ascii="Arial" w:cs="Arial" w:eastAsia="Arial" w:hAnsi="Arial"/>
          <w:sz w:val="20"/>
          <w:szCs w:val="20"/>
          <w:color w:val="auto"/>
        </w:rPr>
        <w:t>. FibroGen shall provide or approve, prior to the procurement of applicable Raw Material, all artwork, advertising and labeling information necessary for Processing, if any. Such artwork, advertising and labeling information is and shall remain the exclusive property of FibroGen, and FibroGen shall be solely responsible for the content thereof. Such artwork, advertising and labeling information or any reproduction thereof may not be used by Catalent in any manner other than performing its obligations hereunder without FibroGen's written consent. The content of all artwork provided by or on behalf of FibroGen to Catalent shall comply with all Applicable Laws.</w:t>
      </w:r>
    </w:p>
    <w:p>
      <w:pPr>
        <w:spacing w:after="0" w:line="197" w:lineRule="exact"/>
        <w:rPr>
          <w:sz w:val="20"/>
          <w:szCs w:val="20"/>
          <w:color w:val="auto"/>
        </w:rPr>
      </w:pPr>
    </w:p>
    <w:p>
      <w:pPr>
        <w:ind w:left="1660"/>
        <w:spacing w:after="0"/>
        <w:tabs>
          <w:tab w:leader="none" w:pos="268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8"/>
          <w:szCs w:val="18"/>
          <w:u w:val="single" w:color="auto"/>
          <w:color w:val="auto"/>
        </w:rPr>
        <w:t>FibroGen-supplied Materials</w:t>
      </w:r>
      <w:r>
        <w:rPr>
          <w:rFonts w:ascii="Arial" w:cs="Arial" w:eastAsia="Arial" w:hAnsi="Arial"/>
          <w:sz w:val="18"/>
          <w:szCs w:val="18"/>
          <w:color w:val="auto"/>
        </w:rPr>
        <w:t>.</w:t>
      </w:r>
    </w:p>
    <w:p>
      <w:pPr>
        <w:spacing w:after="0" w:line="216" w:lineRule="exact"/>
        <w:rPr>
          <w:sz w:val="20"/>
          <w:szCs w:val="20"/>
          <w:color w:val="auto"/>
        </w:rPr>
      </w:pPr>
    </w:p>
    <w:p>
      <w:pPr>
        <w:jc w:val="both"/>
        <w:ind w:firstLine="2489"/>
        <w:spacing w:after="0" w:line="259" w:lineRule="auto"/>
        <w:tabs>
          <w:tab w:leader="none" w:pos="3349" w:val="left"/>
        </w:tabs>
        <w:numPr>
          <w:ilvl w:val="0"/>
          <w:numId w:val="83"/>
        </w:numPr>
        <w:rPr>
          <w:rFonts w:ascii="Arial" w:cs="Arial" w:eastAsia="Arial" w:hAnsi="Arial"/>
          <w:sz w:val="19"/>
          <w:szCs w:val="19"/>
          <w:color w:val="auto"/>
        </w:rPr>
      </w:pPr>
      <w:r>
        <w:rPr>
          <w:rFonts w:ascii="Arial" w:cs="Arial" w:eastAsia="Arial" w:hAnsi="Arial"/>
          <w:sz w:val="19"/>
          <w:szCs w:val="19"/>
          <w:color w:val="auto"/>
        </w:rPr>
        <w:t>FibroGen shall supply to Catalent, at FibroGen's cost, FibroGen-supplied Materials in quantities sufficient to meet FibroGen's requirements for Product. FibroGen shall deliver such items and associated Certificates of Analysis to the Catalent Facility no later than [ ] ([ ]) days (but not earlier than [ ] ([ ]) days) before the commencement of Manufacturing Services. Catalent shall use FibroGen-supplied Materials solely for performance of the Manufacturing Services. Catalent shall not transfer the FibroGen-supplied Materials, or otherwise provide access to the FibroGen-supplied Materials to any Third Party without the prior written consent of FibroGen. Catalent agrees that no express or implied licenses or other rights relating to the FibroGen-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4" w:name="page175"/>
    <w:bookmarkEnd w:id="174"/>
    <w:p>
      <w:pPr>
        <w:ind w:right="20" w:firstLine="8"/>
        <w:spacing w:after="0" w:line="298" w:lineRule="auto"/>
        <w:tabs>
          <w:tab w:leader="none" w:pos="23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supplied Materials are provided to Catalent under any Patents, trade secrets or other proprietary rights of FibroGen except to use such FibroGen-supplied Materials solely in accordance with this Agreement and the applicable Purchase Orders. Prior to delivery of any FibroGen-supplied Materials, FibroGen shall provide to Catalent a copy of all associated material safety data sheets, safe handling instructions and health and environmental information and any governmental certification or authorization that may be required under Applicable Laws relating to the API and Product, and thereafter shall provide promptly any update thereto. FibroGen shall be responsible at its expense for securing any necessary export, import or other governmental clearance, permit or certification required in respect of such supply. Additionally, FibroGen represents and warrants that all FibroGen-supplied Materials shall have been produced in accordance with Applicable Laws, shall comply with all applicable specifications, including the Specifications, shall not be adulterated, misbranded or mislabeled within the meaning of Applicable Laws, and shall have been provided in accordance with the terms and conditions of this Agreement.</w:t>
      </w:r>
    </w:p>
    <w:p>
      <w:pPr>
        <w:spacing w:after="0" w:line="171" w:lineRule="exact"/>
        <w:rPr>
          <w:sz w:val="20"/>
          <w:szCs w:val="20"/>
          <w:color w:val="auto"/>
        </w:rPr>
      </w:pPr>
    </w:p>
    <w:p>
      <w:pPr>
        <w:jc w:val="both"/>
        <w:ind w:firstLine="2489"/>
        <w:spacing w:after="0" w:line="242" w:lineRule="auto"/>
        <w:tabs>
          <w:tab w:leader="none" w:pos="33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Catalent shall inspect all FibroGen-supplied Materials received to verify their identity. Unless otherwise expressly required by the Specifications or pursuant to Attachment A, Catalent shall have no obligation to test Fibrogen-supplied Materials it receives to confirm that they meet the associated specifications, certificate of analysis or otherwise; but in the event that Catalent detects a nonconformity with the Specifications, Catalent shall give FibroGen prompt notice of such nonconformity. Catalent shall not be liable for any defect in FibroGen-supplied Materials, or in Product as a result of FibroGen-supplied Materials not meeting the associated specifications (“</w:t>
      </w:r>
      <w:r>
        <w:rPr>
          <w:rFonts w:ascii="Arial" w:cs="Arial" w:eastAsia="Arial" w:hAnsi="Arial"/>
          <w:sz w:val="20"/>
          <w:szCs w:val="20"/>
          <w:b w:val="1"/>
          <w:bCs w:val="1"/>
          <w:color w:val="auto"/>
        </w:rPr>
        <w:t>Non-Conforming FibroGen-supplied Materials</w:t>
      </w:r>
      <w:r>
        <w:rPr>
          <w:rFonts w:ascii="Arial" w:cs="Arial" w:eastAsia="Arial" w:hAnsi="Arial"/>
          <w:sz w:val="20"/>
          <w:szCs w:val="20"/>
          <w:color w:val="auto"/>
        </w:rPr>
        <w:t>”), unless Catalent did not perform the foregoing obligations in accordance with the Specifications. Catalent shall follow FibroGen's reasonable written instructions in respect of return or disposal of Non-Conforming FibroGen-supplied Materials [ ].</w:t>
      </w:r>
    </w:p>
    <w:p>
      <w:pPr>
        <w:spacing w:after="0" w:line="197" w:lineRule="exact"/>
        <w:rPr>
          <w:rFonts w:ascii="Arial" w:cs="Arial" w:eastAsia="Arial" w:hAnsi="Arial"/>
          <w:sz w:val="20"/>
          <w:szCs w:val="20"/>
          <w:color w:val="auto"/>
        </w:rPr>
      </w:pPr>
    </w:p>
    <w:p>
      <w:pPr>
        <w:jc w:val="both"/>
        <w:ind w:firstLine="2489"/>
        <w:spacing w:after="0" w:line="274" w:lineRule="auto"/>
        <w:tabs>
          <w:tab w:leader="none" w:pos="33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FibroGen shall retain title to FibroGen-supplied Materials at all times (including while at the Catalent Facility and in transit) and shall bear the risk of loss of any such FibroGen-supplied Materials. FibroGen shall obtain and maintain insurance for such items while at the Catalent Facility and in transit to and from any Catalent Facility. Catalent shall not reverse engineer, attempt to determine the structure or chemical composition of any of the FibroGen-supplied Materials, or make any modifications or derivatives of the FibroGen-supplied Materials, except as expressly allowed under each Purchase Order. Upon completion of all Manufacturing Services with respect to specific FibroGen-supplied Materials, or earlier upon FibroGen's request, Catalent shall return all FibroGen-supplied Materials provided hereunder to FibroGen, or at FibroGen's option, destroy (with certification of disposition)[ ].</w:t>
      </w:r>
    </w:p>
    <w:p>
      <w:pPr>
        <w:spacing w:after="0" w:line="169" w:lineRule="exact"/>
        <w:rPr>
          <w:rFonts w:ascii="Arial" w:cs="Arial" w:eastAsia="Arial" w:hAnsi="Arial"/>
          <w:sz w:val="18"/>
          <w:szCs w:val="18"/>
          <w:color w:val="auto"/>
        </w:rPr>
      </w:pPr>
    </w:p>
    <w:p>
      <w:pPr>
        <w:jc w:val="both"/>
        <w:ind w:firstLine="2489"/>
        <w:spacing w:after="0" w:line="246" w:lineRule="auto"/>
        <w:tabs>
          <w:tab w:leader="none" w:pos="33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FibroGen will not release any Batch of Product if the required certificates of conformance indicate that Product does not comply with the Specifications. All Product delivered to FibroGen by Catalent shall be held, used and disposed of by or on behalf of FibroGen in accordance with Applicable Laws, and FibroGen will otherwise comply with Applicable Laws relating to FibroGen's performance under this Agreement.</w:t>
      </w:r>
    </w:p>
    <w:p>
      <w:pPr>
        <w:spacing w:after="0" w:line="192"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Manufacturing Standards.</w:t>
      </w:r>
      <w:r>
        <w:rPr>
          <w:rFonts w:ascii="Arial" w:cs="Arial" w:eastAsia="Arial" w:hAnsi="Arial"/>
          <w:sz w:val="20"/>
          <w:szCs w:val="20"/>
          <w:color w:val="auto"/>
        </w:rPr>
        <w:t xml:space="preserve"> Catalent shall manufacture all Product in a professional manner and in accordance with Applicable Law and in compliance with the terms and conditions of the applicable Purchase Order, Specifications, this Agreement, and the Quality Agreement.</w:t>
      </w:r>
    </w:p>
    <w:p>
      <w:pPr>
        <w:spacing w:after="0" w:line="186"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Documentation for Manufacture of Product</w:t>
      </w:r>
      <w:r>
        <w:rPr>
          <w:rFonts w:ascii="Arial" w:cs="Arial" w:eastAsia="Arial" w:hAnsi="Arial"/>
          <w:sz w:val="19"/>
          <w:szCs w:val="19"/>
          <w:color w:val="auto"/>
        </w:rPr>
        <w:t>. Catalent shall keep complete, accurate accounts, notes, data and records pertaining to the manufacture, processing, testing, packaging and storage of the Product, including without limitation (a) Executed Batch Records for Product manufactured in accordance with cGMP and (b) any other records required to be maintained under the Quality Agreement, or Applicable Laws. Catalent shall retain all such records for a period as set forth in the Quality Agreement, and shall provide such records to FibroGen upon reasonable advance notice. Catalent shall notify FibroGen in writing prior to the destruction of</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5" w:name="page176"/>
    <w:bookmarkEnd w:id="175"/>
    <w:p>
      <w:pPr>
        <w:ind w:right="20" w:firstLine="8"/>
        <w:spacing w:after="0" w:line="298" w:lineRule="auto"/>
        <w:tabs>
          <w:tab w:leader="none" w:pos="23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any records retained under this Section and, at FibroGen's request, shall transfer such records to FibroGen at FibroGen's reasonable expense.</w:t>
      </w:r>
    </w:p>
    <w:p>
      <w:pPr>
        <w:spacing w:after="0" w:line="239"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Analytical Testing</w:t>
      </w:r>
      <w:r>
        <w:rPr>
          <w:rFonts w:ascii="Arial" w:cs="Arial" w:eastAsia="Arial" w:hAnsi="Arial"/>
          <w:sz w:val="19"/>
          <w:szCs w:val="19"/>
          <w:color w:val="auto"/>
        </w:rPr>
        <w:t>. Catalent may designate a Subcontractor in accordance with Section 3.7, to perform the analytical testing on Raw Materials, Products, intermediates, and all other materials used in the Manufacturing Process as set forth in the current Master Batch Records, current Specifications, and/or as otherwise agreed in a signed writing by Catalent and FibroGen.</w:t>
      </w:r>
    </w:p>
    <w:p>
      <w:pPr>
        <w:spacing w:after="0" w:line="170" w:lineRule="exact"/>
        <w:rPr>
          <w:sz w:val="20"/>
          <w:szCs w:val="20"/>
          <w:color w:val="auto"/>
        </w:rPr>
      </w:pPr>
    </w:p>
    <w:p>
      <w:pPr>
        <w:jc w:val="both"/>
        <w:ind w:firstLine="827"/>
        <w:spacing w:after="0" w:line="27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FibroGen-supplied Materials and Raw Materials Storage</w:t>
      </w:r>
      <w:r>
        <w:rPr>
          <w:rFonts w:ascii="Arial" w:cs="Arial" w:eastAsia="Arial" w:hAnsi="Arial"/>
          <w:sz w:val="18"/>
          <w:szCs w:val="18"/>
          <w:color w:val="auto"/>
        </w:rPr>
        <w:t>. As part of the Manufacturing Services, Catalent shall ensure that all, FibroGen-supplied Materials and Raw Materials that are to be used in the manufacture of Product, as well as all Products, intermediates, and all other materials used in the Manufacturing Process in Catalent's control, are stored in accordance with the terms and conditions of this Agreement, the Specifications or the MBR (as applicable), retest date letters (reference standard), the Quality Agreement, all Applicable Law, and/or as otherwise mutually agreed to in a signed writing by Catalent and FibroGen, at no additional cost[ ].</w:t>
      </w:r>
    </w:p>
    <w:p>
      <w:pPr>
        <w:spacing w:after="0" w:line="165" w:lineRule="exact"/>
        <w:rPr>
          <w:sz w:val="20"/>
          <w:szCs w:val="20"/>
          <w:color w:val="auto"/>
        </w:rPr>
      </w:pPr>
    </w:p>
    <w:p>
      <w:pPr>
        <w:jc w:val="both"/>
        <w:ind w:firstLine="827"/>
        <w:spacing w:after="0" w:line="259"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Approval of Subcontracting</w:t>
      </w:r>
      <w:r>
        <w:rPr>
          <w:rFonts w:ascii="Arial" w:cs="Arial" w:eastAsia="Arial" w:hAnsi="Arial"/>
          <w:sz w:val="19"/>
          <w:szCs w:val="19"/>
          <w:color w:val="auto"/>
        </w:rPr>
        <w:t>. Catalent shall not subcontract, sublicense or otherwise delegate any material obligations under this Agreement without FibroGen's prior written approval. All Subcontractors shall have entered into agreements with Catalent to enable Catalent to comply with all obligations hereunder relating to performance of Manufacturing Services hereunder, including without limitation, obligations relating to FibroGen Confidential Information and FibroGen Intellectual Property. FibroGen may also approve certain Catalent Affiliates to perform subcontracted work, and such Catalent Affiliates who are so approved and identified on the Purchase Order may perform the subcontracted work as described in such Purchase Order.</w:t>
      </w:r>
    </w:p>
    <w:p>
      <w:pPr>
        <w:spacing w:after="0" w:line="179"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Key Performance Indicators</w:t>
      </w:r>
      <w:r>
        <w:rPr>
          <w:rFonts w:ascii="Arial" w:cs="Arial" w:eastAsia="Arial" w:hAnsi="Arial"/>
          <w:sz w:val="19"/>
          <w:szCs w:val="19"/>
          <w:color w:val="auto"/>
        </w:rPr>
        <w:t>. FibroGen and Catalent (through the JMC) shall set targets in writing for performance and minimum standards where applicable, for each of the Key Performance Indicators, and the actual performance versus targets will be measured, with the understanding and agreement by the Parties that such KPIs shall be set for tracking purposes only, with no obligations on Catalent to meet them, nor consequences for failure to meet them. All such changes to the KPIs or the review and assessment shall be recorded in writing. The Parties shall supply each other with appropriate data to calculate the KPIs.</w:t>
      </w:r>
    </w:p>
    <w:p>
      <w:pPr>
        <w:spacing w:after="0" w:line="181"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Joint Manufacturing Committee</w:t>
      </w:r>
      <w:r>
        <w:rPr>
          <w:rFonts w:ascii="Arial" w:cs="Arial" w:eastAsia="Arial" w:hAnsi="Arial"/>
          <w:sz w:val="19"/>
          <w:szCs w:val="19"/>
          <w:color w:val="auto"/>
        </w:rPr>
        <w:t>. After the Effective Date, Catalent and FibroGen shall establish a joint steering committee (the “</w:t>
      </w:r>
      <w:r>
        <w:rPr>
          <w:rFonts w:ascii="Arial" w:cs="Arial" w:eastAsia="Arial" w:hAnsi="Arial"/>
          <w:sz w:val="19"/>
          <w:szCs w:val="19"/>
          <w:b w:val="1"/>
          <w:bCs w:val="1"/>
          <w:color w:val="auto"/>
        </w:rPr>
        <w:t>Joint Manufacturing Committee</w:t>
      </w:r>
      <w:r>
        <w:rPr>
          <w:rFonts w:ascii="Arial" w:cs="Arial" w:eastAsia="Arial" w:hAnsi="Arial"/>
          <w:sz w:val="19"/>
          <w:szCs w:val="19"/>
          <w:color w:val="auto"/>
        </w:rPr>
        <w:t>” or “</w:t>
      </w:r>
      <w:r>
        <w:rPr>
          <w:rFonts w:ascii="Arial" w:cs="Arial" w:eastAsia="Arial" w:hAnsi="Arial"/>
          <w:sz w:val="19"/>
          <w:szCs w:val="19"/>
          <w:b w:val="1"/>
          <w:bCs w:val="1"/>
          <w:color w:val="auto"/>
        </w:rPr>
        <w:t>JMC</w:t>
      </w:r>
      <w:r>
        <w:rPr>
          <w:rFonts w:ascii="Arial" w:cs="Arial" w:eastAsia="Arial" w:hAnsi="Arial"/>
          <w:sz w:val="19"/>
          <w:szCs w:val="19"/>
          <w:color w:val="auto"/>
        </w:rPr>
        <w:t>”) consisting of at least [ ] ([ ]) members appointed by each Party meeting biannually or as otherwise scheduled. The JMC shall be responsible for reviewing the ongoing relationship of the Parties, considering and attempting to achieve resolution of any disputes referred to it pursuant to Section 18.8 hereof and addressing such other matters as the Parties may mutually agree. For the avoidance of doubt, the JMC is not authorized to amend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ACCEPTANCE/REJECTION; DELIVERY</w:t>
      </w:r>
    </w:p>
    <w:p>
      <w:pPr>
        <w:spacing w:after="0" w:line="200"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Batch Records and Data; Catalent Internal Release</w:t>
      </w:r>
      <w:r>
        <w:rPr>
          <w:rFonts w:ascii="Arial" w:cs="Arial" w:eastAsia="Arial" w:hAnsi="Arial"/>
          <w:sz w:val="16"/>
          <w:szCs w:val="16"/>
          <w:color w:val="auto"/>
        </w:rPr>
        <w:t>.</w:t>
      </w:r>
    </w:p>
    <w:p>
      <w:pPr>
        <w:spacing w:after="0" w:line="216"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Except for Batches that are being investigated or retested, at the time of Catalent Internal Release to FibroGen (or Designee), each Batch of Product shall have no more than [ ] ([ ]) calendar days elapsed from the start of the then-current approved shelf life. Unless otherwise agreed to by the Parties in writing, after Catalent completes Processing of a Batch or Blend, Catalent shall provide FibroGen with copies of Batch records prepared in accordance with the Specifications and allow FibroGen [ ] ([ ]) business day review period to confirm the Batch records meet the requirements set forth in the Specifications. Catalent shall also provide FibroGen or its</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6" w:name="page177"/>
    <w:bookmarkEnd w:id="176"/>
    <w:p>
      <w:pPr>
        <w:ind w:right="20" w:firstLine="8"/>
        <w:spacing w:after="0" w:line="298" w:lineRule="auto"/>
        <w:tabs>
          <w:tab w:leader="none" w:pos="23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Designee with Catalent’s certificate of analysis for such Batch. Issuance of a certificate of conformance/analysis by Catalent constitutes release of the Batch by Catalent (“</w:t>
      </w:r>
      <w:r>
        <w:rPr>
          <w:rFonts w:ascii="Arial" w:cs="Arial" w:eastAsia="Arial" w:hAnsi="Arial"/>
          <w:sz w:val="19"/>
          <w:szCs w:val="19"/>
          <w:b w:val="1"/>
          <w:bCs w:val="1"/>
          <w:color w:val="auto"/>
        </w:rPr>
        <w:t>Catalent Internal Release</w:t>
      </w:r>
      <w:r>
        <w:rPr>
          <w:rFonts w:ascii="Arial" w:cs="Arial" w:eastAsia="Arial" w:hAnsi="Arial"/>
          <w:sz w:val="19"/>
          <w:szCs w:val="19"/>
          <w:color w:val="auto"/>
        </w:rPr>
        <w:t>”). FibroGen shall be responsible for final release of Product to the market.</w:t>
      </w:r>
    </w:p>
    <w:p>
      <w:pPr>
        <w:spacing w:after="0" w:line="153"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FibroGen Review Period; Acceptance and Rejection Procedure</w:t>
      </w:r>
      <w:r>
        <w:rPr>
          <w:rFonts w:ascii="Arial" w:cs="Arial" w:eastAsia="Arial" w:hAnsi="Arial"/>
          <w:sz w:val="16"/>
          <w:szCs w:val="16"/>
          <w:color w:val="auto"/>
        </w:rPr>
        <w:t>.</w:t>
      </w:r>
    </w:p>
    <w:p>
      <w:pPr>
        <w:spacing w:after="0" w:line="216" w:lineRule="exact"/>
        <w:rPr>
          <w:sz w:val="20"/>
          <w:szCs w:val="20"/>
          <w:color w:val="auto"/>
        </w:rPr>
      </w:pPr>
    </w:p>
    <w:p>
      <w:pPr>
        <w:jc w:val="both"/>
        <w:ind w:firstLine="1654"/>
        <w:spacing w:after="0" w:line="255"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Testing; Rejection</w:t>
      </w:r>
      <w:r>
        <w:rPr>
          <w:rFonts w:ascii="Arial" w:cs="Arial" w:eastAsia="Arial" w:hAnsi="Arial"/>
          <w:sz w:val="19"/>
          <w:szCs w:val="19"/>
          <w:color w:val="auto"/>
        </w:rPr>
        <w:t>. Catalent will complete Catalent Internal Release and promptly provide FibroGen with copies of all relevant components of the Batch Documentation Package (including but not limited to: (i) a Certificate of Analysis; (ii) a Certificate of Compliance; (iii) TSE/BSE; (iv) Material Safety Data Sheets (MSDS); and (v) analytical test results specified in the Quality Agreement). Catalent shall also if requested by FibroGen provide Product samples, and thereafter, FibroGen will, no later than [ ] (“</w:t>
      </w:r>
      <w:r>
        <w:rPr>
          <w:rFonts w:ascii="Arial" w:cs="Arial" w:eastAsia="Arial" w:hAnsi="Arial"/>
          <w:sz w:val="19"/>
          <w:szCs w:val="19"/>
          <w:b w:val="1"/>
          <w:bCs w:val="1"/>
          <w:color w:val="auto"/>
        </w:rPr>
        <w:t>FibroGen</w:t>
      </w:r>
      <w:r>
        <w:rPr>
          <w:rFonts w:ascii="Arial" w:cs="Arial" w:eastAsia="Arial" w:hAnsi="Arial"/>
          <w:sz w:val="19"/>
          <w:szCs w:val="19"/>
          <w:color w:val="auto"/>
        </w:rPr>
        <w:t xml:space="preserve"> </w:t>
      </w:r>
      <w:r>
        <w:rPr>
          <w:rFonts w:ascii="Arial" w:cs="Arial" w:eastAsia="Arial" w:hAnsi="Arial"/>
          <w:sz w:val="19"/>
          <w:szCs w:val="19"/>
          <w:b w:val="1"/>
          <w:bCs w:val="1"/>
          <w:color w:val="auto"/>
        </w:rPr>
        <w:t>Review Period</w:t>
      </w:r>
      <w:r>
        <w:rPr>
          <w:rFonts w:ascii="Arial" w:cs="Arial" w:eastAsia="Arial" w:hAnsi="Arial"/>
          <w:sz w:val="19"/>
          <w:szCs w:val="19"/>
          <w:color w:val="auto"/>
        </w:rPr>
        <w:t>”), notify Catalent whether the Batch conforms to the Specifications. Upon receipt of notice from FibroGen that a Batch meets</w:t>
      </w:r>
      <w:r>
        <w:rPr>
          <w:rFonts w:ascii="Arial" w:cs="Arial" w:eastAsia="Arial" w:hAnsi="Arial"/>
          <w:sz w:val="19"/>
          <w:szCs w:val="19"/>
          <w:b w:val="1"/>
          <w:bCs w:val="1"/>
          <w:color w:val="auto"/>
        </w:rPr>
        <w:t xml:space="preserve"> </w:t>
      </w:r>
      <w:r>
        <w:rPr>
          <w:rFonts w:ascii="Arial" w:cs="Arial" w:eastAsia="Arial" w:hAnsi="Arial"/>
          <w:sz w:val="19"/>
          <w:szCs w:val="19"/>
          <w:color w:val="auto"/>
        </w:rPr>
        <w:t>the Specifications, or upon failure of FibroGen to respond by the end of the FibroGen Review Period, the Batch shall be deemed accepted by FibroGen and FibroGen shall have no right to reject such Batch, except as set forth in Section 4.2.4 (“</w:t>
      </w:r>
      <w:r>
        <w:rPr>
          <w:rFonts w:ascii="Arial" w:cs="Arial" w:eastAsia="Arial" w:hAnsi="Arial"/>
          <w:sz w:val="19"/>
          <w:szCs w:val="19"/>
          <w:b w:val="1"/>
          <w:bCs w:val="1"/>
          <w:color w:val="auto"/>
        </w:rPr>
        <w:t>FibroGen Acceptance</w:t>
      </w:r>
      <w:r>
        <w:rPr>
          <w:rFonts w:ascii="Arial" w:cs="Arial" w:eastAsia="Arial" w:hAnsi="Arial"/>
          <w:sz w:val="19"/>
          <w:szCs w:val="19"/>
          <w:color w:val="auto"/>
        </w:rPr>
        <w:t>”). If FibroGen notifies Catalent in writing (a “</w:t>
      </w:r>
      <w:r>
        <w:rPr>
          <w:rFonts w:ascii="Arial" w:cs="Arial" w:eastAsia="Arial" w:hAnsi="Arial"/>
          <w:sz w:val="19"/>
          <w:szCs w:val="19"/>
          <w:b w:val="1"/>
          <w:bCs w:val="1"/>
          <w:color w:val="auto"/>
        </w:rPr>
        <w:t>Complaint</w:t>
      </w:r>
      <w:r>
        <w:rPr>
          <w:rFonts w:ascii="Arial" w:cs="Arial" w:eastAsia="Arial" w:hAnsi="Arial"/>
          <w:sz w:val="19"/>
          <w:szCs w:val="19"/>
          <w:color w:val="auto"/>
        </w:rPr>
        <w:t>”) that a Batch does not conform to the Specifications or otherwise does not meet the warranty set forth in Section 11.2.6 (“</w:t>
      </w:r>
      <w:r>
        <w:rPr>
          <w:rFonts w:ascii="Arial" w:cs="Arial" w:eastAsia="Arial" w:hAnsi="Arial"/>
          <w:sz w:val="19"/>
          <w:szCs w:val="19"/>
          <w:b w:val="1"/>
          <w:bCs w:val="1"/>
          <w:color w:val="auto"/>
        </w:rPr>
        <w:t>Non-Conforming Product</w:t>
      </w:r>
      <w:r>
        <w:rPr>
          <w:rFonts w:ascii="Arial" w:cs="Arial" w:eastAsia="Arial" w:hAnsi="Arial"/>
          <w:sz w:val="19"/>
          <w:szCs w:val="19"/>
          <w:color w:val="auto"/>
        </w:rPr>
        <w:t>”), and [ ]then Catalent shall conduct an appropriate investigation to determine whether Catalent agrees with FibroGen that Product is Non-Conforming Product and to determine the cause of any nonconformity. If Catalent agrees that Product is Non-Conforming Product and [ ], then Section 4.2.3. shall apply. Catalent shall cooperate with FibroGen in determining the cause of any Non-Conforming Product, including quality problems involving a Product, identifying corrective/preventive action and ensuring the implementation and effectiveness thereof.</w:t>
      </w:r>
    </w:p>
    <w:p>
      <w:pPr>
        <w:spacing w:after="0" w:line="183" w:lineRule="exact"/>
        <w:rPr>
          <w:sz w:val="20"/>
          <w:szCs w:val="20"/>
          <w:color w:val="auto"/>
        </w:rPr>
      </w:pPr>
    </w:p>
    <w:p>
      <w:pPr>
        <w:jc w:val="both"/>
        <w:ind w:firstLine="1654"/>
        <w:spacing w:after="0" w:line="257"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Discrepant Results</w:t>
      </w:r>
      <w:r>
        <w:rPr>
          <w:rFonts w:ascii="Arial" w:cs="Arial" w:eastAsia="Arial" w:hAnsi="Arial"/>
          <w:sz w:val="19"/>
          <w:szCs w:val="19"/>
          <w:color w:val="auto"/>
        </w:rPr>
        <w:t>. If the Parties disagree as to whether Product is Non-Conforming Product and/or whether the cause of the nonconformity is Non-Conforming Processing, and this is not resolved within [ ] ([ ]) days of the Complaint date, the Parties shall cause a mutually acceptable independent Third Party nominated by the JMC to review records, test data and to perform comparative tests and/or analyses on samples of the alleged Non-Conforming Product and its components, including FibroGen-supplied Materials. The independent Third Party's results as to whether or not Product is Non-Conforming Product and the cause of any nonconformity shall be final and binding. Unless otherwise agreed by the Parties in writing, the costs associated with such testing and review shall be borne by Catalent if Product is Non-Conforming Product attributable to Non-Conforming Processing, by FibroGen if Product is deemed Conforming, and shared equally between the Parties in all other circumstances. [ ]</w:t>
      </w:r>
    </w:p>
    <w:p>
      <w:pPr>
        <w:spacing w:after="0" w:line="181" w:lineRule="exact"/>
        <w:rPr>
          <w:sz w:val="20"/>
          <w:szCs w:val="20"/>
          <w:color w:val="auto"/>
        </w:rPr>
      </w:pPr>
    </w:p>
    <w:p>
      <w:pPr>
        <w:jc w:val="both"/>
        <w:ind w:firstLine="1654"/>
        <w:spacing w:after="0" w:line="260" w:lineRule="auto"/>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Non-Conforming Processing</w:t>
      </w:r>
      <w:r>
        <w:rPr>
          <w:rFonts w:ascii="Arial" w:cs="Arial" w:eastAsia="Arial" w:hAnsi="Arial"/>
          <w:sz w:val="19"/>
          <w:szCs w:val="19"/>
          <w:color w:val="auto"/>
        </w:rPr>
        <w:t>. At FibroGen's direction and option, Catalent shall either (A) Process, [ ] another Batch of Product as a replacement for any Batch of Non-Conforming Product attributable to Non-Conforming Processing, [ ], or</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 credit or refund FibroGen for such rejected Batch. For the avoidance of doubt, FibroGen shall be liable to pay for either the rejected Batch(es) or the replacement Batch(es), but not both. [ ]</w:t>
      </w:r>
    </w:p>
    <w:p>
      <w:pPr>
        <w:spacing w:after="0" w:line="192" w:lineRule="exact"/>
        <w:rPr>
          <w:sz w:val="20"/>
          <w:szCs w:val="20"/>
          <w:color w:val="auto"/>
        </w:rPr>
      </w:pPr>
    </w:p>
    <w:p>
      <w:pPr>
        <w:jc w:val="both"/>
        <w:ind w:firstLine="1654"/>
        <w:spacing w:after="0" w:line="276"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Latent Defects</w:t>
      </w:r>
      <w:r>
        <w:rPr>
          <w:rFonts w:ascii="Arial" w:cs="Arial" w:eastAsia="Arial" w:hAnsi="Arial"/>
          <w:sz w:val="18"/>
          <w:szCs w:val="18"/>
          <w:color w:val="auto"/>
        </w:rPr>
        <w:t>. If any Product is subsequently found to contain a Latent Defect (as defined below) after FibroGen's receipt of the applicable Batch and Batch Documentation Package and such Product has not yet reached [ ], then FibroGen may bring a Complaint to Catalent for Non-Conforming Product, [ ], and Sections 4.2.1, 4.2.2 and 4.2.3, shall apply. The Parties will work together in good faith to determine the origin of the Latent Defect, including by review of any applicable reserve samples of the applicable Batch of Product retained at Catalent and through Section 4.2.3, which shall apply if there is a dispute between the Parties regarding whether a Latent Defect exists or what the origin of the defect is. For purposes of this Section 4.2.4, “</w:t>
      </w:r>
      <w:r>
        <w:rPr>
          <w:rFonts w:ascii="Arial" w:cs="Arial" w:eastAsia="Arial" w:hAnsi="Arial"/>
          <w:sz w:val="18"/>
          <w:szCs w:val="18"/>
          <w:b w:val="1"/>
          <w:bCs w:val="1"/>
          <w:color w:val="auto"/>
        </w:rPr>
        <w:t>Latent Defect</w:t>
      </w:r>
      <w:r>
        <w:rPr>
          <w:rFonts w:ascii="Arial" w:cs="Arial" w:eastAsia="Arial" w:hAnsi="Arial"/>
          <w:sz w:val="18"/>
          <w:szCs w:val="18"/>
          <w:color w:val="auto"/>
        </w:rPr>
        <w:t>” means [ ].</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7" w:name="page178"/>
    <w:bookmarkEnd w:id="177"/>
    <w:p>
      <w:pPr>
        <w:ind w:right="20" w:firstLine="8"/>
        <w:spacing w:after="0" w:line="298" w:lineRule="auto"/>
        <w:tabs>
          <w:tab w:leader="none" w:pos="23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Delivery Terms; Storage</w:t>
      </w:r>
      <w:r>
        <w:rPr>
          <w:rFonts w:ascii="Arial" w:cs="Arial" w:eastAsia="Arial" w:hAnsi="Arial"/>
          <w:sz w:val="18"/>
          <w:szCs w:val="18"/>
          <w:color w:val="auto"/>
        </w:rPr>
        <w:t>. Promptly following Catalent's Internal Release of Product (which includes FibroGen's right of</w:t>
      </w:r>
    </w:p>
    <w:p>
      <w:pPr>
        <w:spacing w:after="0" w:line="16"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 ]) business days review as set forth in Section 4.1), Catalent shall deliver Product to FibroGen or Designee by making Product available</w:t>
      </w:r>
    </w:p>
    <w:p>
      <w:pPr>
        <w:spacing w:after="0" w:line="22" w:lineRule="exact"/>
        <w:rPr>
          <w:rFonts w:ascii="Arial" w:cs="Arial" w:eastAsia="Arial" w:hAnsi="Arial"/>
          <w:sz w:val="18"/>
          <w:szCs w:val="18"/>
          <w:color w:val="auto"/>
        </w:rPr>
      </w:pPr>
    </w:p>
    <w:p>
      <w:pPr>
        <w:jc w:val="both"/>
        <w:ind w:firstLine="8"/>
        <w:spacing w:after="0" w:line="270" w:lineRule="auto"/>
        <w:tabs>
          <w:tab w:leader="none" w:pos="1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(Incoterms 2010) Catalent Facility (“</w:t>
      </w:r>
      <w:r>
        <w:rPr>
          <w:rFonts w:ascii="Arial" w:cs="Arial" w:eastAsia="Arial" w:hAnsi="Arial"/>
          <w:sz w:val="18"/>
          <w:szCs w:val="18"/>
          <w:b w:val="1"/>
          <w:bCs w:val="1"/>
          <w:color w:val="auto"/>
        </w:rPr>
        <w:t>Delivery</w:t>
      </w:r>
      <w:r>
        <w:rPr>
          <w:rFonts w:ascii="Arial" w:cs="Arial" w:eastAsia="Arial" w:hAnsi="Arial"/>
          <w:sz w:val="18"/>
          <w:szCs w:val="18"/>
          <w:color w:val="auto"/>
        </w:rPr>
        <w:t>”) and shall invoice FibroGen. Sole and exclusive title to Product shall always remain with FibroGen; and risk of its loss shall transfer to FibroGen upon Catalent's tender of Delivery. In the event Catalent arranges logistics services for FibroGen at FibroGen's request, such services are performed by Catalent as a convenience to FibroGen only and do not alter the terms and limitations set forth in this Section 4.3. If the Purchase Order does not specify disposition of Product, then Catalent shall store such Product in accordance with the storage requirements (as defined in the Specifications and the MBR as applicable and this Agreement) until such time as FibroGen requests shipment or other disposition or use of such Product. If Catalent provides storage services (as outlined in Section 4.4 below), title to such items shall pass to FibroGen upon transfer to storage. Catalent shall not be responsible for Product in transit, including any cost of insurance or transport fee for Product, or any risk associated with transit or customs delays, storage and handling.</w:t>
      </w:r>
    </w:p>
    <w:p>
      <w:pPr>
        <w:spacing w:after="0" w:line="174"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Product Storage Fees</w:t>
      </w:r>
      <w:r>
        <w:rPr>
          <w:rFonts w:ascii="Arial" w:cs="Arial" w:eastAsia="Arial" w:hAnsi="Arial"/>
          <w:sz w:val="20"/>
          <w:szCs w:val="20"/>
          <w:color w:val="auto"/>
        </w:rPr>
        <w:t>. If FibroGen fails to take possession of any Product within [ ] ([ ]) business days of the scheduled Delivery Date, Catalent shall store such Product and have the right to invoice FibroGen monthly following such scheduled Delivery Date for reasonable administration and storage costs (“</w:t>
      </w:r>
      <w:r>
        <w:rPr>
          <w:rFonts w:ascii="Arial" w:cs="Arial" w:eastAsia="Arial" w:hAnsi="Arial"/>
          <w:sz w:val="20"/>
          <w:szCs w:val="20"/>
          <w:b w:val="1"/>
          <w:bCs w:val="1"/>
          <w:color w:val="auto"/>
        </w:rPr>
        <w:t>Product Storage Fees</w:t>
      </w:r>
      <w:r>
        <w:rPr>
          <w:rFonts w:ascii="Arial" w:cs="Arial" w:eastAsia="Arial" w:hAnsi="Arial"/>
          <w:sz w:val="20"/>
          <w:szCs w:val="20"/>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jc w:val="right"/>
              <w:ind w:right="561"/>
              <w:spacing w:after="0"/>
              <w:rPr>
                <w:sz w:val="20"/>
                <w:szCs w:val="20"/>
                <w:color w:val="auto"/>
              </w:rPr>
            </w:pPr>
            <w:r>
              <w:rPr>
                <w:rFonts w:ascii="Arial" w:cs="Arial" w:eastAsia="Arial" w:hAnsi="Arial"/>
                <w:sz w:val="20"/>
                <w:szCs w:val="20"/>
                <w:color w:val="auto"/>
              </w:rPr>
              <w:t>4.5</w:t>
            </w:r>
          </w:p>
        </w:tc>
        <w:tc>
          <w:tcPr>
            <w:tcW w:w="9680" w:type="dxa"/>
            <w:vAlign w:val="bottom"/>
            <w:gridSpan w:val="3"/>
          </w:tcPr>
          <w:p>
            <w:pPr>
              <w:jc w:val="right"/>
              <w:spacing w:after="0"/>
              <w:rPr>
                <w:sz w:val="20"/>
                <w:szCs w:val="20"/>
                <w:color w:val="auto"/>
              </w:rPr>
            </w:pPr>
            <w:r>
              <w:rPr>
                <w:rFonts w:ascii="Arial" w:cs="Arial" w:eastAsia="Arial" w:hAnsi="Arial"/>
                <w:sz w:val="20"/>
                <w:szCs w:val="20"/>
                <w:color w:val="auto"/>
                <w:w w:val="90"/>
              </w:rPr>
              <w:t>Bill and Hold. From time to time, at FibroGen's request the agreed Delivery Date of the Purchase Order may be extended</w:t>
            </w:r>
          </w:p>
        </w:tc>
      </w:tr>
      <w:tr>
        <w:trPr>
          <w:trHeight w:val="20"/>
        </w:trPr>
        <w:tc>
          <w:tcPr>
            <w:tcW w:w="1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4"/>
        </w:trPr>
        <w:tc>
          <w:tcPr>
            <w:tcW w:w="10380" w:type="dxa"/>
            <w:vAlign w:val="bottom"/>
            <w:gridSpan w:val="3"/>
          </w:tcPr>
          <w:p>
            <w:pPr>
              <w:spacing w:after="0"/>
              <w:rPr>
                <w:sz w:val="20"/>
                <w:szCs w:val="20"/>
                <w:color w:val="auto"/>
              </w:rPr>
            </w:pPr>
            <w:r>
              <w:rPr>
                <w:rFonts w:ascii="Arial" w:cs="Arial" w:eastAsia="Arial" w:hAnsi="Arial"/>
                <w:sz w:val="20"/>
                <w:szCs w:val="20"/>
                <w:color w:val="auto"/>
                <w:w w:val="92"/>
              </w:rPr>
              <w:t>under a bill and hold arrangement as more fully set forth below. For each such Batch of stored Product, FibroGen agrees that: [</w:t>
            </w:r>
          </w:p>
        </w:tc>
        <w:tc>
          <w:tcPr>
            <w:tcW w:w="1040" w:type="dxa"/>
            <w:vAlign w:val="bottom"/>
          </w:tcPr>
          <w:p>
            <w:pPr>
              <w:jc w:val="right"/>
              <w:ind w:right="501"/>
              <w:spacing w:after="0"/>
              <w:rPr>
                <w:sz w:val="20"/>
                <w:szCs w:val="20"/>
                <w:color w:val="auto"/>
              </w:rPr>
            </w:pPr>
            <w:r>
              <w:rPr>
                <w:rFonts w:ascii="Arial" w:cs="Arial" w:eastAsia="Arial" w:hAnsi="Arial"/>
                <w:sz w:val="20"/>
                <w:szCs w:val="20"/>
                <w:color w:val="auto"/>
              </w:rPr>
              <w:t>].</w:t>
            </w:r>
          </w:p>
        </w:tc>
      </w:tr>
    </w:tbl>
    <w:p>
      <w:pPr>
        <w:spacing w:after="0" w:line="18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PAYMENTS</w:t>
      </w:r>
    </w:p>
    <w:p>
      <w:pPr>
        <w:spacing w:after="0" w:line="200"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Compensation</w:t>
      </w:r>
      <w:r>
        <w:rPr>
          <w:rFonts w:ascii="Arial" w:cs="Arial" w:eastAsia="Arial" w:hAnsi="Arial"/>
          <w:sz w:val="18"/>
          <w:szCs w:val="18"/>
          <w:color w:val="auto"/>
        </w:rPr>
        <w:t>. Except as otherwise provided hereunder, Catalent shall not charge FibroGen for (a) [ ], or (b) any [ ];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 any Manufacturing Services, Products, or costs [ ].</w:t>
      </w:r>
    </w:p>
    <w:p>
      <w:pPr>
        <w:spacing w:after="0" w:line="200"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Fees; Invoicing</w:t>
      </w:r>
      <w:r>
        <w:rPr>
          <w:rFonts w:ascii="Arial" w:cs="Arial" w:eastAsia="Arial" w:hAnsi="Arial"/>
          <w:sz w:val="16"/>
          <w:szCs w:val="16"/>
          <w:color w:val="auto"/>
        </w:rPr>
        <w:t>. In consideration for Catalent performing Manufacturing Services and other services hereunder:</w:t>
      </w:r>
    </w:p>
    <w:p>
      <w:pPr>
        <w:spacing w:after="0" w:line="216" w:lineRule="exact"/>
        <w:rPr>
          <w:sz w:val="20"/>
          <w:szCs w:val="20"/>
          <w:color w:val="auto"/>
        </w:rPr>
      </w:pPr>
    </w:p>
    <w:p>
      <w:pPr>
        <w:jc w:val="both"/>
        <w:ind w:firstLine="1654"/>
        <w:spacing w:after="0" w:line="269"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Unit Pricing and Unit Pricing Increase</w:t>
      </w:r>
      <w:r>
        <w:rPr>
          <w:rFonts w:ascii="Arial" w:cs="Arial" w:eastAsia="Arial" w:hAnsi="Arial"/>
          <w:sz w:val="18"/>
          <w:szCs w:val="18"/>
          <w:color w:val="auto"/>
        </w:rPr>
        <w:t xml:space="preserve">. FibroGen shall pay Catalent the unit pricing for Product Delivered pursuant to this Agreement as set forth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(together with any subsequent updates pursuant to pricing, the “</w:t>
      </w:r>
      <w:r>
        <w:rPr>
          <w:rFonts w:ascii="Arial" w:cs="Arial" w:eastAsia="Arial" w:hAnsi="Arial"/>
          <w:sz w:val="18"/>
          <w:szCs w:val="18"/>
          <w:b w:val="1"/>
          <w:bCs w:val="1"/>
          <w:color w:val="auto"/>
        </w:rPr>
        <w:t>Unit Pricing</w:t>
      </w:r>
      <w:r>
        <w:rPr>
          <w:rFonts w:ascii="Arial" w:cs="Arial" w:eastAsia="Arial" w:hAnsi="Arial"/>
          <w:sz w:val="18"/>
          <w:szCs w:val="18"/>
          <w:color w:val="auto"/>
        </w:rPr>
        <w:t>”). Unit Pricing includes all fees for the Manufacturing Services, including, but not limited to, all packaging other than Special Packaging, storage of FibroGen-supplied Materials and Raw Materials, and release testing and other work to be performed as set forth in the Specifications, but excluding cost of API, Product Maintenance Services, or Other Services. The Unit Pricing shall be adjusted on an [ ] basis, effective on [ ] during the Term, upon [ ] ([ ]) days' prior written notice from Catalent to FibroGen, to reflect increases in, among other things, labor, utilities</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and overhead and shall be in an aggregate increased amount no greater than [ ]. In addition, price increases for Raw Materials referenced in Attachment D shall be passed through to FibroGen at the time of such price increase to Catalent if the price increase for the Raw Material is greater than [ ] percent ([ ]%) through an adjustment to the then prevailing Unit Pricing at the prices actually imposed by such Raw Materials suppliers.</w:t>
      </w:r>
    </w:p>
    <w:p>
      <w:pPr>
        <w:spacing w:after="0" w:line="195" w:lineRule="exact"/>
        <w:rPr>
          <w:sz w:val="20"/>
          <w:szCs w:val="20"/>
          <w:color w:val="auto"/>
        </w:rPr>
      </w:pPr>
    </w:p>
    <w:p>
      <w:pPr>
        <w:jc w:val="both"/>
        <w:ind w:firstLine="1654"/>
        <w:spacing w:after="0" w:line="250" w:lineRule="auto"/>
        <w:rPr>
          <w:sz w:val="20"/>
          <w:szCs w:val="20"/>
          <w:color w:val="auto"/>
        </w:rPr>
      </w:pPr>
      <w:r>
        <w:rPr>
          <w:rFonts w:ascii="Arial" w:cs="Arial" w:eastAsia="Arial" w:hAnsi="Arial"/>
          <w:sz w:val="20"/>
          <w:szCs w:val="20"/>
          <w:color w:val="auto"/>
        </w:rPr>
        <w:t xml:space="preserve">5.2.2 </w:t>
      </w:r>
      <w:r>
        <w:rPr>
          <w:rFonts w:ascii="Arial" w:cs="Arial" w:eastAsia="Arial" w:hAnsi="Arial"/>
          <w:sz w:val="20"/>
          <w:szCs w:val="20"/>
          <w:u w:val="single" w:color="auto"/>
          <w:color w:val="auto"/>
        </w:rPr>
        <w:t>Product Maintenance</w:t>
      </w:r>
      <w:r>
        <w:rPr>
          <w:rFonts w:ascii="Arial" w:cs="Arial" w:eastAsia="Arial" w:hAnsi="Arial"/>
          <w:sz w:val="20"/>
          <w:szCs w:val="20"/>
          <w:color w:val="auto"/>
        </w:rPr>
        <w:t xml:space="preserve">. FibroGen shall pay Catalent the annual fees for Product Maintenance Services set forth on </w:t>
      </w:r>
      <w:r>
        <w:rPr>
          <w:rFonts w:ascii="Arial" w:cs="Arial" w:eastAsia="Arial" w:hAnsi="Arial"/>
          <w:sz w:val="20"/>
          <w:szCs w:val="20"/>
          <w:u w:val="single" w:color="auto"/>
          <w:color w:val="auto"/>
        </w:rPr>
        <w:t>Attachment A</w:t>
      </w:r>
      <w:r>
        <w:rPr>
          <w:rFonts w:ascii="Arial" w:cs="Arial" w:eastAsia="Arial" w:hAnsi="Arial"/>
          <w:sz w:val="20"/>
          <w:szCs w:val="20"/>
          <w:color w:val="auto"/>
        </w:rPr>
        <w:t>. Catalent shall submit an invoice to FibroGen for such fees beginning upon the Effective Date and prorated for the calendar days remaining in the then current year, and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8" w:name="page179"/>
    <w:bookmarkEnd w:id="178"/>
    <w:p>
      <w:pPr>
        <w:ind w:right="20" w:firstLine="8"/>
        <w:spacing w:after="0" w:line="298" w:lineRule="auto"/>
        <w:tabs>
          <w:tab w:leader="none" w:pos="23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first day of each calendar year thereafter during the Term. All fees associated with Product Maintenance Services described in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are included in the annual fee described in </w:t>
      </w:r>
      <w:r>
        <w:rPr>
          <w:rFonts w:ascii="Arial" w:cs="Arial" w:eastAsia="Arial" w:hAnsi="Arial"/>
          <w:sz w:val="20"/>
          <w:szCs w:val="20"/>
          <w:u w:val="single" w:color="auto"/>
          <w:color w:val="auto"/>
        </w:rPr>
        <w:t>Attachment A</w:t>
      </w:r>
      <w:r>
        <w:rPr>
          <w:rFonts w:ascii="Arial" w:cs="Arial" w:eastAsia="Arial" w:hAnsi="Arial"/>
          <w:sz w:val="20"/>
          <w:szCs w:val="20"/>
          <w:color w:val="auto"/>
        </w:rPr>
        <w:t>.</w:t>
      </w:r>
    </w:p>
    <w:p>
      <w:pPr>
        <w:spacing w:after="0" w:line="177" w:lineRule="exact"/>
        <w:rPr>
          <w:sz w:val="20"/>
          <w:szCs w:val="20"/>
          <w:color w:val="auto"/>
        </w:rPr>
      </w:pPr>
    </w:p>
    <w:p>
      <w:pPr>
        <w:jc w:val="both"/>
        <w:ind w:firstLine="1654"/>
        <w:spacing w:after="0" w:line="282"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Other Fees that are not Product Maintenance Fees or Unit Pricing</w:t>
      </w:r>
      <w:r>
        <w:rPr>
          <w:rFonts w:ascii="Arial" w:cs="Arial" w:eastAsia="Arial" w:hAnsi="Arial"/>
          <w:sz w:val="18"/>
          <w:szCs w:val="18"/>
          <w:color w:val="auto"/>
        </w:rPr>
        <w:t>. Catalent shall provide quotes for all fees for services or costs. FibroGen shall pay Catalent for all other fees for services or costs approved in writing in advance by FibroGen explicitly set forth in this Agreement or a Purchase Order, including pursuant to Attachment C, 2.6 (Other Services), 4.4 (Product Storage Fees), 4.5 (Bill and Hold) fees, and any validation services. Catalent shall submit an invoice to FibroGen for such fees as and when appropriate.</w:t>
      </w:r>
    </w:p>
    <w:p>
      <w:pPr>
        <w:spacing w:after="0" w:line="162"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Payment Terms</w:t>
      </w:r>
      <w:r>
        <w:rPr>
          <w:rFonts w:ascii="Arial" w:cs="Arial" w:eastAsia="Arial" w:hAnsi="Arial"/>
          <w:sz w:val="20"/>
          <w:szCs w:val="20"/>
          <w:color w:val="auto"/>
        </w:rPr>
        <w:t>. Catalent shall submit an invoice to FibroGen for such fees upon tender of Delivery of Product as provided in Section 4.3. FibroGen will pay Catalent [ ] invoiced in accordance with this Article 5 within [ ] ([ ]) days of date of such invoice, provided that: [ ]. All invoices and payments hereunder shall be in U.S. Dollars (USD). All such invoices relating to this Agreement must have the invoice coding as indicated in the Purchase Order and be sent to:</w:t>
      </w:r>
    </w:p>
    <w:p>
      <w:pPr>
        <w:spacing w:after="0" w:line="19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Accounts Payable</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FibroGen, Inc.</w:t>
      </w:r>
    </w:p>
    <w:p>
      <w:pPr>
        <w:ind w:left="1660"/>
        <w:spacing w:after="0"/>
        <w:rPr>
          <w:sz w:val="20"/>
          <w:szCs w:val="20"/>
          <w:color w:val="auto"/>
        </w:rPr>
      </w:pPr>
      <w:r>
        <w:rPr>
          <w:rFonts w:ascii="Arial" w:cs="Arial" w:eastAsia="Arial" w:hAnsi="Arial"/>
          <w:sz w:val="20"/>
          <w:szCs w:val="20"/>
          <w:color w:val="auto"/>
        </w:rPr>
        <w:t>409 Illinois Street</w:t>
      </w:r>
    </w:p>
    <w:p>
      <w:pPr>
        <w:ind w:left="1660"/>
        <w:spacing w:after="0"/>
        <w:rPr>
          <w:sz w:val="20"/>
          <w:szCs w:val="20"/>
          <w:color w:val="auto"/>
        </w:rPr>
      </w:pPr>
      <w:r>
        <w:rPr>
          <w:rFonts w:ascii="Arial" w:cs="Arial" w:eastAsia="Arial" w:hAnsi="Arial"/>
          <w:sz w:val="20"/>
          <w:szCs w:val="20"/>
          <w:color w:val="auto"/>
        </w:rPr>
        <w:t>San Francisco, CA 94158</w:t>
      </w:r>
    </w:p>
    <w:p>
      <w:pPr>
        <w:ind w:left="1660"/>
        <w:spacing w:after="0"/>
        <w:rPr>
          <w:sz w:val="20"/>
          <w:szCs w:val="20"/>
          <w:color w:val="auto"/>
        </w:rPr>
      </w:pPr>
      <w:r>
        <w:rPr>
          <w:rFonts w:ascii="Arial" w:cs="Arial" w:eastAsia="Arial" w:hAnsi="Arial"/>
          <w:sz w:val="20"/>
          <w:szCs w:val="20"/>
          <w:color w:val="auto"/>
        </w:rPr>
        <w:t>AP@FibroGen.com</w:t>
      </w:r>
    </w:p>
    <w:p>
      <w:pPr>
        <w:spacing w:after="0" w:line="200" w:lineRule="exact"/>
        <w:rPr>
          <w:sz w:val="20"/>
          <w:szCs w:val="20"/>
          <w:color w:val="auto"/>
        </w:rPr>
      </w:pPr>
    </w:p>
    <w:p>
      <w:pPr>
        <w:jc w:val="both"/>
        <w:ind w:firstLine="827"/>
        <w:spacing w:after="0" w:line="255"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Taxes and Other Surcharges</w:t>
      </w:r>
      <w:r>
        <w:rPr>
          <w:rFonts w:ascii="Arial" w:cs="Arial" w:eastAsia="Arial" w:hAnsi="Arial"/>
          <w:sz w:val="19"/>
          <w:szCs w:val="19"/>
          <w:color w:val="auto"/>
        </w:rPr>
        <w:t>. All taxes, duties and other amounts (excluding taxes based on net income and franchise taxes) assessed in respect of FibroGen-supplied Materials or in connection with the sale or delivery of Product hereunder, whether assessed prior to or upon provision or sale, and whether assessed on Catalent or FibroGen, are the responsibility of FibroGen, and either FibroGen shall reimburse Catalent for all such taxes, duties or other amounts paid by Catalent or such sums will be itemized and added to invoices directed at FibroGen, with supportive documentation to be provided by FibroGen to Catalent, as needed to comply with this Section 5.4. If any deduction or withholding in respect of tax or otherwise is required by law to be made from any of the sums payable hereunder, FibroGen shall be obliged to pay to Catalent such greater sum as will leave Catalent, after deduction or withholding as is required to be made, with the same amount as it would have been entitled to receive in the absence of any such requirement to make a deduction or withholding. Catalent shall use all reasonable endeavors to obtain the relevant withholding or deducting certificate or certificates in a form which FibroGen can utilize in order to enable it to recover or obtain credit from the relevant taxing or other government authority the amount so withheld or deducted. In determining the applicability of any withholding tax, the provision of any relevant bilateral income tax treaties or regulatory instrument or document shall be taken into account.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OBLIGATIONS</w:t>
      </w:r>
    </w:p>
    <w:p>
      <w:pPr>
        <w:spacing w:after="0" w:line="200" w:lineRule="exact"/>
        <w:rPr>
          <w:sz w:val="20"/>
          <w:szCs w:val="20"/>
          <w:color w:val="auto"/>
        </w:rPr>
      </w:pPr>
    </w:p>
    <w:p>
      <w:pPr>
        <w:jc w:val="both"/>
        <w:ind w:firstLine="827"/>
        <w:spacing w:after="0" w:line="24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Registrations, Permits and Licenses</w:t>
      </w:r>
      <w:r>
        <w:rPr>
          <w:rFonts w:ascii="Arial" w:cs="Arial" w:eastAsia="Arial" w:hAnsi="Arial"/>
          <w:sz w:val="20"/>
          <w:szCs w:val="20"/>
          <w:color w:val="auto"/>
        </w:rPr>
        <w:t>. All Catalent Facilities will be properly licensed and have all necessary permits to perform the Manufacturing Services. Catalent shall secure and maintain in good order, at its sole cost and expense, such current governmental registrations, permits, approvals and licenses (including Catalent Facilities licenses) as are required by Applicable Law and applicable Regulatory Authorities in order for Catalent to perform all of its obligations under this Agreement and each Purchase Order (each, a “</w:t>
      </w:r>
      <w:r>
        <w:rPr>
          <w:rFonts w:ascii="Arial" w:cs="Arial" w:eastAsia="Arial" w:hAnsi="Arial"/>
          <w:sz w:val="20"/>
          <w:szCs w:val="20"/>
          <w:b w:val="1"/>
          <w:bCs w:val="1"/>
          <w:color w:val="auto"/>
        </w:rPr>
        <w:t>Registration</w:t>
      </w:r>
      <w:r>
        <w:rPr>
          <w:rFonts w:ascii="Arial" w:cs="Arial" w:eastAsia="Arial" w:hAnsi="Arial"/>
          <w:sz w:val="20"/>
          <w:szCs w:val="20"/>
          <w:color w:val="auto"/>
        </w:rPr>
        <w:t>”), for so long and insofar as is necessary to permit Catalent to perform any of its obligations under this Agreement. Catalent shall supply such Registrations and all related documents, including all permits and licenses related to Catalent Facilities to FibroGen or a FibroGen Designee upon request by FibroGen, to the extent specifically related to the Product or the Manufacturing Services or Deliverables hereunder.</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9" w:name="page180"/>
    <w:bookmarkEnd w:id="179"/>
    <w:p>
      <w:pPr>
        <w:ind w:right="20" w:firstLine="8"/>
        <w:spacing w:after="0" w:line="298" w:lineRule="auto"/>
        <w:tabs>
          <w:tab w:leader="none" w:pos="23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Regulatory Communications and Correspondence</w:t>
      </w:r>
      <w:r>
        <w:rPr>
          <w:rFonts w:ascii="Arial" w:cs="Arial" w:eastAsia="Arial" w:hAnsi="Arial"/>
          <w:sz w:val="20"/>
          <w:szCs w:val="20"/>
          <w:color w:val="auto"/>
        </w:rPr>
        <w:t>. Any and all communications from and to the FDA or other Regulatory Authorities related to the manufacture of the Products at the Catalent Facility shall be handled in accordance with the terms and conditions of the Quality Agreement, or as otherwise agreed in a signed writing by Catalent and FibroGen.</w:t>
      </w:r>
    </w:p>
    <w:p>
      <w:pPr>
        <w:spacing w:after="0" w:line="186"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Regulatory Inspections</w:t>
      </w:r>
      <w:r>
        <w:rPr>
          <w:rFonts w:ascii="Arial" w:cs="Arial" w:eastAsia="Arial" w:hAnsi="Arial"/>
          <w:sz w:val="16"/>
          <w:szCs w:val="16"/>
          <w:color w:val="auto"/>
        </w:rPr>
        <w:t>.</w:t>
      </w:r>
    </w:p>
    <w:p>
      <w:pPr>
        <w:spacing w:after="0" w:line="216" w:lineRule="exact"/>
        <w:rPr>
          <w:sz w:val="20"/>
          <w:szCs w:val="20"/>
          <w:color w:val="auto"/>
        </w:rPr>
      </w:pPr>
    </w:p>
    <w:p>
      <w:pPr>
        <w:jc w:val="both"/>
        <w:ind w:firstLine="1654"/>
        <w:spacing w:after="0" w:line="26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Inspection by Regulatory Authorities</w:t>
      </w:r>
      <w:r>
        <w:rPr>
          <w:rFonts w:ascii="Arial" w:cs="Arial" w:eastAsia="Arial" w:hAnsi="Arial"/>
          <w:sz w:val="18"/>
          <w:szCs w:val="18"/>
          <w:color w:val="auto"/>
        </w:rPr>
        <w:t>. Upon the request of any Regulatory Authority having jurisdiction over the manufacture of Product hereunder, such Regulatory Authority shall have access to observe and inspect Catalent's facilities (including Catalent Facility) and procedures used for the manufacture, release and stability testing, and/or warehousing of all Product, and to inspect such facilities (including Catalent Facility) for compliance with cGMP and other Applicable Law. FibroGen Representatives shall be permitted to be on site for (but not participate in) any such inspections by Regulatory Authorities. Catalent specifically agrees to cooperate with any inspection by a Regulatory Authority, whether prior to or after regulatory approval of Product manufactured by Catalent, and to provide FibroGen with a copy of any document received including any inspection report resulting from any such inspection by a Regulatory Authority (redacted as appropriate to protect any confidential information of Catalent or Catalent's other customers), which document/report shall be received by FibroGen no later than [ ] ([ ]) business days from such inspection. Catalent agrees that Catalent shall promptly notify FibroGen of any regulatory inspections relating to Product as further set forth in the Quality Agreement. For clarity, the foregoing reporting requirements do not impact Catalent's reporting obligations to FibroGen as set forth in Section 6.6.2. If Catalent is purchasing Raw Materials from a Third Party for use in manufacturing Product, Catalent shall use [ ] efforts to ensure that such supplier's facilities and procedures are similarly subject to the provisions of this Section as to the manufacture of such Raw Materials. FibroGen shall carry out audits pursuant to the Quality Agreement. Among other requirements set forth in the Quality Agreement, Catalent will be required to permit Regulatory Authorities to carry out a PAI. The Parties hereby acknowledge that Regulatory Authorities may require to inspect the Catalent Facilities in order to approve them.</w:t>
      </w:r>
    </w:p>
    <w:p>
      <w:pPr>
        <w:spacing w:after="0" w:line="180" w:lineRule="exact"/>
        <w:rPr>
          <w:sz w:val="20"/>
          <w:szCs w:val="20"/>
          <w:color w:val="auto"/>
        </w:rPr>
      </w:pPr>
    </w:p>
    <w:p>
      <w:pPr>
        <w:jc w:val="both"/>
        <w:ind w:firstLine="1654"/>
        <w:spacing w:after="0" w:line="271"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Remedial Actions</w:t>
      </w:r>
      <w:r>
        <w:rPr>
          <w:rFonts w:ascii="Arial" w:cs="Arial" w:eastAsia="Arial" w:hAnsi="Arial"/>
          <w:sz w:val="18"/>
          <w:szCs w:val="18"/>
          <w:color w:val="auto"/>
        </w:rPr>
        <w:t>. Catalent shall notify FibroGen immediately in writing in the event any action is taken or threatened by a Regulatory Authority relating to the manufacture, supply, or storage of Product by Catalent, or relating to Catalent Facility in which such manufacture, supply, or storage occurs, or which may impair the ability of Catalent to manufacture, supply, or store Product (including without limitation any impairment to Catalent's ability to manufacture Product conforming to the applicable Specifications) in accordance with this Agreement. In any event, Catalent shall use [ ] efforts to address and resolve any issues, concerns or warnings from any Regulatory Authority that impact Catalent's ability to manufacture, supply, or store Product in accordance with this Agreement, the Specifications and MBR (as applicable). To the extent Catalent must implement a plan of remediation or for other modifications or changes to Catalent's Facility in order to address and resolve any such issues, concerns or warnings from any Regulatory Authority, Catalent shall: (a) prepare such plan as soon as practicable; (b) provide a draft of the plan to FibroGen to the extent specifically referencing the production of the Product; and (c) implement and complete all aspects of the plan as agreed with FibroGen soon as practicable.</w:t>
      </w:r>
    </w:p>
    <w:p>
      <w:pPr>
        <w:spacing w:after="0" w:line="175" w:lineRule="exact"/>
        <w:rPr>
          <w:sz w:val="20"/>
          <w:szCs w:val="20"/>
          <w:color w:val="auto"/>
        </w:rPr>
      </w:pPr>
    </w:p>
    <w:p>
      <w:pPr>
        <w:jc w:val="both"/>
        <w:ind w:firstLine="827"/>
        <w:spacing w:after="0" w:line="28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Regulatory Authority Fees</w:t>
      </w:r>
      <w:r>
        <w:rPr>
          <w:rFonts w:ascii="Arial" w:cs="Arial" w:eastAsia="Arial" w:hAnsi="Arial"/>
          <w:sz w:val="18"/>
          <w:szCs w:val="18"/>
          <w:color w:val="auto"/>
        </w:rPr>
        <w:t>. [ ], which fees result directly from Catalent's formulation, development, manufacturing, processing, filling, packaging, storing or testing of FibroGen's Product or FibroGen-supplied Materials, other than pursuant to Attachment B. Catalent will invoice FibroGen for reimbursement of all other payments or fees at the time they are actually incurred by Catalent as a direct pass-through cost with no associated overhead or administration costs. FibroGen shall pay all invoices pursuant to Article 5 hereof.</w:t>
      </w:r>
    </w:p>
    <w:p>
      <w:pPr>
        <w:spacing w:after="0" w:line="162"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Regulatory Filings and Maintenance; Cooperation in Obtaining Government Approvals</w:t>
      </w:r>
      <w:r>
        <w:rPr>
          <w:rFonts w:ascii="Arial" w:cs="Arial" w:eastAsia="Arial" w:hAnsi="Arial"/>
          <w:sz w:val="20"/>
          <w:szCs w:val="20"/>
          <w:color w:val="auto"/>
        </w:rPr>
        <w:t>. Catalent shall provide information and documentation to support FibroGen's Regulatory Filings and in maintaining</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0" w:name="page181"/>
    <w:bookmarkEnd w:id="180"/>
    <w:p>
      <w:pPr>
        <w:ind w:right="20" w:firstLine="8"/>
        <w:spacing w:after="0" w:line="298" w:lineRule="auto"/>
        <w:tabs>
          <w:tab w:leader="none" w:pos="23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Regulatory Authority approvals for the Product, as necessary, and shall prepare and maintain manufacturing files, certificates, authorizations, data and other records that pertain to the manufacture of the Product as further set forth in the Quality Agreement or applicable Purchase Order, or as otherwise agreed to in a signed writing by Catalent and FibroGen. FibroGen (or other Designees) shall have the exclusive right to prepare and submit any and all Regulatory Filings regarding any products containing Product and Final Product, and including filing any amendments or supplements thereto and pursuing such Regulatory Filings for approval or registration. Any and all such Regulatory Filings regarding API, Product or Final Products, and any approvals obtained thereon, will be owned solely by and held in the name of FibroGen (or other Designees, as applicable). To the extent required or appropriate under Applicable Law, any such Regulatory Filings, or any approvals obtained thereon, may list Catalent as a manufacturer of the Product under this Agreement. Notwithstanding the above, FibroGen (or other Designees) shall not identify Catalent in any ANDA/NDA application or other such initial regulatory filing or submission without Catalent's prior written acknowledgment. Such acknowledgment shall not be unreasonably withheld and shall be memorialized in a writing signed by authorized Representatives of both Parties. FibroGen shall provide Catalent with notice of any Regulatory Filings that name Catalent as a manufacturer of the Product and provide Catalent with a copy of each Regulatory Approval required to distribute, market or sell Product in the Territory.</w:t>
      </w:r>
    </w:p>
    <w:p>
      <w:pPr>
        <w:spacing w:after="0" w:line="17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u w:val="single" w:color="auto"/>
          <w:color w:val="auto"/>
        </w:rPr>
        <w:t>Recalls</w:t>
      </w:r>
      <w:r>
        <w:rPr>
          <w:rFonts w:ascii="Arial" w:cs="Arial" w:eastAsia="Arial" w:hAnsi="Arial"/>
          <w:sz w:val="16"/>
          <w:szCs w:val="16"/>
          <w:color w:val="auto"/>
        </w:rPr>
        <w:t>.</w:t>
      </w:r>
    </w:p>
    <w:p>
      <w:pPr>
        <w:spacing w:after="0" w:line="216" w:lineRule="exact"/>
        <w:rPr>
          <w:sz w:val="20"/>
          <w:szCs w:val="20"/>
          <w:color w:val="auto"/>
        </w:rPr>
      </w:pPr>
    </w:p>
    <w:p>
      <w:pPr>
        <w:jc w:val="both"/>
        <w:ind w:firstLine="1654"/>
        <w:spacing w:after="0" w:line="244" w:lineRule="auto"/>
        <w:rPr>
          <w:sz w:val="20"/>
          <w:szCs w:val="20"/>
          <w:color w:val="auto"/>
        </w:rPr>
      </w:pPr>
      <w:r>
        <w:rPr>
          <w:rFonts w:ascii="Arial" w:cs="Arial" w:eastAsia="Arial" w:hAnsi="Arial"/>
          <w:sz w:val="20"/>
          <w:szCs w:val="20"/>
          <w:color w:val="auto"/>
        </w:rPr>
        <w:t xml:space="preserve">6.6.1 </w:t>
      </w:r>
      <w:r>
        <w:rPr>
          <w:rFonts w:ascii="Arial" w:cs="Arial" w:eastAsia="Arial" w:hAnsi="Arial"/>
          <w:sz w:val="20"/>
          <w:szCs w:val="20"/>
          <w:u w:val="single" w:color="auto"/>
          <w:color w:val="auto"/>
        </w:rPr>
        <w:t>Responsibility</w:t>
      </w:r>
      <w:r>
        <w:rPr>
          <w:rFonts w:ascii="Arial" w:cs="Arial" w:eastAsia="Arial" w:hAnsi="Arial"/>
          <w:sz w:val="20"/>
          <w:szCs w:val="20"/>
          <w:color w:val="auto"/>
        </w:rPr>
        <w:t>. If a Regulatory Authority orders or requires the recall of Product supplied pursuant to this Agreement or if either Catalent or FibroGen believes a recall, field alert, Product withdrawal or field correction (“</w:t>
      </w:r>
      <w:r>
        <w:rPr>
          <w:rFonts w:ascii="Arial" w:cs="Arial" w:eastAsia="Arial" w:hAnsi="Arial"/>
          <w:sz w:val="20"/>
          <w:szCs w:val="20"/>
          <w:b w:val="1"/>
          <w:bCs w:val="1"/>
          <w:color w:val="auto"/>
        </w:rPr>
        <w:t>Recall</w:t>
      </w:r>
      <w:r>
        <w:rPr>
          <w:rFonts w:ascii="Arial" w:cs="Arial" w:eastAsia="Arial" w:hAnsi="Arial"/>
          <w:sz w:val="20"/>
          <w:szCs w:val="20"/>
          <w:color w:val="auto"/>
        </w:rPr>
        <w:t>”) may be necessary with respect to Product supplied under this Agreement, the Party receiving the notice from the Regulatory Authority or that holds such belief shall promptly notify the other Party in writing. Recalls or Seizures of Final Product will be further handled by the Quality Agreement between the Parties.</w:t>
      </w:r>
    </w:p>
    <w:p>
      <w:pPr>
        <w:spacing w:after="0" w:line="195" w:lineRule="exact"/>
        <w:rPr>
          <w:sz w:val="20"/>
          <w:szCs w:val="20"/>
          <w:color w:val="auto"/>
        </w:rPr>
      </w:pPr>
    </w:p>
    <w:p>
      <w:pPr>
        <w:jc w:val="both"/>
        <w:ind w:firstLine="1654"/>
        <w:spacing w:after="0" w:line="243" w:lineRule="auto"/>
        <w:rPr>
          <w:sz w:val="20"/>
          <w:szCs w:val="20"/>
          <w:color w:val="auto"/>
        </w:rPr>
      </w:pPr>
      <w:r>
        <w:rPr>
          <w:rFonts w:ascii="Arial" w:cs="Arial" w:eastAsia="Arial" w:hAnsi="Arial"/>
          <w:sz w:val="20"/>
          <w:szCs w:val="20"/>
          <w:color w:val="auto"/>
        </w:rPr>
        <w:t xml:space="preserve">6.6.2 </w:t>
      </w:r>
      <w:r>
        <w:rPr>
          <w:rFonts w:ascii="Arial" w:cs="Arial" w:eastAsia="Arial" w:hAnsi="Arial"/>
          <w:sz w:val="20"/>
          <w:szCs w:val="20"/>
          <w:u w:val="single" w:color="auto"/>
          <w:color w:val="auto"/>
        </w:rPr>
        <w:t>Communication</w:t>
      </w:r>
      <w:r>
        <w:rPr>
          <w:rFonts w:ascii="Arial" w:cs="Arial" w:eastAsia="Arial" w:hAnsi="Arial"/>
          <w:sz w:val="20"/>
          <w:szCs w:val="20"/>
          <w:color w:val="auto"/>
        </w:rPr>
        <w:t>. Catalent shall keep FibroGen fully and promptly informed of any notification, event or other information, whether Catalent receives directly or indirectly, which notification, event or other information (a) might affect the marketability, safety, or effectiveness of the Product; or (b) might result in a Recall or Seizure. Upon request, Catalent shall cooperate with, and provide reasonable assistance in a timely manner to FibroGen in connection with any Recall or Seizure, including without limitation providing information relating to a potential or actual Recall or Seizure within [ ] ([ ]) business day after FibroGen's request therefor, to the extent such information is readily available to Catalent. In the event that Catalent believes that a Recall may be necessary or appropriate, Catalent shall notify FibroGen within [ ] ([ ]) business day.</w:t>
      </w:r>
    </w:p>
    <w:p>
      <w:pPr>
        <w:spacing w:after="0" w:line="193" w:lineRule="exact"/>
        <w:rPr>
          <w:sz w:val="20"/>
          <w:szCs w:val="20"/>
          <w:color w:val="auto"/>
        </w:rPr>
      </w:pPr>
    </w:p>
    <w:p>
      <w:pPr>
        <w:jc w:val="both"/>
        <w:ind w:firstLine="1654"/>
        <w:spacing w:after="0" w:line="246" w:lineRule="auto"/>
        <w:rPr>
          <w:sz w:val="20"/>
          <w:szCs w:val="20"/>
          <w:color w:val="auto"/>
        </w:rPr>
      </w:pPr>
      <w:r>
        <w:rPr>
          <w:rFonts w:ascii="Arial" w:cs="Arial" w:eastAsia="Arial" w:hAnsi="Arial"/>
          <w:sz w:val="20"/>
          <w:szCs w:val="20"/>
          <w:color w:val="auto"/>
        </w:rPr>
        <w:t xml:space="preserve">6.6.3 </w:t>
      </w:r>
      <w:r>
        <w:rPr>
          <w:rFonts w:ascii="Arial" w:cs="Arial" w:eastAsia="Arial" w:hAnsi="Arial"/>
          <w:sz w:val="20"/>
          <w:szCs w:val="20"/>
          <w:u w:val="single" w:color="auto"/>
          <w:color w:val="auto"/>
        </w:rPr>
        <w:t>Replacement; Refund</w:t>
      </w:r>
      <w:r>
        <w:rPr>
          <w:rFonts w:ascii="Arial" w:cs="Arial" w:eastAsia="Arial" w:hAnsi="Arial"/>
          <w:sz w:val="20"/>
          <w:szCs w:val="20"/>
          <w:color w:val="auto"/>
        </w:rPr>
        <w:t>. The cost of any Recall shall be borne by FibroGen, and FibroGen shall reimburse Catalent for expenses incurred in connection with any Recall, in each case except to the extent such Recall is caused by Catalent's breach of its manufacturing obligations under this Agreement or Catalent's violation of Applicable Laws or its negligence or willful misconduct, in which case Catalent shall bear [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HAZARDS AND SAFETY</w:t>
      </w:r>
    </w:p>
    <w:p>
      <w:pPr>
        <w:spacing w:after="0" w:line="200"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Hazards</w:t>
      </w:r>
      <w:r>
        <w:rPr>
          <w:rFonts w:ascii="Arial" w:cs="Arial" w:eastAsia="Arial" w:hAnsi="Arial"/>
          <w:sz w:val="20"/>
          <w:szCs w:val="20"/>
          <w:color w:val="auto"/>
        </w:rPr>
        <w:t>. As of the effective date of each applicable Purchase Order, FibroGen shall provide Catalent with all information then known to FibroGen and in FibroGen's possession or control concerning any hazardous conditions or Wastes associated with exposure to or the handling, storage, use, or disposal of FibroGen-supplied Materials and Product, including without limitation Materials Safety Data Sheets for FibroGen-supplied Materials and Product.</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1" w:name="page182"/>
    <w:bookmarkEnd w:id="181"/>
    <w:p>
      <w:pPr>
        <w:ind w:right="20" w:firstLine="8"/>
        <w:spacing w:after="0" w:line="298" w:lineRule="auto"/>
        <w:tabs>
          <w:tab w:leader="none" w:pos="23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ind w:firstLine="827"/>
        <w:spacing w:after="0" w:line="255"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Safety</w:t>
      </w:r>
      <w:r>
        <w:rPr>
          <w:rFonts w:ascii="Arial" w:cs="Arial" w:eastAsia="Arial" w:hAnsi="Arial"/>
          <w:sz w:val="19"/>
          <w:szCs w:val="19"/>
          <w:color w:val="auto"/>
        </w:rPr>
        <w:t>. Catalent shall in accordance with Catalent's internal procedures and Applicable Law, inform its employees, contractors and other personnel of any known or reasonably ascertainable chemical and processing hazards associated with the Raw Materials, FibroGen-supplied Materials, Product, or any Wastes generated through performance of the Manufacturing Services hereunder, and provide such persons with training in the proper methods of handling and disposing of such items. Catalent shall be responsible for maintaining safety procedures and required training documentation for Catalent's handling and manufacture of the Product, FibroGen-supplied Materials, and all Raw Materials and components thereof, and for the generation, treatment, storage and disposal of Wastes relating thereto all of which shall comply with all applicable national and local environmental and occupational safety and health requirements where the Waste is located. FibroGen shall have the right to audit and comment on such procedures. In accordance with the Quality Agreement, each Party shall promptly notify the other of any information or notice of which it becomes aware concerning the Product, including, without limitation, any threatened or pending action by any Regulatory Authority. FibroGen shall be responsible for handling all complaints and communications from Regulatory Authorities with respect to the Final Product or Product, except to the extent such complaints and communications relate to the Catalent Facility. Catalent shall cooperate in resolving such complaints and responding to such communications to the extent such cooperation is reasonably requested by FibroGen.</w:t>
      </w:r>
    </w:p>
    <w:p>
      <w:pPr>
        <w:spacing w:after="0" w:line="183" w:lineRule="exact"/>
        <w:rPr>
          <w:sz w:val="20"/>
          <w:szCs w:val="20"/>
          <w:color w:val="auto"/>
        </w:rPr>
      </w:pPr>
    </w:p>
    <w:p>
      <w:pPr>
        <w:jc w:val="both"/>
        <w:ind w:firstLine="827"/>
        <w:spacing w:after="0" w:line="244"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Waste Handling; Notification</w:t>
      </w:r>
      <w:r>
        <w:rPr>
          <w:rFonts w:ascii="Arial" w:cs="Arial" w:eastAsia="Arial" w:hAnsi="Arial"/>
          <w:sz w:val="20"/>
          <w:szCs w:val="20"/>
          <w:color w:val="auto"/>
        </w:rPr>
        <w:t>. At Catalent's expense, Catalent or an approved Subcontractor shall handle, label, package, store, transport and dispose of all Wastes generated through performance of the Manufacturing Services hereunder in material compliance with all Applicable Laws, and be responsible for such actions therefor. Each Party shall promptly notify the other of any health hazards or potential health hazards of which it is or becomes aware concerning exposure to or handling of the Raw Materials, FibroGen-supplied Materials, Product, or Wastes.</w:t>
      </w:r>
    </w:p>
    <w:p>
      <w:pPr>
        <w:spacing w:after="0" w:line="195" w:lineRule="exact"/>
        <w:rPr>
          <w:sz w:val="20"/>
          <w:szCs w:val="20"/>
          <w:color w:val="auto"/>
        </w:rPr>
      </w:pPr>
    </w:p>
    <w:p>
      <w:pPr>
        <w:jc w:val="both"/>
        <w:ind w:firstLine="827"/>
        <w:spacing w:after="0" w:line="27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Accident Reports/Adverse Event Reporting</w:t>
      </w:r>
      <w:r>
        <w:rPr>
          <w:rFonts w:ascii="Arial" w:cs="Arial" w:eastAsia="Arial" w:hAnsi="Arial"/>
          <w:sz w:val="18"/>
          <w:szCs w:val="18"/>
          <w:color w:val="auto"/>
        </w:rPr>
        <w:t>. It is understood and agreed that FibroGen (or other Designees) shall have the sole right and responsibility for reporting to the applicable and appropriate Regulatory Authorities any adverse events involving the Product or Final Product (as applicable). Catalent shall provide FibroGen all reasonable assistance in complying with such reporting requirements. Catalent shall report to FibroGen immediately within [ ] ([ ]) business day all material accidents related to the manufacture, handling, use or storage of any Raw Materials, FibroGen-supplied Materials, or Product, including, without limitation: (a) accidents resulting in significant personal injury requiring more than first aid treatment, (b) accidents resulting in chronic illness or loss of consciousness, (c) accidents resulting in material property damage, (d) accidents resulting in material environmental release, and (e) accidents that result in regulatory, safety, health or environmental audits. Catalent shall notify FibroGen of any information of which Catalent becomes aware concerning any side effect, injury, toxicity or sensitivity reaction, or any unexpected incident, and the severity thereof, that is associated with the manufacturing of Product.</w:t>
      </w:r>
    </w:p>
    <w:p>
      <w:pPr>
        <w:spacing w:after="0" w:line="16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0020" w:type="dxa"/>
            <w:vAlign w:val="bottom"/>
          </w:tcPr>
          <w:p>
            <w:pPr>
              <w:jc w:val="center"/>
              <w:ind w:right="1281"/>
              <w:spacing w:after="0"/>
              <w:rPr>
                <w:sz w:val="20"/>
                <w:szCs w:val="20"/>
                <w:color w:val="auto"/>
              </w:rPr>
            </w:pPr>
            <w:r>
              <w:rPr>
                <w:rFonts w:ascii="Arial" w:cs="Arial" w:eastAsia="Arial" w:hAnsi="Arial"/>
                <w:sz w:val="20"/>
                <w:szCs w:val="20"/>
                <w:b w:val="1"/>
                <w:bCs w:val="1"/>
                <w:color w:val="auto"/>
              </w:rPr>
              <w:t>ARTICLE 8</w:t>
            </w:r>
          </w:p>
        </w:tc>
      </w:tr>
      <w:tr>
        <w:trPr>
          <w:trHeight w:val="256"/>
        </w:trPr>
        <w:tc>
          <w:tcPr>
            <w:tcW w:w="560" w:type="dxa"/>
            <w:vAlign w:val="bottom"/>
          </w:tcPr>
          <w:p>
            <w:pPr>
              <w:spacing w:after="0"/>
              <w:rPr>
                <w:sz w:val="22"/>
                <w:szCs w:val="22"/>
                <w:color w:val="auto"/>
              </w:rPr>
            </w:pPr>
          </w:p>
        </w:tc>
        <w:tc>
          <w:tcPr>
            <w:tcW w:w="10020" w:type="dxa"/>
            <w:vAlign w:val="bottom"/>
          </w:tcPr>
          <w:p>
            <w:pPr>
              <w:jc w:val="center"/>
              <w:ind w:right="1301"/>
              <w:spacing w:after="0"/>
              <w:rPr>
                <w:sz w:val="20"/>
                <w:szCs w:val="20"/>
                <w:color w:val="auto"/>
              </w:rPr>
            </w:pPr>
            <w:r>
              <w:rPr>
                <w:rFonts w:ascii="Arial" w:cs="Arial" w:eastAsia="Arial" w:hAnsi="Arial"/>
                <w:sz w:val="20"/>
                <w:szCs w:val="20"/>
                <w:b w:val="1"/>
                <w:bCs w:val="1"/>
                <w:color w:val="auto"/>
                <w:w w:val="99"/>
              </w:rPr>
              <w:t>QUALITY ASSURANCE</w:t>
            </w:r>
          </w:p>
        </w:tc>
      </w:tr>
      <w:tr>
        <w:trPr>
          <w:trHeight w:val="441"/>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8.1</w:t>
            </w:r>
          </w:p>
        </w:tc>
        <w:tc>
          <w:tcPr>
            <w:tcW w:w="10020" w:type="dxa"/>
            <w:vAlign w:val="bottom"/>
          </w:tcPr>
          <w:p>
            <w:pPr>
              <w:ind w:left="340"/>
              <w:spacing w:after="0"/>
              <w:rPr>
                <w:sz w:val="20"/>
                <w:szCs w:val="20"/>
                <w:color w:val="auto"/>
              </w:rPr>
            </w:pPr>
            <w:r>
              <w:rPr>
                <w:rFonts w:ascii="Arial" w:cs="Arial" w:eastAsia="Arial" w:hAnsi="Arial"/>
                <w:sz w:val="20"/>
                <w:szCs w:val="20"/>
                <w:u w:val="single" w:color="auto"/>
                <w:color w:val="auto"/>
                <w:w w:val="91"/>
              </w:rPr>
              <w:t>Quality Agreement</w:t>
            </w:r>
            <w:r>
              <w:rPr>
                <w:rFonts w:ascii="Arial" w:cs="Arial" w:eastAsia="Arial" w:hAnsi="Arial"/>
                <w:sz w:val="20"/>
                <w:szCs w:val="20"/>
                <w:color w:val="auto"/>
                <w:w w:val="91"/>
              </w:rPr>
              <w:t>. Prior to any Regulatory Filing for the Product that names Catalent as a manufacturer of Product and</w:t>
            </w:r>
          </w:p>
        </w:tc>
      </w:tr>
    </w:tbl>
    <w:p>
      <w:pPr>
        <w:jc w:val="both"/>
        <w:spacing w:after="0" w:line="258" w:lineRule="auto"/>
        <w:rPr>
          <w:sz w:val="20"/>
          <w:szCs w:val="20"/>
          <w:color w:val="auto"/>
        </w:rPr>
      </w:pPr>
      <w:r>
        <w:rPr>
          <w:rFonts w:ascii="Arial" w:cs="Arial" w:eastAsia="Arial" w:hAnsi="Arial"/>
          <w:sz w:val="19"/>
          <w:szCs w:val="19"/>
          <w:color w:val="auto"/>
        </w:rPr>
        <w:t>in any case before first cGMP Manufacturing of the Product, the Parties shall agree upon and execute a quality agreement (the “</w:t>
      </w:r>
      <w:r>
        <w:rPr>
          <w:rFonts w:ascii="Arial" w:cs="Arial" w:eastAsia="Arial" w:hAnsi="Arial"/>
          <w:sz w:val="19"/>
          <w:szCs w:val="19"/>
          <w:b w:val="1"/>
          <w:bCs w:val="1"/>
          <w:color w:val="auto"/>
        </w:rPr>
        <w:t>Quality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The Quality Agreement shall set forth the responsibilities of the Parties with respect to pharmacovigilance, quality assurance,</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retention, notification obligations relating to Regulatory Authority inquiries and activities, audit and inspection rights, and similar matters with respect to the manufacture of Product including Recalls, returned goods, and authorization for Recalls.</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2" w:name="page183"/>
    <w:bookmarkEnd w:id="182"/>
    <w:p>
      <w:pPr>
        <w:ind w:right="20" w:firstLine="8"/>
        <w:spacing w:after="0" w:line="298" w:lineRule="auto"/>
        <w:tabs>
          <w:tab w:leader="none" w:pos="23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ind w:firstLine="827"/>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Changes to Specifications</w:t>
      </w:r>
      <w:r>
        <w:rPr>
          <w:rFonts w:ascii="Arial" w:cs="Arial" w:eastAsia="Arial" w:hAnsi="Arial"/>
          <w:sz w:val="18"/>
          <w:szCs w:val="18"/>
          <w:color w:val="auto"/>
        </w:rPr>
        <w:t>. All Specifications, and any change to the Specifications agreed by the Parties from time to time, shall be in writing, dated and signed by the Parties. Any change to the Manufacturing Process or MBR shall be deemed a Specification change. No change in the Specifications shall be implemented by Catalent, whether requested by FibroGen or requested or required by any Regulatory Authority, until the Parties have agreed in writing to such change, the implementation date of such change, and any increase or decrease in costs, expenses or fees associated with such change (including any change to Unit Pricing). Catalent shall respond promptly to any request made by FibroGen for a change in the Specifications, and both Parties shall use commercially reasonable, good-faith efforts to agree to the terms of such change in a timely manner. For changes to Specifications due to revisions to compendial specifications, such Specification changes shall be implemented by Catalent no later than the effective date of the corresponding change in the compendia. As soon as practicable after a request is made for any change in Specifications, Catalent shall notify FibroGen of the costs associated with such change and shall provide such supporting documentation as FibroGen may reasonably require. FibroGen shall pay all costs associated with FibroGen requested changes to the Specifications. Catalent shall pay for all costs associated with changes to the Specifications requested by Catalent or [ ], to the extent not resulting from a Specification change requested by FibroGen.</w:t>
      </w:r>
    </w:p>
    <w:p>
      <w:pPr>
        <w:spacing w:after="0" w:line="177" w:lineRule="exact"/>
        <w:rPr>
          <w:sz w:val="20"/>
          <w:szCs w:val="20"/>
          <w:color w:val="auto"/>
        </w:rPr>
      </w:pPr>
    </w:p>
    <w:p>
      <w:pPr>
        <w:jc w:val="both"/>
        <w:ind w:firstLine="827"/>
        <w:spacing w:after="0" w:line="26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Quality Control</w:t>
      </w:r>
      <w:r>
        <w:rPr>
          <w:rFonts w:ascii="Arial" w:cs="Arial" w:eastAsia="Arial" w:hAnsi="Arial"/>
          <w:sz w:val="19"/>
          <w:szCs w:val="19"/>
          <w:color w:val="auto"/>
        </w:rPr>
        <w:t>. Catalent shall ensure that all Product manufactured for supply to FibroGen pursuant to this Agreement is subject to quality controls in conformance with customary practices, cGMP and regulatory standards. In addition, Catalent shall maintain and follow a quality control and testing program to confirm that all Product supplied hereunder conforms to the Specifications.</w:t>
      </w:r>
    </w:p>
    <w:p>
      <w:pPr>
        <w:spacing w:after="0" w:line="170"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Responsibility for Quality Assurance and Quality Control</w:t>
      </w:r>
      <w:r>
        <w:rPr>
          <w:rFonts w:ascii="Arial" w:cs="Arial" w:eastAsia="Arial" w:hAnsi="Arial"/>
          <w:sz w:val="20"/>
          <w:szCs w:val="20"/>
          <w:color w:val="auto"/>
        </w:rPr>
        <w:t>. Responsibility for quality assurance and quality control of Product shall be allocated between FibroGen and Catalent as set forth in the Quality Agreement.</w:t>
      </w:r>
    </w:p>
    <w:p>
      <w:pPr>
        <w:spacing w:after="0" w:line="177" w:lineRule="exact"/>
        <w:rPr>
          <w:sz w:val="20"/>
          <w:szCs w:val="20"/>
          <w:color w:val="auto"/>
        </w:rPr>
      </w:pPr>
    </w:p>
    <w:p>
      <w:pPr>
        <w:jc w:val="both"/>
        <w:ind w:firstLine="827"/>
        <w:spacing w:after="0" w:line="30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Audits; Observation of Product Manufacture</w:t>
      </w:r>
      <w:r>
        <w:rPr>
          <w:rFonts w:ascii="Arial" w:cs="Arial" w:eastAsia="Arial" w:hAnsi="Arial"/>
          <w:sz w:val="16"/>
          <w:szCs w:val="16"/>
          <w:color w:val="auto"/>
        </w:rPr>
        <w:t xml:space="preserve">. Notwithstanding anything to the contrary herein or in any Purchase Order, Catalent agrees that it shall not commence any manufacture of Product until FibroGen has approved the applicable Master Batch Record. On an ongoing basis, FibroGen, other Designees, and other authorized agents designated by FibroGen shall have the right to perform, directly or through its representatives or agents, certain audits of records and documentation, and to have Representatives of FibroGen (or representatives of FibroGen's designee, including representatives of FibroGen's partners or other Designees) visit each Catalent Facility during normal business hours to review Catalent's manufacturing operations, to assess its compliance with and the Quality Agreement, the quality-related obligations in this Agreement, and applicable regulatory standards, and to discuss any related issues with manufacturing and management personnel. Catalent shall cooperate fully in all such reviews, audits, and inspections. Catalent shall provide at no further cost personnel time and resources as may be available and commercially reasonable to complete such audits. FibroGen shall provide reasonable advance notice to Catalent of visits to Catalent Facility. FibroGen's Representatives (and/or representatives of FibroGen's designee or partner or other Designees) shall be granted access upon to (A) the portion of the Catalent Facility where Catalent performs Manufacturing Services, (B) relevant personnel involved in Manufacturing Services and (C) records pertaining to Manufacturing Services, in each case solely to the extent pertaining to the Product and for the purpose of verifying that Catalent is performing the Manufacturing Services in accordance with Applicable Laws, including cGMPs, the Specifications, Quality Agreement and the Master Batch Records. FibroGen, including its partners, Representatives and/or other Designees, may not conduct an audit under this Section more than [ ] during any [ ] ([ ]) month period, unless there is a material quality or compliance or security issue concerning Product, the Manufacturing Services, or the Manufacturing Process (as provided under Attachment B hereto);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additional inspections may be conducted [ ]. Notwithstanding the foregoing, FibroGen (or its designee) may conduct an audit of Catalent's security procedures [ ] every [ ] ([ ]) months to ensure adequate Product security processes are in place. Audits and inspections shall be designed to minimize disruption of operations at the Catalent Facility. If following an inspection FibroGen considers that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3" w:name="page184"/>
    <w:bookmarkEnd w:id="183"/>
    <w:p>
      <w:pPr>
        <w:ind w:right="20" w:firstLine="8"/>
        <w:spacing w:after="0" w:line="298" w:lineRule="auto"/>
        <w:tabs>
          <w:tab w:leader="none" w:pos="23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Products are not meeting the requirements set forth in Section 11.2.6, or the security requirements posed under Section 8.6 hereof are insufficient, FibroGen shall inform Catalent and Catalent shall take such immediate action as is necessary to ensure that the Product is or will be as warranted under Section 11.2.6. FibroGen shall have the right to re-conduct inspections and take further samples after Catalent has carried out its remedial actions at no additional costs.</w:t>
      </w:r>
    </w:p>
    <w:p>
      <w:pPr>
        <w:spacing w:after="0" w:line="192"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Product Security</w:t>
      </w:r>
      <w:r>
        <w:rPr>
          <w:rFonts w:ascii="Arial" w:cs="Arial" w:eastAsia="Arial" w:hAnsi="Arial"/>
          <w:sz w:val="20"/>
          <w:szCs w:val="20"/>
          <w:color w:val="auto"/>
        </w:rPr>
        <w:t>. Catalent will ensure that all FibroGen-supplied Materials, including API and Product, while under the control of Catalent are under appropriately secure conditions with procedures in place to (a) protect the materials against diversion and theft, and (b) include mechanisms for full accounting and reconciliation of FibroGen Materials, including API and Product, in each case, as may be more fully set forth under the Quality Agreement. Catalent will promptly notify FibroGen should any breach or discrepancy thereof occur, and Catalent will work cooperatively with FibroGen to resolve any such breach or discrepancy, within the scope of its responsibilities under the Quality Agreement. [ ].</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GRANTS; TRANSFER ASSISTANCE</w:t>
      </w:r>
    </w:p>
    <w:p>
      <w:pPr>
        <w:spacing w:after="0" w:line="200" w:lineRule="exact"/>
        <w:rPr>
          <w:sz w:val="20"/>
          <w:szCs w:val="20"/>
          <w:color w:val="auto"/>
        </w:rPr>
      </w:pPr>
    </w:p>
    <w:p>
      <w:pPr>
        <w:jc w:val="both"/>
        <w:ind w:firstLine="827"/>
        <w:spacing w:after="0" w:line="25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Licenses to Catalent</w:t>
      </w:r>
      <w:r>
        <w:rPr>
          <w:rFonts w:ascii="Arial" w:cs="Arial" w:eastAsia="Arial" w:hAnsi="Arial"/>
          <w:sz w:val="19"/>
          <w:szCs w:val="19"/>
          <w:color w:val="auto"/>
        </w:rPr>
        <w:t>. During the Term, FibroGen hereby grants to Catalent a limited, royalty-free, non-exclusive, non-transferable license (without any right to sublicense) under any FibroGen Intellectual Property for the sole and limited purpose of Catalent's performance of its obligations under this Agreement, including, without limitation, the manufacture and supply of Product pursuant to any applicable Purchase Order(s). Catalent covenants that it shall not use or practice the FibroGen Intellectual Property for any use or purpose other than for the limited manufacturing and supply as provided in this Agreement, and shall not disclose, transfer, make public or sublicense any rights, data and information under the FibroGen Intellectual Property.</w:t>
      </w:r>
    </w:p>
    <w:p>
      <w:pPr>
        <w:spacing w:after="0" w:line="179"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License to FibroGen</w:t>
      </w:r>
      <w:r>
        <w:rPr>
          <w:rFonts w:ascii="Arial" w:cs="Arial" w:eastAsia="Arial" w:hAnsi="Arial"/>
          <w:sz w:val="20"/>
          <w:szCs w:val="20"/>
          <w:color w:val="auto"/>
        </w:rPr>
        <w:t>. Catalent shall and hereby grants to FibroGen an irrevocable, perpetual, worldwide, fully paid, royalty-free, non-exclusive license, with the right to grant and authorize sublicenses, under any and all Catalent Background Intellectual Property and Catalent Owned Work Product that Catalent incorporates into the Product, the MBR, Batch Documentation Package and such other deliverables, in each case to practice such Catalent Background Intellectual Property for the sole and limited purpose of: selling, having sold, offering for sale, using, having sold, importing and/or exporting, and commercializing the Product (or any back-up compounds or next-generation compounds thereof).</w:t>
      </w:r>
    </w:p>
    <w:p>
      <w:pPr>
        <w:spacing w:after="0" w:line="196" w:lineRule="exact"/>
        <w:rPr>
          <w:sz w:val="20"/>
          <w:szCs w:val="20"/>
          <w:color w:val="auto"/>
        </w:rPr>
      </w:pPr>
    </w:p>
    <w:p>
      <w:pPr>
        <w:ind w:left="840"/>
        <w:spacing w:after="0"/>
        <w:tabs>
          <w:tab w:leader="none" w:pos="1720" w:val="left"/>
          <w:tab w:leader="none" w:pos="40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u w:val="single" w:color="auto"/>
          <w:color w:val="auto"/>
        </w:rPr>
        <w:t>Transfer Assistance</w:t>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OWNERSHIP OF INTELLECTUAL PROPERTY AND</w:t>
      </w:r>
    </w:p>
    <w:p>
      <w:pPr>
        <w:jc w:val="center"/>
        <w:spacing w:after="0"/>
        <w:rPr>
          <w:sz w:val="20"/>
          <w:szCs w:val="20"/>
          <w:color w:val="auto"/>
        </w:rPr>
      </w:pPr>
      <w:r>
        <w:rPr>
          <w:rFonts w:ascii="Arial" w:cs="Arial" w:eastAsia="Arial" w:hAnsi="Arial"/>
          <w:sz w:val="20"/>
          <w:szCs w:val="20"/>
          <w:b w:val="1"/>
          <w:bCs w:val="1"/>
          <w:color w:val="auto"/>
        </w:rPr>
        <w:t>MATERIALS</w:t>
      </w:r>
    </w:p>
    <w:p>
      <w:pPr>
        <w:spacing w:after="0" w:line="200" w:lineRule="exact"/>
        <w:rPr>
          <w:sz w:val="20"/>
          <w:szCs w:val="20"/>
          <w:color w:val="auto"/>
        </w:rPr>
      </w:pPr>
    </w:p>
    <w:p>
      <w:pPr>
        <w:ind w:left="820"/>
        <w:spacing w:after="0"/>
        <w:tabs>
          <w:tab w:leader="none" w:pos="18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Rights to Intellectual Property</w:t>
      </w:r>
      <w:r>
        <w:rPr>
          <w:rFonts w:ascii="Arial" w:cs="Arial" w:eastAsia="Arial" w:hAnsi="Arial"/>
          <w:sz w:val="18"/>
          <w:szCs w:val="18"/>
          <w:color w:val="auto"/>
        </w:rPr>
        <w:t>.</w:t>
      </w:r>
    </w:p>
    <w:p>
      <w:pPr>
        <w:spacing w:after="0" w:line="216" w:lineRule="exact"/>
        <w:rPr>
          <w:sz w:val="20"/>
          <w:szCs w:val="20"/>
          <w:color w:val="auto"/>
        </w:rPr>
      </w:pPr>
    </w:p>
    <w:p>
      <w:pPr>
        <w:jc w:val="both"/>
        <w:ind w:firstLine="1654"/>
        <w:spacing w:after="0" w:line="243" w:lineRule="auto"/>
        <w:rPr>
          <w:sz w:val="20"/>
          <w:szCs w:val="20"/>
          <w:color w:val="auto"/>
        </w:rPr>
      </w:pPr>
      <w:r>
        <w:rPr>
          <w:rFonts w:ascii="Arial" w:cs="Arial" w:eastAsia="Arial" w:hAnsi="Arial"/>
          <w:sz w:val="20"/>
          <w:szCs w:val="20"/>
          <w:color w:val="auto"/>
        </w:rPr>
        <w:t>10.1.1 Except as otherwise provided for hereunder, all Intellectual Property developed under this Agreement which relates exclusively to the Product, including the Batch Documentation Package, the MBR, the Manufacturing Process, and all other deliverables required by this Agreement, including any improvements or modifications thereto (collectively, “</w:t>
      </w:r>
      <w:r>
        <w:rPr>
          <w:rFonts w:ascii="Arial" w:cs="Arial" w:eastAsia="Arial" w:hAnsi="Arial"/>
          <w:sz w:val="20"/>
          <w:szCs w:val="20"/>
          <w:b w:val="1"/>
          <w:bCs w:val="1"/>
          <w:color w:val="auto"/>
        </w:rPr>
        <w:t>FibroGen Owned Work Product</w:t>
      </w:r>
      <w:r>
        <w:rPr>
          <w:rFonts w:ascii="Arial" w:cs="Arial" w:eastAsia="Arial" w:hAnsi="Arial"/>
          <w:sz w:val="20"/>
          <w:szCs w:val="20"/>
          <w:color w:val="auto"/>
        </w:rPr>
        <w:t>”) shall be owned by FibroGen and Catalent shall and hereby assigns all of Catalents's rights, title and interest in the FibroGen Owned Work Product to FibroGen. For clarity, FibroGen Owned Work Product shall not include Catalent Background Intellectual Property, and, except as set forth in Section 9.2, no rights to Catalent Background Intellectual Property are provided for hereunder. FibroGen Owned Work Product shall be deemed FibroGen Confidential Information.</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4" w:name="page185"/>
    <w:bookmarkEnd w:id="184"/>
    <w:p>
      <w:pPr>
        <w:ind w:right="20" w:firstLine="8"/>
        <w:spacing w:after="0" w:line="298" w:lineRule="auto"/>
        <w:tabs>
          <w:tab w:leader="none" w:pos="23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Catalent shall execute documents and take other actions as FibroGen reasonably requests (at FibroGen's expense) for purposes of applying for, obtaining, perfecting, evidencing, sustaining and enforcing FibroGen's interest in the FibroGen Owned Work Product. The content of all artwork provided by or on behalf of FibroGen to Catalent shall and shall continue to be the sole and exclusive property of FibroGen.</w:t>
      </w:r>
    </w:p>
    <w:p>
      <w:pPr>
        <w:spacing w:after="0" w:line="152" w:lineRule="exact"/>
        <w:rPr>
          <w:sz w:val="20"/>
          <w:szCs w:val="20"/>
          <w:color w:val="auto"/>
        </w:rPr>
      </w:pPr>
    </w:p>
    <w:p>
      <w:pPr>
        <w:jc w:val="both"/>
        <w:ind w:firstLine="1654"/>
        <w:spacing w:after="0" w:line="243" w:lineRule="auto"/>
        <w:rPr>
          <w:sz w:val="20"/>
          <w:szCs w:val="20"/>
          <w:color w:val="auto"/>
        </w:rPr>
      </w:pPr>
      <w:r>
        <w:rPr>
          <w:rFonts w:ascii="Arial" w:cs="Arial" w:eastAsia="Arial" w:hAnsi="Arial"/>
          <w:sz w:val="20"/>
          <w:szCs w:val="20"/>
          <w:color w:val="auto"/>
        </w:rPr>
        <w:t>10.1.2 Catalent shall own Intellectual Property relating to its Manufacturing Services under this Agreement, including those that are generally applicable to developing, formulating, manufacturing, filling, processing, packaging, analyzing, or testing pharmaceutical products generally to the extent not specific to the manufacture, formulation, filling, processing, packaging, analyzing, testing, use, sale, offer for sale, export and/or import of the Product and do not rely on or make a claim towards FibroGen Owned Work Product or FibroGen Confidential Information (“</w:t>
      </w:r>
      <w:r>
        <w:rPr>
          <w:rFonts w:ascii="Arial" w:cs="Arial" w:eastAsia="Arial" w:hAnsi="Arial"/>
          <w:sz w:val="20"/>
          <w:szCs w:val="20"/>
          <w:b w:val="1"/>
          <w:bCs w:val="1"/>
          <w:color w:val="auto"/>
        </w:rPr>
        <w:t>Catalent Owned Work Product</w:t>
      </w:r>
      <w:r>
        <w:rPr>
          <w:rFonts w:ascii="Arial" w:cs="Arial" w:eastAsia="Arial" w:hAnsi="Arial"/>
          <w:sz w:val="20"/>
          <w:szCs w:val="20"/>
          <w:color w:val="auto"/>
        </w:rPr>
        <w:t>”). All Catalent Owned Work Product shall be solely owned by Catalent.</w:t>
      </w:r>
    </w:p>
    <w:p>
      <w:pPr>
        <w:spacing w:after="0" w:line="197"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FibroGen-supplied Materials</w:t>
      </w:r>
      <w:r>
        <w:rPr>
          <w:rFonts w:ascii="Arial" w:cs="Arial" w:eastAsia="Arial" w:hAnsi="Arial"/>
          <w:sz w:val="20"/>
          <w:szCs w:val="20"/>
          <w:color w:val="auto"/>
        </w:rPr>
        <w:t>. As between the Parties and without prejudice to any other ownership rights hereunder, FibroGen shall own all rights and interests in and title to the FibroGen-supplied Materials, including API.</w:t>
      </w:r>
    </w:p>
    <w:p>
      <w:pPr>
        <w:spacing w:after="0" w:line="177"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Intellectual Property Controls</w:t>
      </w:r>
      <w:r>
        <w:rPr>
          <w:rFonts w:ascii="Arial" w:cs="Arial" w:eastAsia="Arial" w:hAnsi="Arial"/>
          <w:sz w:val="20"/>
          <w:szCs w:val="20"/>
          <w:color w:val="auto"/>
        </w:rPr>
        <w:t>. Catalent shall require any of its employees, approved Subcontractors, and employees of such approved Subcontractors to hold any of FibroGen Confidential Information and FibroGen-supplied Materials in strict trust and confidence, and shall require such employees, approved Subcontractors, and employees of such approved Subcontractors to assign all right, title and interest in and to FibroGen Owned Work Product to Catalent so that Catalent may comply with its obligations under this Agreement. Furthermore, Catalent shall protect all FibroGen Confidential Information in no less than the same manner it uses to protect its own confidential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FibroGen</w:t>
      </w:r>
      <w:r>
        <w:rPr>
          <w:rFonts w:ascii="Arial" w:cs="Arial" w:eastAsia="Arial" w:hAnsi="Arial"/>
          <w:sz w:val="16"/>
          <w:szCs w:val="16"/>
          <w:color w:val="auto"/>
        </w:rPr>
        <w:t>. FibroGen hereby represents and warrants to Catalent that, as of the Effective Date:</w:t>
      </w:r>
    </w:p>
    <w:p>
      <w:pPr>
        <w:spacing w:after="0" w:line="216" w:lineRule="exact"/>
        <w:rPr>
          <w:sz w:val="20"/>
          <w:szCs w:val="20"/>
          <w:color w:val="auto"/>
        </w:rPr>
      </w:pPr>
    </w:p>
    <w:p>
      <w:pPr>
        <w:jc w:val="both"/>
        <w:ind w:firstLine="1654"/>
        <w:spacing w:after="0" w:line="26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Power and Authority</w:t>
      </w:r>
      <w:r>
        <w:rPr>
          <w:rFonts w:ascii="Arial" w:cs="Arial" w:eastAsia="Arial" w:hAnsi="Arial"/>
          <w:sz w:val="18"/>
          <w:szCs w:val="18"/>
          <w:color w:val="auto"/>
        </w:rPr>
        <w:t>. FibroGen is duly formed and validly existing under the laws of its jurisdiction of formation and has all requisite corporate power and authority to execute and enter into this Agreement and to perform its obligations hereunder. Furthermore, FibroGen represents and warrants to Catalent that neither FibroGen nor any of its employees has (to the best of its knowledge) or will perform any of the following acts, either directly or through a Third Party, in connection with this Agreement: (a) pay, offer or promise to pay, or authorize the payment of, any money; (b) give or promise to give, or authorize the giving of, any services or anything else of value; or</w:t>
      </w:r>
    </w:p>
    <w:p>
      <w:pPr>
        <w:spacing w:after="0" w:line="4" w:lineRule="exact"/>
        <w:rPr>
          <w:sz w:val="20"/>
          <w:szCs w:val="20"/>
          <w:color w:val="auto"/>
        </w:rPr>
      </w:pPr>
    </w:p>
    <w:p>
      <w:pPr>
        <w:jc w:val="both"/>
        <w:ind w:firstLine="8"/>
        <w:spacing w:after="0" w:line="272" w:lineRule="auto"/>
        <w:tabs>
          <w:tab w:leader="none" w:pos="3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any other transactions, to or with any official or employee of any governmental agency or instrumentality, or of a public international organization, or of any agency or subdivision thereof, or to any political party or official thereof or to any candidate for political office, in each case for the purpose of: (i) influencing any act or decision of that person in his/her official capacity, including a decision to fail to perform his/her official functions with such governmental agency or instrumentality or such public international organization or such political party; (ii) inducing such person to use his/her influence with such governmental agency or instrumentality or such public international organization or such political party to affect or influence any act or decision thereof; or (iii) securing any improper advantage.</w:t>
      </w:r>
    </w:p>
    <w:p>
      <w:pPr>
        <w:spacing w:after="0" w:line="170" w:lineRule="exact"/>
        <w:rPr>
          <w:sz w:val="20"/>
          <w:szCs w:val="20"/>
          <w:color w:val="auto"/>
        </w:rPr>
      </w:pPr>
    </w:p>
    <w:p>
      <w:pPr>
        <w:jc w:val="both"/>
        <w:ind w:firstLine="1654"/>
        <w:spacing w:after="0" w:line="246" w:lineRule="auto"/>
        <w:rPr>
          <w:sz w:val="20"/>
          <w:szCs w:val="20"/>
          <w:color w:val="auto"/>
        </w:rPr>
      </w:pPr>
      <w:r>
        <w:rPr>
          <w:rFonts w:ascii="Arial" w:cs="Arial" w:eastAsia="Arial" w:hAnsi="Arial"/>
          <w:sz w:val="20"/>
          <w:szCs w:val="20"/>
          <w:color w:val="auto"/>
        </w:rPr>
        <w:t xml:space="preserve">11.1.2 </w:t>
      </w:r>
      <w:r>
        <w:rPr>
          <w:rFonts w:ascii="Arial" w:cs="Arial" w:eastAsia="Arial" w:hAnsi="Arial"/>
          <w:sz w:val="20"/>
          <w:szCs w:val="20"/>
          <w:u w:val="single" w:color="auto"/>
          <w:color w:val="auto"/>
        </w:rPr>
        <w:t>Execution, Delivery and Performance of the Agreement</w:t>
      </w:r>
      <w:r>
        <w:rPr>
          <w:rFonts w:ascii="Arial" w:cs="Arial" w:eastAsia="Arial" w:hAnsi="Arial"/>
          <w:sz w:val="20"/>
          <w:szCs w:val="20"/>
          <w:color w:val="auto"/>
        </w:rPr>
        <w:t>. FibroGen has taken all necessary corporate action on its part to authorize the execution and delivery of this Agreement and the performance of its obligations under this Agreement. This Agreement shall be duly executed and delivered on behalf of FibroGen, and constitute a legal, valid, binding obligation, enforceable against FibroGen and its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5" w:name="page186"/>
    <w:bookmarkEnd w:id="185"/>
    <w:p>
      <w:pPr>
        <w:ind w:right="20" w:firstLine="8"/>
        <w:spacing w:after="0" w:line="298" w:lineRule="auto"/>
        <w:tabs>
          <w:tab w:leader="none" w:pos="23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successors and assigns in accordance with its terms and conditions. The execution, delivery and performance of this Agreement does not materially breach, conflict with, violate, contravene or constitute a default under any contracts, arrangements or commitments to which FibroGen is a party or by which it is bound nor does the execution, delivery and performance of this Agreement by FibroGen violate any order, law or regulation of any court or Regulatory Authority having authority over it.</w:t>
      </w:r>
    </w:p>
    <w:p>
      <w:pPr>
        <w:spacing w:after="0" w:line="192" w:lineRule="exact"/>
        <w:rPr>
          <w:sz w:val="20"/>
          <w:szCs w:val="20"/>
          <w:color w:val="auto"/>
        </w:rPr>
      </w:pPr>
    </w:p>
    <w:p>
      <w:pPr>
        <w:jc w:val="both"/>
        <w:ind w:right="20" w:firstLine="1654"/>
        <w:spacing w:after="0" w:line="260"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Materials and Information</w:t>
      </w:r>
      <w:r>
        <w:rPr>
          <w:rFonts w:ascii="Arial" w:cs="Arial" w:eastAsia="Arial" w:hAnsi="Arial"/>
          <w:sz w:val="20"/>
          <w:szCs w:val="20"/>
          <w:color w:val="auto"/>
        </w:rPr>
        <w:t>. FibroGen is free to supply to Catalent the FibroGen Confidential Information and FibroGen-supplied Materials supplied by FibroGen to Catalent.</w:t>
      </w:r>
    </w:p>
    <w:p>
      <w:pPr>
        <w:spacing w:after="0" w:line="177"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u w:val="single" w:color="auto"/>
          <w:color w:val="auto"/>
        </w:rPr>
        <w:t>License</w:t>
      </w:r>
      <w:r>
        <w:rPr>
          <w:rFonts w:ascii="Arial" w:cs="Arial" w:eastAsia="Arial" w:hAnsi="Arial"/>
          <w:sz w:val="18"/>
          <w:szCs w:val="18"/>
          <w:color w:val="auto"/>
        </w:rPr>
        <w:t>. FibroGen has the right, power and authority to grant Catalent the license set forth in Section 9.1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jc w:val="both"/>
        <w:ind w:firstLine="1654"/>
        <w:spacing w:after="0" w:line="243" w:lineRule="auto"/>
        <w:rPr>
          <w:sz w:val="20"/>
          <w:szCs w:val="20"/>
          <w:color w:val="auto"/>
        </w:rPr>
      </w:pPr>
      <w:r>
        <w:rPr>
          <w:rFonts w:ascii="Arial" w:cs="Arial" w:eastAsia="Arial" w:hAnsi="Arial"/>
          <w:sz w:val="20"/>
          <w:szCs w:val="20"/>
          <w:color w:val="auto"/>
        </w:rPr>
        <w:t>11.1.5 All FibroGen-supplied Materials shall have been produced in accordance with Applicable Laws, shall comply with all applicable specifications, including the Specifications, shall not be adulterated, misbranded or mislabeled within the meaning of Applicable Laws, and shall have been provided in accordance with the terms and conditions of this Agreement. If FibroGen learns of the noncompliance of an Applicable Law that materially impacts the Manufacturing Services by an employee, agent, or Subcontractor being used by Fibrogen, Fibrogen will promptly so notify Catalent in writing, and appropriate action will be taken by FibroGen in consultation with Catalent, as may be practical and appropriate under the circumstances.</w:t>
      </w:r>
    </w:p>
    <w:p>
      <w:pPr>
        <w:spacing w:after="0" w:line="196"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20"/>
          <w:szCs w:val="20"/>
          <w:color w:val="auto"/>
        </w:rPr>
        <w:t>The content of all artwork provided by or on behalf of FibroGen to Catalent shall comply with all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Applicable Laws.</w:t>
      </w:r>
    </w:p>
    <w:p>
      <w:pPr>
        <w:spacing w:after="0" w:line="200" w:lineRule="exact"/>
        <w:rPr>
          <w:sz w:val="20"/>
          <w:szCs w:val="20"/>
          <w:color w:val="auto"/>
        </w:rPr>
      </w:pPr>
    </w:p>
    <w:p>
      <w:pPr>
        <w:jc w:val="both"/>
        <w:ind w:firstLine="1654"/>
        <w:spacing w:after="0" w:line="250" w:lineRule="auto"/>
        <w:rPr>
          <w:sz w:val="20"/>
          <w:szCs w:val="20"/>
          <w:color w:val="auto"/>
        </w:rPr>
      </w:pPr>
      <w:r>
        <w:rPr>
          <w:rFonts w:ascii="Arial" w:cs="Arial" w:eastAsia="Arial" w:hAnsi="Arial"/>
          <w:sz w:val="20"/>
          <w:szCs w:val="20"/>
          <w:color w:val="auto"/>
        </w:rPr>
        <w:t>11.1.7 All Product delivered to FibroGen by Catalent shall be held, used and disposed of by or on behalf of FibroGen in accordance with this Agreement and Applicable Laws, and FibroGen will otherwise comply with Applicable Laws relating to FibroGen's performance under this Agreement.</w:t>
      </w:r>
    </w:p>
    <w:p>
      <w:pPr>
        <w:spacing w:after="0" w:line="186" w:lineRule="exact"/>
        <w:rPr>
          <w:sz w:val="20"/>
          <w:szCs w:val="20"/>
          <w:color w:val="auto"/>
        </w:rPr>
      </w:pPr>
    </w:p>
    <w:p>
      <w:pPr>
        <w:jc w:val="both"/>
        <w:ind w:firstLine="1654"/>
        <w:spacing w:after="0" w:line="250" w:lineRule="auto"/>
        <w:rPr>
          <w:sz w:val="20"/>
          <w:szCs w:val="20"/>
          <w:color w:val="auto"/>
        </w:rPr>
      </w:pPr>
      <w:r>
        <w:rPr>
          <w:rFonts w:ascii="Arial" w:cs="Arial" w:eastAsia="Arial" w:hAnsi="Arial"/>
          <w:sz w:val="20"/>
          <w:szCs w:val="20"/>
          <w:color w:val="auto"/>
        </w:rPr>
        <w:t>11.1.8 FibroGen will not release any Batch of Product if the required certificates of conformance indicate that Product does not comply with the Specifications or if FibroGen (or its Designee) does not hold all necessary Regulatory Approvals to market and sell the Product, or in the conduct of any clinical trial utilizing Product or API.</w:t>
      </w:r>
    </w:p>
    <w:p>
      <w:pPr>
        <w:spacing w:after="0" w:line="186" w:lineRule="exact"/>
        <w:rPr>
          <w:sz w:val="20"/>
          <w:szCs w:val="20"/>
          <w:color w:val="auto"/>
        </w:rPr>
      </w:pPr>
    </w:p>
    <w:p>
      <w:pPr>
        <w:jc w:val="both"/>
        <w:ind w:firstLine="1654"/>
        <w:spacing w:after="0" w:line="246" w:lineRule="auto"/>
        <w:rPr>
          <w:sz w:val="20"/>
          <w:szCs w:val="20"/>
          <w:color w:val="auto"/>
        </w:rPr>
      </w:pPr>
      <w:r>
        <w:rPr>
          <w:rFonts w:ascii="Arial" w:cs="Arial" w:eastAsia="Arial" w:hAnsi="Arial"/>
          <w:sz w:val="20"/>
          <w:szCs w:val="20"/>
          <w:color w:val="auto"/>
        </w:rPr>
        <w:t>11.1.9 To FibroGen's knowledge, there is (i) no patent owned by a Third Party related to the FibroGen Intellectual Property used to Process Product that would be infringed or misused by performance under this Agreement and (ii) no trade secret or other proprietary right of a Third Party related to the FibroGen Intellectual Property used to Process Product that would be infringed or misused by performance under this Agreement..</w:t>
      </w:r>
    </w:p>
    <w:p>
      <w:pPr>
        <w:spacing w:after="0" w:line="192" w:lineRule="exact"/>
        <w:rPr>
          <w:sz w:val="20"/>
          <w:szCs w:val="20"/>
          <w:color w:val="auto"/>
        </w:rPr>
      </w:pPr>
    </w:p>
    <w:p>
      <w:pPr>
        <w:ind w:left="1660"/>
        <w:spacing w:after="0"/>
        <w:tabs>
          <w:tab w:leader="none" w:pos="2880" w:val="left"/>
        </w:tabs>
        <w:rPr>
          <w:sz w:val="20"/>
          <w:szCs w:val="20"/>
          <w:color w:val="auto"/>
        </w:rPr>
      </w:pPr>
      <w:r>
        <w:rPr>
          <w:rFonts w:ascii="Arial" w:cs="Arial" w:eastAsia="Arial" w:hAnsi="Arial"/>
          <w:sz w:val="20"/>
          <w:szCs w:val="20"/>
          <w:color w:val="auto"/>
        </w:rPr>
        <w:t>11.1.10</w:t>
      </w:r>
      <w:r>
        <w:rPr>
          <w:sz w:val="20"/>
          <w:szCs w:val="20"/>
          <w:color w:val="auto"/>
        </w:rPr>
        <w:tab/>
      </w:r>
      <w:r>
        <w:rPr>
          <w:rFonts w:ascii="Arial" w:cs="Arial" w:eastAsia="Arial" w:hAnsi="Arial"/>
          <w:sz w:val="18"/>
          <w:szCs w:val="18"/>
          <w:color w:val="auto"/>
        </w:rPr>
        <w:t>FibroGen has all authorizations and permits required to deliver (or have delivered) API to the Facility.</w:t>
      </w:r>
    </w:p>
    <w:p>
      <w:pPr>
        <w:spacing w:after="0" w:line="216" w:lineRule="exact"/>
        <w:rPr>
          <w:sz w:val="20"/>
          <w:szCs w:val="20"/>
          <w:color w:val="auto"/>
        </w:rPr>
      </w:pPr>
    </w:p>
    <w:p>
      <w:pPr>
        <w:jc w:val="both"/>
        <w:ind w:firstLine="1654"/>
        <w:spacing w:after="0" w:line="250" w:lineRule="auto"/>
        <w:rPr>
          <w:sz w:val="20"/>
          <w:szCs w:val="20"/>
          <w:color w:val="auto"/>
        </w:rPr>
      </w:pPr>
      <w:r>
        <w:rPr>
          <w:rFonts w:ascii="Arial" w:cs="Arial" w:eastAsia="Arial" w:hAnsi="Arial"/>
          <w:sz w:val="20"/>
          <w:szCs w:val="20"/>
          <w:color w:val="auto"/>
        </w:rPr>
        <w:t>11.1.11 FibroGen further represents and warrants that no transaction or dealing under this Agreement shall be conducted with or for an individual or entity that is designated as the target of any sanction, restriction or embargo administered by the United Nations, European Union, United Kingdom, or United States.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6" w:name="page187"/>
    <w:bookmarkEnd w:id="186"/>
    <w:p>
      <w:pPr>
        <w:ind w:right="20" w:firstLine="8"/>
        <w:spacing w:after="0" w:line="298" w:lineRule="auto"/>
        <w:tabs>
          <w:tab w:leader="none" w:pos="23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u w:val="single" w:color="auto"/>
          <w:color w:val="auto"/>
        </w:rPr>
        <w:t>Catalent</w:t>
      </w:r>
      <w:r>
        <w:rPr>
          <w:rFonts w:ascii="Arial" w:cs="Arial" w:eastAsia="Arial" w:hAnsi="Arial"/>
          <w:sz w:val="16"/>
          <w:szCs w:val="16"/>
          <w:color w:val="auto"/>
        </w:rPr>
        <w:t>. Catalent hereby represents and warrants to FibroGen that, as of the Effective Date:</w:t>
      </w:r>
    </w:p>
    <w:p>
      <w:pPr>
        <w:spacing w:after="0" w:line="216" w:lineRule="exact"/>
        <w:rPr>
          <w:sz w:val="20"/>
          <w:szCs w:val="20"/>
          <w:color w:val="auto"/>
        </w:rPr>
      </w:pPr>
    </w:p>
    <w:p>
      <w:pPr>
        <w:jc w:val="both"/>
        <w:ind w:firstLine="1654"/>
        <w:spacing w:after="0" w:line="287" w:lineRule="auto"/>
        <w:rPr>
          <w:sz w:val="20"/>
          <w:szCs w:val="20"/>
          <w:color w:val="auto"/>
        </w:rPr>
      </w:pPr>
      <w:r>
        <w:rPr>
          <w:rFonts w:ascii="Arial" w:cs="Arial" w:eastAsia="Arial" w:hAnsi="Arial"/>
          <w:sz w:val="19"/>
          <w:szCs w:val="19"/>
          <w:color w:val="auto"/>
        </w:rPr>
        <w:t xml:space="preserve">11.2.1 </w:t>
      </w:r>
      <w:r>
        <w:rPr>
          <w:rFonts w:ascii="Arial" w:cs="Arial" w:eastAsia="Arial" w:hAnsi="Arial"/>
          <w:sz w:val="19"/>
          <w:szCs w:val="19"/>
          <w:u w:val="single" w:color="auto"/>
          <w:color w:val="auto"/>
        </w:rPr>
        <w:t>Power and Authority</w:t>
      </w:r>
      <w:r>
        <w:rPr>
          <w:rFonts w:ascii="Arial" w:cs="Arial" w:eastAsia="Arial" w:hAnsi="Arial"/>
          <w:sz w:val="19"/>
          <w:szCs w:val="19"/>
          <w:color w:val="auto"/>
        </w:rPr>
        <w:t>. Catalent is duly formed and validly existing under the laws of its jurisdiction of formation and has all requisite corporate power and authority to execute and enter into this Agreement and to perform its obligations hereunder.</w:t>
      </w:r>
    </w:p>
    <w:p>
      <w:pPr>
        <w:spacing w:after="0" w:line="153" w:lineRule="exact"/>
        <w:rPr>
          <w:sz w:val="20"/>
          <w:szCs w:val="20"/>
          <w:color w:val="auto"/>
        </w:rPr>
      </w:pPr>
    </w:p>
    <w:p>
      <w:pPr>
        <w:jc w:val="both"/>
        <w:ind w:firstLine="1654"/>
        <w:spacing w:after="0" w:line="258"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Execution, Delivery and Performance of Agreement</w:t>
      </w:r>
      <w:r>
        <w:rPr>
          <w:rFonts w:ascii="Arial" w:cs="Arial" w:eastAsia="Arial" w:hAnsi="Arial"/>
          <w:sz w:val="19"/>
          <w:szCs w:val="19"/>
          <w:color w:val="auto"/>
        </w:rPr>
        <w:t>. Catalent has taken all necessary corporate action on its part to authorize the execution and delivery of this Agreement and the performance of its obligations under this Agreement. This Agreement shall be duly executed and delivered on behalf of Catalent, and constitutes a legal, valid, binding obligation, enforceable against Catalent and its successors and assigns in accordance with its terms. The execution, delivery and performance of this Agreement does not materially breach, conflict with, violate, contravene or constitute a default under any contracts, arrangements or commitments to which Catalent is a party or by which it is bound nor does the execution, delivery and performance of this Agreement by Catalent violate any order, law or regulation of any court or Regulatory Authority having authority over it.</w:t>
      </w:r>
    </w:p>
    <w:p>
      <w:pPr>
        <w:spacing w:after="0" w:line="179" w:lineRule="exact"/>
        <w:rPr>
          <w:sz w:val="20"/>
          <w:szCs w:val="20"/>
          <w:color w:val="auto"/>
        </w:rPr>
      </w:pPr>
    </w:p>
    <w:p>
      <w:pPr>
        <w:jc w:val="both"/>
        <w:ind w:firstLine="1654"/>
        <w:spacing w:after="0" w:line="282"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Catalent is, to its knowledge, in compliance with all Applicable Laws, regulatory guidelines and industry standards relating to the performance of the Manufacturing Services. If Catalent learns of the noncompliance of an Applicable Law that materially impacts the Manufacturing Services by an employee, agent, or Subcontractor being used by Catalent, Catalent will promptly so notify FibroGen in writing, and appropriate action will be taken by Catalent at Catalent's sole expense.</w:t>
      </w:r>
    </w:p>
    <w:p>
      <w:pPr>
        <w:spacing w:after="0" w:line="162" w:lineRule="exact"/>
        <w:rPr>
          <w:sz w:val="20"/>
          <w:szCs w:val="20"/>
          <w:color w:val="auto"/>
        </w:rPr>
      </w:pPr>
    </w:p>
    <w:p>
      <w:pPr>
        <w:jc w:val="both"/>
        <w:ind w:firstLine="1654"/>
        <w:spacing w:after="0" w:line="274"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No Patent Infringement</w:t>
      </w:r>
      <w:r>
        <w:rPr>
          <w:rFonts w:ascii="Arial" w:cs="Arial" w:eastAsia="Arial" w:hAnsi="Arial"/>
          <w:sz w:val="18"/>
          <w:szCs w:val="18"/>
          <w:color w:val="auto"/>
        </w:rPr>
        <w:t>. The Manufacturing Services to be performed under this Agreement, based on the practice of Catalent Background Intellectual Property as contemplated to be used to manufacture the Products hereunder, will not violate or infringe upon any patent, trade secret, copyright or other intellectual property held by a Third Party; it being understood that such representation shall not extent to any such infringement or violation based on FibroGen Intellectual Property, instructions, or specifications provided to Catalent. No Third Party has filed, pursued or maintained or threatened in writing to file, pursue or maintain any claim, lawsuit, charge, complaint or other action alleging infringement of a Third Party Patent or misappropriation of trade secret based on the practice of Catalent Background Intellectual Property as contemplated to be used to manufacture the Products hereunder. [ ].</w:t>
      </w:r>
    </w:p>
    <w:p>
      <w:pPr>
        <w:spacing w:after="0" w:line="169" w:lineRule="exact"/>
        <w:rPr>
          <w:sz w:val="20"/>
          <w:szCs w:val="20"/>
          <w:color w:val="auto"/>
        </w:rPr>
      </w:pPr>
    </w:p>
    <w:p>
      <w:pPr>
        <w:jc w:val="both"/>
        <w:ind w:right="20" w:firstLine="1654"/>
        <w:spacing w:after="0" w:line="260" w:lineRule="auto"/>
        <w:rPr>
          <w:sz w:val="20"/>
          <w:szCs w:val="20"/>
          <w:color w:val="auto"/>
        </w:rPr>
      </w:pPr>
      <w:r>
        <w:rPr>
          <w:rFonts w:ascii="Arial" w:cs="Arial" w:eastAsia="Arial" w:hAnsi="Arial"/>
          <w:sz w:val="20"/>
          <w:szCs w:val="20"/>
          <w:color w:val="auto"/>
        </w:rPr>
        <w:t xml:space="preserve">11.2.5 </w:t>
      </w:r>
      <w:r>
        <w:rPr>
          <w:rFonts w:ascii="Arial" w:cs="Arial" w:eastAsia="Arial" w:hAnsi="Arial"/>
          <w:sz w:val="20"/>
          <w:szCs w:val="20"/>
          <w:u w:val="single" w:color="auto"/>
          <w:color w:val="auto"/>
        </w:rPr>
        <w:t>License</w:t>
      </w:r>
      <w:r>
        <w:rPr>
          <w:rFonts w:ascii="Arial" w:cs="Arial" w:eastAsia="Arial" w:hAnsi="Arial"/>
          <w:sz w:val="20"/>
          <w:szCs w:val="20"/>
          <w:color w:val="auto"/>
        </w:rPr>
        <w:t>. Catalent has the right, power and authority to grant FibroGen the license set forth in Section 9.2 above and will not enter into any contract, arrangement or commitment in the future which prohibits the grant of such license.</w:t>
      </w:r>
    </w:p>
    <w:p>
      <w:pPr>
        <w:spacing w:after="0" w:line="177" w:lineRule="exact"/>
        <w:rPr>
          <w:sz w:val="20"/>
          <w:szCs w:val="20"/>
          <w:color w:val="auto"/>
        </w:rPr>
      </w:pPr>
    </w:p>
    <w:p>
      <w:pPr>
        <w:jc w:val="both"/>
        <w:ind w:firstLine="1654"/>
        <w:spacing w:after="0" w:line="259" w:lineRule="auto"/>
        <w:rPr>
          <w:sz w:val="20"/>
          <w:szCs w:val="20"/>
          <w:color w:val="auto"/>
        </w:rPr>
      </w:pPr>
      <w:r>
        <w:rPr>
          <w:rFonts w:ascii="Arial" w:cs="Arial" w:eastAsia="Arial" w:hAnsi="Arial"/>
          <w:sz w:val="19"/>
          <w:szCs w:val="19"/>
          <w:color w:val="auto"/>
        </w:rPr>
        <w:t xml:space="preserve">11.2.6 </w:t>
      </w:r>
      <w:r>
        <w:rPr>
          <w:rFonts w:ascii="Arial" w:cs="Arial" w:eastAsia="Arial" w:hAnsi="Arial"/>
          <w:sz w:val="19"/>
          <w:szCs w:val="19"/>
          <w:u w:val="single" w:color="auto"/>
          <w:color w:val="auto"/>
        </w:rPr>
        <w:t>Product Warranty</w:t>
      </w:r>
      <w:r>
        <w:rPr>
          <w:rFonts w:ascii="Arial" w:cs="Arial" w:eastAsia="Arial" w:hAnsi="Arial"/>
          <w:sz w:val="19"/>
          <w:szCs w:val="19"/>
          <w:color w:val="auto"/>
        </w:rPr>
        <w:t>. At the time of Delivery by Catalent as provided in Section 4.3, Product shall have been Processed in accordance with Applicable Laws and in conformity with the Master Batch Record, and will at the time of Delivery, conform to the Specifications and Purchase Order, and shall not be adulterated, misbranded or mislabeled within the meaning of Applicable Laws; will have been packaged in accordance with the storage requirements as defined in the Specifications and Master Batch Records (as applicable); and will be transferred free and clear of any liens or encumbrances of any kind; provided, that Catalent shall not be liable for defects attributable to FibroGen-supplied Materials (including artwork, advertising and labeling).</w:t>
      </w:r>
    </w:p>
    <w:p>
      <w:pPr>
        <w:spacing w:after="0" w:line="179" w:lineRule="exact"/>
        <w:rPr>
          <w:sz w:val="20"/>
          <w:szCs w:val="20"/>
          <w:color w:val="auto"/>
        </w:rPr>
      </w:pPr>
    </w:p>
    <w:p>
      <w:pPr>
        <w:jc w:val="both"/>
        <w:ind w:right="20" w:firstLine="1654"/>
        <w:spacing w:after="0" w:line="260" w:lineRule="auto"/>
        <w:rPr>
          <w:sz w:val="20"/>
          <w:szCs w:val="20"/>
          <w:color w:val="auto"/>
        </w:rPr>
      </w:pPr>
      <w:r>
        <w:rPr>
          <w:rFonts w:ascii="Arial" w:cs="Arial" w:eastAsia="Arial" w:hAnsi="Arial"/>
          <w:sz w:val="20"/>
          <w:szCs w:val="20"/>
          <w:color w:val="auto"/>
        </w:rPr>
        <w:t>11.2.7 Catalent will not in the performance of its obligations under this Agreement use the services of any person debarred or suspended under 21 U.S.C. §335(a) or (b).</w:t>
      </w:r>
    </w:p>
    <w:p>
      <w:pPr>
        <w:spacing w:after="0" w:line="177" w:lineRule="exact"/>
        <w:rPr>
          <w:sz w:val="20"/>
          <w:szCs w:val="20"/>
          <w:color w:val="auto"/>
        </w:rPr>
      </w:pPr>
    </w:p>
    <w:p>
      <w:pPr>
        <w:jc w:val="both"/>
        <w:ind w:firstLine="1654"/>
        <w:spacing w:after="0" w:line="260" w:lineRule="auto"/>
        <w:rPr>
          <w:sz w:val="20"/>
          <w:szCs w:val="20"/>
          <w:color w:val="auto"/>
        </w:rPr>
      </w:pPr>
      <w:r>
        <w:rPr>
          <w:rFonts w:ascii="Arial" w:cs="Arial" w:eastAsia="Arial" w:hAnsi="Arial"/>
          <w:sz w:val="20"/>
          <w:szCs w:val="20"/>
          <w:color w:val="auto"/>
        </w:rPr>
        <w:t>11.2.8 Catalent represents and warrants that no transaction or dealing under this Agreement shall be conducted with or for an individual or entity that is designated as the target of any sanction, restriction or</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7" w:name="page188"/>
    <w:bookmarkEnd w:id="187"/>
    <w:p>
      <w:pPr>
        <w:ind w:right="20" w:firstLine="8"/>
        <w:spacing w:after="0" w:line="298" w:lineRule="auto"/>
        <w:tabs>
          <w:tab w:leader="none" w:pos="23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embargo administered by the United Nations, European Union, United Kingdom, or United States. Furthermore, Catalent represents and warrants to FibroGen that neither Catalent nor any of its employees has (to the best of its knowledge) or will perform any of the following acts, either directly or through a Third Party, in connection with this Agreement: (a) pay, offer or promise to pay, or authorize the payment of, any money; (b) give or promise to give, or authorize the giving of, any services or anything else of value; or (c) enter into any other transactions, to or with any official or employee of any governmental agency or instrumentality, or of a public international organization, or of any agency or subdivision thereof, or to any political party or official thereof or to any candidate for political office, in each case for the purpose of: (i) influencing any act or decision of that person in his/her official capacity, including a decision to fail to perform his/her official functions with such governmental agency or instrumentality or such public international organization or such political party; (ii) inducing such person to use his/her influence with such governmental agency or instrumentality or such public international organization or such political party to affect or influence any act or decision thereof; or (iii) securing any improper advantage.</w:t>
      </w:r>
    </w:p>
    <w:p>
      <w:pPr>
        <w:spacing w:after="0" w:line="175" w:lineRule="exact"/>
        <w:rPr>
          <w:sz w:val="20"/>
          <w:szCs w:val="20"/>
          <w:color w:val="auto"/>
        </w:rPr>
      </w:pPr>
    </w:p>
    <w:p>
      <w:pPr>
        <w:jc w:val="both"/>
        <w:ind w:right="20" w:firstLine="1654"/>
        <w:spacing w:after="0" w:line="260" w:lineRule="auto"/>
        <w:rPr>
          <w:sz w:val="20"/>
          <w:szCs w:val="20"/>
          <w:color w:val="auto"/>
        </w:rPr>
      </w:pPr>
      <w:r>
        <w:rPr>
          <w:rFonts w:ascii="Arial" w:cs="Arial" w:eastAsia="Arial" w:hAnsi="Arial"/>
          <w:sz w:val="20"/>
          <w:szCs w:val="20"/>
          <w:color w:val="auto"/>
        </w:rPr>
        <w:t>11.2.9 Catalent represents and warrants that, in furtherance of preventing fraud, bribery and corruption, racketeering, money laundering or terrorism, and ensuring product safety, it will comply with [ ].</w:t>
      </w:r>
    </w:p>
    <w:p>
      <w:pPr>
        <w:spacing w:after="0" w:line="177" w:lineRule="exact"/>
        <w:rPr>
          <w:sz w:val="20"/>
          <w:szCs w:val="20"/>
          <w:color w:val="auto"/>
        </w:rPr>
      </w:pPr>
    </w:p>
    <w:p>
      <w:pPr>
        <w:jc w:val="both"/>
        <w:ind w:firstLine="827"/>
        <w:spacing w:after="0" w:line="26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Limitations</w:t>
      </w:r>
      <w:r>
        <w:rPr>
          <w:rFonts w:ascii="Arial" w:cs="Arial" w:eastAsia="Arial" w:hAnsi="Arial"/>
          <w:sz w:val="19"/>
          <w:szCs w:val="19"/>
          <w:color w:val="auto"/>
        </w:rPr>
        <w:t>. THE REPRESENTATIONS AND WARRANTIES SET FORTH IN THIS ARTICLE ARE THE SOLE AND EXCLUSIVE REPRESENTATIONS AND WARRANTIES MADE BY EACH PARTY TO THE OTHER PARTY, AND NEITHER PARTY MAKES ANY OTHER REPRESENTATION, WARRANTY OR GUARANTEE OF ANY KIND WHATSOEVER, INCLUDING ANY IMPLIED WARRANTY OF MERCHANTABILITY, NON-INFRINGEMENT OR FITNESS FOR A PARTICULAR PURPOSE.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 LIMITATION OF LIABILITY</w:t>
      </w:r>
    </w:p>
    <w:p>
      <w:pPr>
        <w:spacing w:after="0" w:line="200" w:lineRule="exact"/>
        <w:rPr>
          <w:sz w:val="20"/>
          <w:szCs w:val="20"/>
          <w:color w:val="auto"/>
        </w:rPr>
      </w:pPr>
    </w:p>
    <w:p>
      <w:pPr>
        <w:jc w:val="both"/>
        <w:ind w:firstLine="827"/>
        <w:spacing w:after="0" w:line="27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Indemnification by FibroGen</w:t>
      </w:r>
      <w:r>
        <w:rPr>
          <w:rFonts w:ascii="Arial" w:cs="Arial" w:eastAsia="Arial" w:hAnsi="Arial"/>
          <w:sz w:val="18"/>
          <w:szCs w:val="18"/>
          <w:color w:val="auto"/>
        </w:rPr>
        <w:t>. Subject to Section 12.3, FibroGen shall indemnify, defend and hold Catalent, and their directors, officers, employees and agents (the “</w:t>
      </w:r>
      <w:r>
        <w:rPr>
          <w:rFonts w:ascii="Arial" w:cs="Arial" w:eastAsia="Arial" w:hAnsi="Arial"/>
          <w:sz w:val="18"/>
          <w:szCs w:val="18"/>
          <w:b w:val="1"/>
          <w:bCs w:val="1"/>
          <w:color w:val="auto"/>
        </w:rPr>
        <w:t>Catalent Indemnitees</w:t>
      </w:r>
      <w:r>
        <w:rPr>
          <w:rFonts w:ascii="Arial" w:cs="Arial" w:eastAsia="Arial" w:hAnsi="Arial"/>
          <w:sz w:val="18"/>
          <w:szCs w:val="18"/>
          <w:color w:val="auto"/>
        </w:rPr>
        <w:t>”) harmless from and against all losses, damages, liabilities, settlements, penalties, fines, costs and expenses (including, without limitation, reasonable attorneys' fees and expenses) (collectively, the “</w:t>
      </w:r>
      <w:r>
        <w:rPr>
          <w:rFonts w:ascii="Arial" w:cs="Arial" w:eastAsia="Arial" w:hAnsi="Arial"/>
          <w:sz w:val="18"/>
          <w:szCs w:val="18"/>
          <w:b w:val="1"/>
          <w:bCs w:val="1"/>
          <w:color w:val="auto"/>
        </w:rPr>
        <w:t>Losses</w:t>
      </w:r>
      <w:r>
        <w:rPr>
          <w:rFonts w:ascii="Arial" w:cs="Arial" w:eastAsia="Arial" w:hAnsi="Arial"/>
          <w:sz w:val="18"/>
          <w:szCs w:val="18"/>
          <w:color w:val="auto"/>
        </w:rPr>
        <w:t>”) incurred by Catalent Indemnitees to the extent such Losses arise out of, relate to or result from any claim, lawsuit or other action or threat by a Third Party relating to or arising out of [ [ ] ], except to the extent any such Losses arise out of or result from a Catalent Indemnitee's negligence, willful misconduct, or breach of its representations, warranties or obligations set forth in this Agreement.</w:t>
      </w:r>
    </w:p>
    <w:p>
      <w:pPr>
        <w:spacing w:after="0" w:line="165" w:lineRule="exact"/>
        <w:rPr>
          <w:sz w:val="20"/>
          <w:szCs w:val="20"/>
          <w:color w:val="auto"/>
        </w:rPr>
      </w:pPr>
    </w:p>
    <w:p>
      <w:pPr>
        <w:jc w:val="both"/>
        <w:ind w:firstLine="827"/>
        <w:spacing w:after="0" w:line="244"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Indemnification by Catalent</w:t>
      </w:r>
      <w:r>
        <w:rPr>
          <w:rFonts w:ascii="Arial" w:cs="Arial" w:eastAsia="Arial" w:hAnsi="Arial"/>
          <w:sz w:val="20"/>
          <w:szCs w:val="20"/>
          <w:color w:val="auto"/>
        </w:rPr>
        <w:t>. Subject to Section 12.3, Catalent shall indemnify, defend and hold FibroGen, and their directors, officers, employees and agents (the “</w:t>
      </w:r>
      <w:r>
        <w:rPr>
          <w:rFonts w:ascii="Arial" w:cs="Arial" w:eastAsia="Arial" w:hAnsi="Arial"/>
          <w:sz w:val="20"/>
          <w:szCs w:val="20"/>
          <w:b w:val="1"/>
          <w:bCs w:val="1"/>
          <w:color w:val="auto"/>
        </w:rPr>
        <w:t>FibroGen Indemnitees</w:t>
      </w:r>
      <w:r>
        <w:rPr>
          <w:rFonts w:ascii="Arial" w:cs="Arial" w:eastAsia="Arial" w:hAnsi="Arial"/>
          <w:sz w:val="20"/>
          <w:szCs w:val="20"/>
          <w:color w:val="auto"/>
        </w:rPr>
        <w:t>”) harmless from and against all Losses incurred by FibroGen Indemnitees to the extent such Losses arise out of or result from any claim, lawsuit or other action or threat by a Third Party relating to or arising out of [ ] in each case except to the extent any such Losses arise out of or result from a FibroGen Indemnitee's negligence, willful misconduct, or breach of its representations, warranties or obligations set forth in this Agreement.</w:t>
      </w:r>
    </w:p>
    <w:p>
      <w:pPr>
        <w:spacing w:after="0" w:line="195"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10" w:lineRule="exact"/>
        <w:rPr>
          <w:sz w:val="20"/>
          <w:szCs w:val="20"/>
          <w:color w:val="auto"/>
        </w:rPr>
      </w:pPr>
    </w:p>
    <w:p>
      <w:pPr>
        <w:jc w:val="both"/>
        <w:ind w:firstLine="1654"/>
        <w:spacing w:after="0" w:line="267" w:lineRule="auto"/>
        <w:rPr>
          <w:sz w:val="20"/>
          <w:szCs w:val="20"/>
          <w:color w:val="auto"/>
        </w:rPr>
      </w:pPr>
      <w:r>
        <w:rPr>
          <w:rFonts w:ascii="Arial" w:cs="Arial" w:eastAsia="Arial" w:hAnsi="Arial"/>
          <w:sz w:val="20"/>
          <w:szCs w:val="20"/>
          <w:color w:val="auto"/>
        </w:rPr>
        <w:t xml:space="preserve">12.3.1 </w:t>
      </w:r>
      <w:r>
        <w:rPr>
          <w:rFonts w:ascii="Arial" w:cs="Arial" w:eastAsia="Arial" w:hAnsi="Arial"/>
          <w:sz w:val="20"/>
          <w:szCs w:val="20"/>
          <w:u w:val="single" w:color="auto"/>
          <w:color w:val="auto"/>
        </w:rPr>
        <w:t>Identification of Indemnitor and Indemnitee</w:t>
      </w:r>
      <w:r>
        <w:rPr>
          <w:rFonts w:ascii="Arial" w:cs="Arial" w:eastAsia="Arial" w:hAnsi="Arial"/>
          <w:sz w:val="20"/>
          <w:szCs w:val="20"/>
          <w:color w:val="auto"/>
        </w:rPr>
        <w:t>. An “</w:t>
      </w:r>
      <w:r>
        <w:rPr>
          <w:rFonts w:ascii="Arial" w:cs="Arial" w:eastAsia="Arial" w:hAnsi="Arial"/>
          <w:sz w:val="20"/>
          <w:szCs w:val="20"/>
          <w:b w:val="1"/>
          <w:bCs w:val="1"/>
          <w:color w:val="auto"/>
        </w:rPr>
        <w:t>Indemnitor</w:t>
      </w:r>
      <w:r>
        <w:rPr>
          <w:rFonts w:ascii="Arial" w:cs="Arial" w:eastAsia="Arial" w:hAnsi="Arial"/>
          <w:sz w:val="20"/>
          <w:szCs w:val="20"/>
          <w:color w:val="auto"/>
        </w:rPr>
        <w:t>” means the indemnifying Party. An “</w:t>
      </w:r>
      <w:r>
        <w:rPr>
          <w:rFonts w:ascii="Arial" w:cs="Arial" w:eastAsia="Arial" w:hAnsi="Arial"/>
          <w:sz w:val="20"/>
          <w:szCs w:val="20"/>
          <w:b w:val="1"/>
          <w:bCs w:val="1"/>
          <w:color w:val="auto"/>
        </w:rPr>
        <w:t>Indemnitee</w:t>
      </w:r>
      <w:r>
        <w:rPr>
          <w:rFonts w:ascii="Arial" w:cs="Arial" w:eastAsia="Arial" w:hAnsi="Arial"/>
          <w:sz w:val="20"/>
          <w:szCs w:val="20"/>
          <w:color w:val="auto"/>
        </w:rPr>
        <w:t>” means the indemnified Party and their respective directors, officers, employees and agents.</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8" w:name="page189"/>
    <w:bookmarkEnd w:id="188"/>
    <w:p>
      <w:pPr>
        <w:ind w:right="20" w:firstLine="8"/>
        <w:spacing w:after="0" w:line="298" w:lineRule="auto"/>
        <w:tabs>
          <w:tab w:leader="none" w:pos="23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ind w:firstLine="1654"/>
        <w:spacing w:after="0" w:line="274" w:lineRule="auto"/>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An Indemnitee which intends to claim indemnification under Section 12.1 or Section 12.2 hereof shall promptly notify the Indemnitor in writing of any claim, lawsuit or other action (including a copy of any related complaint, summons, notice or other instrument) in respect of which the Indemnitee or any of their respective directors, officers, employees and agents intend to claim such indemnification;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that failure to provide such notice within a reasonable period shall not relieve the Indemnitor of its obligations under this Article 12 except to the extent, if any, the Indemnitor is prejudiced by such failure. The Indemnitee and their respective directors, officers, employees and agents shall additionally [ ]. The Indemnitee shall have the right, but not the obligation, to be represented by counsel of its own selection and expense. FibroGen always has the right to control proceedings relating to API and Product</w:t>
      </w:r>
    </w:p>
    <w:p>
      <w:pPr>
        <w:spacing w:after="0" w:line="169"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u w:val="single" w:color="auto"/>
          <w:color w:val="auto"/>
        </w:rPr>
        <w:t>LIMITATIONS OF LIABILITY</w:t>
      </w:r>
      <w:r>
        <w:rPr>
          <w:rFonts w:ascii="Arial" w:cs="Arial" w:eastAsia="Arial" w:hAnsi="Arial"/>
          <w:sz w:val="20"/>
          <w:szCs w:val="20"/>
          <w:color w:val="auto"/>
        </w:rPr>
        <w:t>.</w:t>
      </w:r>
    </w:p>
    <w:p>
      <w:pPr>
        <w:spacing w:after="0" w:line="216" w:lineRule="exact"/>
        <w:rPr>
          <w:sz w:val="20"/>
          <w:szCs w:val="20"/>
          <w:color w:val="auto"/>
        </w:rPr>
      </w:pPr>
    </w:p>
    <w:p>
      <w:pPr>
        <w:jc w:val="both"/>
        <w:ind w:firstLine="1654"/>
        <w:spacing w:after="0" w:line="260" w:lineRule="auto"/>
        <w:rPr>
          <w:sz w:val="20"/>
          <w:szCs w:val="20"/>
          <w:color w:val="auto"/>
        </w:rPr>
      </w:pPr>
      <w:r>
        <w:rPr>
          <w:rFonts w:ascii="Arial" w:cs="Arial" w:eastAsia="Arial" w:hAnsi="Arial"/>
          <w:sz w:val="20"/>
          <w:szCs w:val="20"/>
          <w:color w:val="auto"/>
        </w:rPr>
        <w:t>12.4.1 IN THE EVENT OF ANY CLAIM FOR LOST, DAMAGED OR DESTROYED API OR OTHER FIBROGEN-SUPPLIED MATERIALS, [ ].</w:t>
      </w:r>
    </w:p>
    <w:p>
      <w:pPr>
        <w:spacing w:after="0" w:line="177"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0"/>
          <w:szCs w:val="20"/>
          <w:color w:val="auto"/>
        </w:rPr>
        <w:t>12.4.2</w:t>
      </w:r>
      <w:r>
        <w:rPr>
          <w:sz w:val="20"/>
          <w:szCs w:val="20"/>
          <w:color w:val="auto"/>
        </w:rPr>
        <w:tab/>
      </w:r>
      <w:r>
        <w:rPr>
          <w:rFonts w:ascii="Arial" w:cs="Arial" w:eastAsia="Arial" w:hAnsi="Arial"/>
          <w:sz w:val="19"/>
          <w:szCs w:val="19"/>
          <w:color w:val="auto"/>
        </w:rPr>
        <w:t>CATALENT'S TOTAL LIABILITY UNDER THIS AGREEMENT SHALL IN NO EVENT EXCEED [ ].</w:t>
      </w:r>
    </w:p>
    <w:p>
      <w:pPr>
        <w:spacing w:after="0" w:line="216" w:lineRule="exact"/>
        <w:rPr>
          <w:sz w:val="20"/>
          <w:szCs w:val="20"/>
          <w:color w:val="auto"/>
        </w:rPr>
      </w:pPr>
    </w:p>
    <w:p>
      <w:pPr>
        <w:jc w:val="both"/>
        <w:ind w:firstLine="1654"/>
        <w:spacing w:after="0" w:line="260" w:lineRule="auto"/>
        <w:rPr>
          <w:sz w:val="20"/>
          <w:szCs w:val="20"/>
          <w:color w:val="auto"/>
        </w:rPr>
      </w:pPr>
      <w:r>
        <w:rPr>
          <w:rFonts w:ascii="Arial" w:cs="Arial" w:eastAsia="Arial" w:hAnsi="Arial"/>
          <w:sz w:val="20"/>
          <w:szCs w:val="20"/>
          <w:color w:val="auto"/>
        </w:rPr>
        <w:t>12.4.3 THE LIMITATIONS OF LIABILITY IN SECTIONS 12.4.1 AND 12.4.2 SHALL NOT APPLY TO THE EXTENT ARISING OUT OF:</w:t>
      </w:r>
    </w:p>
    <w:p>
      <w:pPr>
        <w:spacing w:after="0" w:line="177" w:lineRule="exact"/>
        <w:rPr>
          <w:sz w:val="20"/>
          <w:szCs w:val="20"/>
          <w:color w:val="auto"/>
        </w:rPr>
      </w:pPr>
    </w:p>
    <w:p>
      <w:pPr>
        <w:ind w:left="3300" w:hanging="821"/>
        <w:spacing w:after="0"/>
        <w:tabs>
          <w:tab w:leader="none" w:pos="3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3300" w:hanging="821"/>
        <w:spacing w:after="0"/>
        <w:tabs>
          <w:tab w:leader="none" w:pos="3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3300" w:hanging="821"/>
        <w:spacing w:after="0"/>
        <w:tabs>
          <w:tab w:leader="none" w:pos="3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3300" w:hanging="821"/>
        <w:spacing w:after="0"/>
        <w:tabs>
          <w:tab w:leader="none" w:pos="3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 OR</w:t>
      </w:r>
    </w:p>
    <w:p>
      <w:pPr>
        <w:spacing w:after="0" w:line="215" w:lineRule="exact"/>
        <w:rPr>
          <w:rFonts w:ascii="Arial" w:cs="Arial" w:eastAsia="Arial" w:hAnsi="Arial"/>
          <w:sz w:val="20"/>
          <w:szCs w:val="20"/>
          <w:color w:val="auto"/>
        </w:rPr>
      </w:pPr>
    </w:p>
    <w:p>
      <w:pPr>
        <w:ind w:left="3300" w:hanging="821"/>
        <w:spacing w:after="0"/>
        <w:tabs>
          <w:tab w:leader="none" w:pos="3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w:t>
      </w:r>
    </w:p>
    <w:p>
      <w:pPr>
        <w:spacing w:after="0" w:line="216"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DISCLAIMER OF CONSEQUENTIAL DAMAGES</w:t>
      </w:r>
      <w:r>
        <w:rPr>
          <w:rFonts w:ascii="Arial" w:cs="Arial" w:eastAsia="Arial" w:hAnsi="Arial"/>
          <w:sz w:val="20"/>
          <w:szCs w:val="20"/>
          <w:color w:val="auto"/>
        </w:rPr>
        <w:t>. NEITHER PARTY SHALL BE LIABLE TO THE OTHER PARTY FOR INDIRECT, INCIDENTAL, PUNITIVE OR CONSEQUENTIAL DAMAGES OR LOSS OF REVENUES, PROFITS OR DATA ARISING OUT OF PERFORMANCE UNDER THIS AGREEMENT, WHETHER IN CONTRACT OR IN TORT, EVEN IF SUCH PARTY HAS BEEN ADVISED OF THE POSSIBILITY OF SUCH DAMAGES.</w:t>
      </w:r>
    </w:p>
    <w:p>
      <w:pPr>
        <w:spacing w:after="0" w:line="18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INSURANCE</w:t>
      </w:r>
    </w:p>
    <w:p>
      <w:pPr>
        <w:spacing w:after="0" w:line="200" w:lineRule="exact"/>
        <w:rPr>
          <w:sz w:val="20"/>
          <w:szCs w:val="20"/>
          <w:color w:val="auto"/>
        </w:rPr>
      </w:pPr>
    </w:p>
    <w:p>
      <w:pPr>
        <w:jc w:val="both"/>
        <w:ind w:firstLine="827"/>
        <w:spacing w:after="0" w:line="242" w:lineRule="auto"/>
        <w:rPr>
          <w:sz w:val="20"/>
          <w:szCs w:val="20"/>
          <w:color w:val="auto"/>
        </w:rPr>
      </w:pPr>
      <w:r>
        <w:rPr>
          <w:rFonts w:ascii="Arial" w:cs="Arial" w:eastAsia="Arial" w:hAnsi="Arial"/>
          <w:sz w:val="20"/>
          <w:szCs w:val="20"/>
          <w:color w:val="auto"/>
        </w:rPr>
        <w:t>Each Party shall, at its own cost and expense, obtain and maintain in full force and effect during the Term the following: (A) Commercial General Liability and/or Foreign Liability Insurance with a per occurrence limit of $[ ] ([ ] United States Dollars) or equivalent and an annual aggregate limit of $[ ] United States Dollars) or equivalent; (B) Products and Completed Operations Liability Insurance with a per occurrence limit of not less than $[ ] ([ ] United States Dollars) or equivalent covering each Party's own operations arising out of or connecting with this Agreement, providing coverage for bodily injury and property damage claims; (C) Workers' Compensation as required by any applicable law or regulation and in accordance with the provisions of the laws of the nation, state, territory or province having jurisdiction over FibroGen's employees. If any such jurisdiction has a social scheme to provide insurance or benefits to injured workers, the relevant Party must be in full</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9" w:name="page190"/>
    <w:bookmarkEnd w:id="189"/>
    <w:p>
      <w:pPr>
        <w:ind w:right="20" w:firstLine="8"/>
        <w:spacing w:after="0" w:line="298" w:lineRule="auto"/>
        <w:tabs>
          <w:tab w:leader="none" w:pos="23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compliance with the laws of such jurisdiction. Employer's Liability insurance will be provided in amounts not less than the local currency equivalent of US$[ ] ([] United States Dollars) or equivalent per accident and US[ ] ([ ] United States Dollars) or equivalent per employee for disease, provided that such coverage is available in the nation, state, territory or province having jurisdiction over each Party's employees. If there is an exposure of injury to each Party's employees under the U.S. Longshoremen's and Harbor Workers' Compensation Act, the Jones Act or under the laws, regulations or statutes applicable to maritime employees, coverage will be included for such injuries or claims; and (D) Auto Liability insurance in a minimum amount of $[ ] ([ ] United States Dollars) or equivalent combined single limit for all vehicles used in connection with the performance of this contract. Each Party shall, at its own cost and expense, obtain and maintain in full force and effect during the Term, All Risk Property Insurance, including transit coverage, an amount equal to [ ] while in, or in transit to, or from, a Catalent facility. If any of the required policies of insurance are written on a claims made basis, such policies shall be maintained throughout the Term and for a period of at least [ ] ([ ]) years thereafter. Each insurance policy that is required under this Agreement shall be obtained from an insurance carrier with an A.M. Best or equivalent rating of at least A- VII or an S&amp;P rating of A. Each Party may self-insure all or any portion of the required insurance as long as, together with its Affiliates, its US GAAP net worth is greater than $[ ] United States Dollars or equivalent or its annual EBITDA (earnings before interest, taxes, depreciation and amortization) is greater than $[ ] United States Dollars or equivalent. Upon the other Party's written request from time to time, each Party shall promptly furnish to the other Party a certificate of insurance or other evidence of the required insurance.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194" w:lineRule="exact"/>
        <w:rPr>
          <w:sz w:val="20"/>
          <w:szCs w:val="20"/>
          <w:color w:val="auto"/>
        </w:rPr>
      </w:pPr>
    </w:p>
    <w:p>
      <w:pPr>
        <w:jc w:val="both"/>
        <w:ind w:firstLine="827"/>
        <w:spacing w:after="0" w:line="256"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Definition</w:t>
      </w:r>
      <w:r>
        <w:rPr>
          <w:rFonts w:ascii="Arial" w:cs="Arial" w:eastAsia="Arial" w:hAnsi="Arial"/>
          <w:sz w:val="19"/>
          <w:szCs w:val="19"/>
          <w:color w:val="auto"/>
        </w:rPr>
        <w:t>. As used in this Agreement, 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confidential information of the disclosing person of whatever type, including all information furnished by or on behalf of Catalent or FibroGen (as the case may be, “</w:t>
      </w:r>
      <w:r>
        <w:rPr>
          <w:rFonts w:ascii="Arial" w:cs="Arial" w:eastAsia="Arial" w:hAnsi="Arial"/>
          <w:sz w:val="19"/>
          <w:szCs w:val="19"/>
          <w:b w:val="1"/>
          <w:bCs w:val="1"/>
          <w:color w:val="auto"/>
        </w:rPr>
        <w:t>Discloser</w:t>
      </w:r>
      <w:r>
        <w:rPr>
          <w:rFonts w:ascii="Arial" w:cs="Arial" w:eastAsia="Arial" w:hAnsi="Arial"/>
          <w:sz w:val="19"/>
          <w:szCs w:val="19"/>
          <w:color w:val="auto"/>
        </w:rPr>
        <w:t>”), its Affiliates or any of its or their respective Representatives, to the other Party (for purposes of this Article 14, “</w:t>
      </w:r>
      <w:r>
        <w:rPr>
          <w:rFonts w:ascii="Arial" w:cs="Arial" w:eastAsia="Arial" w:hAnsi="Arial"/>
          <w:sz w:val="19"/>
          <w:szCs w:val="19"/>
          <w:b w:val="1"/>
          <w:bCs w:val="1"/>
          <w:color w:val="auto"/>
        </w:rPr>
        <w:t>Recipient</w:t>
      </w:r>
      <w:r>
        <w:rPr>
          <w:rFonts w:ascii="Arial" w:cs="Arial" w:eastAsia="Arial" w:hAnsi="Arial"/>
          <w:sz w:val="19"/>
          <w:szCs w:val="19"/>
          <w:color w:val="auto"/>
        </w:rPr>
        <w:t>”), its Affiliates or any of its or their respective Representatives, whether furnished before, on or after the Effective Date and furnished in any form, including written, verbal, visual, electronic or in any other media or manner and information acquired by observation or otherwise during any site visit at the other Party's facility. Confidential Information includes all proprietary technologies, know-how, trade secrets, discoveries, inventions and any other Intellectual Property (whether or not patented), analyses, compilations, business or technical information and other materials prepared by either Party, their respective Affiliates, or any of its or their respective Representatives, containing or based in whole or in part on any Confidential Information furnished by Discloser, its Affiliates or any of its or their respective Representatives. Confidential Information also includes the existence and terms of this Agreement.</w:t>
      </w:r>
    </w:p>
    <w:p>
      <w:pPr>
        <w:spacing w:after="0" w:line="187"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Exclusions</w:t>
      </w:r>
      <w:r>
        <w:rPr>
          <w:rFonts w:ascii="Arial" w:cs="Arial" w:eastAsia="Arial" w:hAnsi="Arial"/>
          <w:sz w:val="20"/>
          <w:szCs w:val="20"/>
          <w:color w:val="auto"/>
        </w:rPr>
        <w:t>. Notwithstanding anything in Section 14.1 to the contrary, Confidential Information does not include information that Recipient can demonstrate upon competent written proof (A) is or becomes generally available to the public or within the industry to which such information relates other than as a result of a breach of this Agreement, (B) is already known by Recipient at the time of disclosure without obligations of confidentiality, (C) becomes available to Recipient on a non-confidential basis from a source that is entitled to disclose it on a non-confidential basis or (D) was or is independently developed by or for Recipient without reference to Discloser's Confidential Information.</w:t>
      </w:r>
    </w:p>
    <w:p>
      <w:pPr>
        <w:spacing w:after="0" w:line="19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Mutual Obligation</w:t>
      </w:r>
      <w:r>
        <w:rPr>
          <w:rFonts w:ascii="Arial" w:cs="Arial" w:eastAsia="Arial" w:hAnsi="Arial"/>
          <w:sz w:val="19"/>
          <w:szCs w:val="19"/>
          <w:color w:val="auto"/>
        </w:rPr>
        <w:t>. Recipient (A) will keep confidential all Confidential Information, employing such protections as it would use for its own Confidential Information of a similar type but in no case less than reasonable protections under the circumstances,</w:t>
      </w:r>
    </w:p>
    <w:p>
      <w:pPr>
        <w:spacing w:after="0" w:line="2"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not use Discloser's Confidential Information except in connection with the performance of its obligations under this Agreement and</w:t>
      </w:r>
    </w:p>
    <w:p>
      <w:pPr>
        <w:spacing w:after="0" w:line="22" w:lineRule="exact"/>
        <w:rPr>
          <w:rFonts w:ascii="Arial" w:cs="Arial" w:eastAsia="Arial" w:hAnsi="Arial"/>
          <w:sz w:val="18"/>
          <w:szCs w:val="18"/>
          <w:color w:val="auto"/>
        </w:rPr>
      </w:pPr>
    </w:p>
    <w:p>
      <w:pPr>
        <w:ind w:firstLine="8"/>
        <w:spacing w:after="0" w:line="244" w:lineRule="auto"/>
        <w:tabs>
          <w:tab w:leader="none" w:pos="327"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will not disclose to any Third Party, without Discloser's prior written consent, Discloser's Confidential Information, except that Recipient may disclose Discloser's Confidential Information to any of its Affiliates and its or their respective Representatives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0" w:name="page191"/>
    <w:bookmarkEnd w:id="190"/>
    <w:p>
      <w:pPr>
        <w:ind w:right="20" w:firstLine="8"/>
        <w:spacing w:after="0" w:line="298" w:lineRule="auto"/>
        <w:tabs>
          <w:tab w:leader="none" w:pos="23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(and in FibroGen's case, Designees) that (A) need to know such Confidential Information for the purpose of performing under this Agreement,</w:t>
      </w:r>
    </w:p>
    <w:p>
      <w:pPr>
        <w:spacing w:after="0" w:line="39" w:lineRule="exact"/>
        <w:rPr>
          <w:sz w:val="20"/>
          <w:szCs w:val="20"/>
          <w:color w:val="auto"/>
        </w:rPr>
      </w:pPr>
    </w:p>
    <w:p>
      <w:pPr>
        <w:jc w:val="both"/>
        <w:ind w:firstLine="8"/>
        <w:spacing w:after="0" w:line="241" w:lineRule="auto"/>
        <w:tabs>
          <w:tab w:leader="none" w:pos="31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are advised of the contents of this Article and (C) are bound to Recipient by obligations of confidentiality and non-use at least as restrictive as the terms of this Article. Each Party shall be jointly and severally responsible for any breach of this Article by its Affiliates or any of its or their respective Representatives.</w:t>
      </w:r>
    </w:p>
    <w:p>
      <w:pPr>
        <w:spacing w:after="0" w:line="196" w:lineRule="exact"/>
        <w:rPr>
          <w:sz w:val="20"/>
          <w:szCs w:val="20"/>
          <w:color w:val="auto"/>
        </w:rPr>
      </w:pPr>
    </w:p>
    <w:p>
      <w:pPr>
        <w:jc w:val="both"/>
        <w:ind w:firstLine="827"/>
        <w:spacing w:after="0" w:line="242"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Permitted Disclosure</w:t>
      </w:r>
      <w:r>
        <w:rPr>
          <w:rFonts w:ascii="Arial" w:cs="Arial" w:eastAsia="Arial" w:hAnsi="Arial"/>
          <w:sz w:val="20"/>
          <w:szCs w:val="20"/>
          <w:color w:val="auto"/>
        </w:rPr>
        <w:t xml:space="preserve">. Recipient may disclose Discloser's Confidential Information to the extent required by law or regulation; </w:t>
      </w:r>
      <w:r>
        <w:rPr>
          <w:rFonts w:ascii="Arial" w:cs="Arial" w:eastAsia="Arial" w:hAnsi="Arial"/>
          <w:sz w:val="20"/>
          <w:szCs w:val="20"/>
          <w:i w:val="1"/>
          <w:iCs w:val="1"/>
          <w:color w:val="auto"/>
        </w:rPr>
        <w:t>provided</w:t>
      </w:r>
      <w:r>
        <w:rPr>
          <w:rFonts w:ascii="Arial" w:cs="Arial" w:eastAsia="Arial" w:hAnsi="Arial"/>
          <w:sz w:val="20"/>
          <w:szCs w:val="20"/>
          <w:color w:val="auto"/>
        </w:rPr>
        <w:t>, that prior to making any such legally required disclosure, Recipient shall give Discloser as much prior notice of the requirement for and contents of such disclosure as is practicable under the circumstances, and Recipient will cooperate with Discloser in Discloser's efforts to obtain protective order, confidential treatment or other legal remedy. Any such disclosure, however, shall not relieve Recipient of its obligations under this Agreement. In addition, FibroGen may use Catalent's name and disclose Catalent Confidential Information to potential investors or other lending sources who have a specific need to know such Confidential Information in connection with a proposed financing arrangement so long as the Third Party to whom such Confidential Information is disclosed is bound to FibroGen by obligations of confidentiality and non-use at least as restrictive as the terms of this Article, and subject to the restrictions set forth in this Article 14.</w:t>
      </w:r>
    </w:p>
    <w:p>
      <w:pPr>
        <w:spacing w:after="0" w:line="195"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No Implied License</w:t>
      </w:r>
      <w:r>
        <w:rPr>
          <w:rFonts w:ascii="Arial" w:cs="Arial" w:eastAsia="Arial" w:hAnsi="Arial"/>
          <w:sz w:val="20"/>
          <w:szCs w:val="20"/>
          <w:color w:val="auto"/>
        </w:rPr>
        <w:t>. Except as expressly set forth in Section 14.1, Recipient will obtain no right of any kind or license under any of Discloser's Confidential Information, including any patent application or patent, by reason of this Agreement. Discloser's Confidential Information will remain Discloser's sole property, subject to Article 10.</w:t>
      </w:r>
    </w:p>
    <w:p>
      <w:pPr>
        <w:spacing w:after="0" w:line="186"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Return of Confidential Information</w:t>
      </w:r>
      <w:r>
        <w:rPr>
          <w:rFonts w:ascii="Arial" w:cs="Arial" w:eastAsia="Arial" w:hAnsi="Arial"/>
          <w:sz w:val="20"/>
          <w:szCs w:val="20"/>
          <w:color w:val="auto"/>
        </w:rPr>
        <w:t>. Upon expiration or termination of this Agreement, Recipient will (and will cause its Affiliates and its and their respective Representatives to) cease its use and, upon written request, within [ ] ([ ]) days either return or destroy (and certify as to such disposition) all of Discloser's Confidential Information, including any copy of such information, except for a single copy, which may be retained for the sole purpose of ensuring compliance with its obligations under this Agreement. In addition, Catalent shall require that all authorized Subcontractors and Affiliates performing Services have similarly returned or destroyed all FibroGen Confidential Information.</w:t>
      </w:r>
    </w:p>
    <w:p>
      <w:pPr>
        <w:spacing w:after="0" w:line="197"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Survival</w:t>
      </w:r>
      <w:r>
        <w:rPr>
          <w:rFonts w:ascii="Arial" w:cs="Arial" w:eastAsia="Arial" w:hAnsi="Arial"/>
          <w:sz w:val="20"/>
          <w:szCs w:val="20"/>
          <w:color w:val="auto"/>
        </w:rPr>
        <w:t>. The obligations of this Article will terminate [ ] years from the expiration or termination of this Agreement, except with respect to trade secrets, for which the obligations of this Article will continue for so long as such information remains a trade secret under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PRESS RELEASES; USE OF NAMES</w:t>
      </w:r>
    </w:p>
    <w:p>
      <w:pPr>
        <w:spacing w:after="0" w:line="200" w:lineRule="exact"/>
        <w:rPr>
          <w:sz w:val="20"/>
          <w:szCs w:val="20"/>
          <w:color w:val="auto"/>
        </w:rPr>
      </w:pPr>
    </w:p>
    <w:p>
      <w:pPr>
        <w:jc w:val="both"/>
        <w:ind w:firstLine="827"/>
        <w:spacing w:after="0" w:line="243"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Press Releases</w:t>
      </w:r>
      <w:r>
        <w:rPr>
          <w:rFonts w:ascii="Arial" w:cs="Arial" w:eastAsia="Arial" w:hAnsi="Arial"/>
          <w:sz w:val="20"/>
          <w:szCs w:val="20"/>
          <w:color w:val="auto"/>
        </w:rPr>
        <w:t>. Neither Party shall issue or disclose any press release, publicity or other form of public written disclosure regarding this Agreement or the terms hereof without receiving the other Party's express prior written consent, except required under Applicable Laws, by any governmental agency or by the rules of any stock exchange on which the securities of the disclosing Party are listed, in which case the Party required to make the press release or public disclosure shall use commercially reasonable efforts to obtain the approval of the other Party as to the form, nature and extent of the press release or public disclosure prior to issuing the press release or making the public disclosure.</w:t>
      </w:r>
    </w:p>
    <w:p>
      <w:pPr>
        <w:spacing w:after="0" w:line="196"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Use of Names</w:t>
      </w:r>
      <w:r>
        <w:rPr>
          <w:rFonts w:ascii="Arial" w:cs="Arial" w:eastAsia="Arial" w:hAnsi="Arial"/>
          <w:sz w:val="20"/>
          <w:szCs w:val="20"/>
          <w:color w:val="auto"/>
        </w:rPr>
        <w:t>. Except as expressly set forth in Section 14.4, neither Party shall make use of the name, trademark, logo or symbol of the other Party of its Affiliates or any of their respective officers, directors, employees, or agents, in any advertising or promotional material, or otherwise, in connection with this Agreement or any related agreements, without the prior written consent of the other Party.</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1" w:name="page192"/>
    <w:bookmarkEnd w:id="191"/>
    <w:p>
      <w:pPr>
        <w:ind w:right="20" w:firstLine="8"/>
        <w:spacing w:after="0" w:line="298" w:lineRule="auto"/>
        <w:tabs>
          <w:tab w:leader="none" w:pos="23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TERMINATION</w:t>
      </w:r>
    </w:p>
    <w:p>
      <w:pPr>
        <w:spacing w:after="0" w:line="194" w:lineRule="exact"/>
        <w:rPr>
          <w:sz w:val="20"/>
          <w:szCs w:val="20"/>
          <w:color w:val="auto"/>
        </w:rPr>
      </w:pPr>
    </w:p>
    <w:p>
      <w:pPr>
        <w:jc w:val="both"/>
        <w:ind w:firstLine="827"/>
        <w:spacing w:after="0" w:line="24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commence on the Effective Date and shall continue until the end of [ ] (“</w:t>
      </w:r>
      <w:r>
        <w:rPr>
          <w:rFonts w:ascii="Arial" w:cs="Arial" w:eastAsia="Arial" w:hAnsi="Arial"/>
          <w:sz w:val="20"/>
          <w:szCs w:val="20"/>
          <w:b w:val="1"/>
          <w:bCs w:val="1"/>
          <w:color w:val="auto"/>
        </w:rPr>
        <w:t>Initial Term</w:t>
      </w:r>
      <w:r>
        <w:rPr>
          <w:rFonts w:ascii="Arial" w:cs="Arial" w:eastAsia="Arial" w:hAnsi="Arial"/>
          <w:sz w:val="20"/>
          <w:szCs w:val="20"/>
          <w:color w:val="auto"/>
        </w:rPr>
        <w:t>”), and automatically extend for [ ] year periods (each a “</w:t>
      </w:r>
      <w:r>
        <w:rPr>
          <w:rFonts w:ascii="Arial" w:cs="Arial" w:eastAsia="Arial" w:hAnsi="Arial"/>
          <w:sz w:val="20"/>
          <w:szCs w:val="20"/>
          <w:b w:val="1"/>
          <w:bCs w:val="1"/>
          <w:color w:val="auto"/>
        </w:rPr>
        <w:t>Renewal Term</w:t>
      </w:r>
      <w:r>
        <w:rPr>
          <w:rFonts w:ascii="Arial" w:cs="Arial" w:eastAsia="Arial" w:hAnsi="Arial"/>
          <w:sz w:val="20"/>
          <w:szCs w:val="20"/>
          <w:color w:val="auto"/>
        </w:rPr>
        <w:t>”). Either Party may provide the other with [ ] ([ ]) months’ written notice of termination with or without cause, provided the date of termination cannot occur before [ ]. The Initial Term and Renewal Terms are collectively referred to as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90"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as follows:</w:t>
      </w:r>
    </w:p>
    <w:p>
      <w:pPr>
        <w:spacing w:after="0" w:line="216" w:lineRule="exact"/>
        <w:rPr>
          <w:sz w:val="20"/>
          <w:szCs w:val="20"/>
          <w:color w:val="auto"/>
        </w:rPr>
      </w:pPr>
    </w:p>
    <w:p>
      <w:pPr>
        <w:jc w:val="both"/>
        <w:ind w:firstLine="1654"/>
        <w:spacing w:after="0" w:line="246" w:lineRule="auto"/>
        <w:rPr>
          <w:sz w:val="20"/>
          <w:szCs w:val="20"/>
          <w:color w:val="auto"/>
        </w:rPr>
      </w:pPr>
      <w:r>
        <w:rPr>
          <w:rFonts w:ascii="Arial" w:cs="Arial" w:eastAsia="Arial" w:hAnsi="Arial"/>
          <w:sz w:val="20"/>
          <w:szCs w:val="20"/>
          <w:color w:val="auto"/>
        </w:rPr>
        <w:t xml:space="preserve">16.2.1 </w:t>
      </w:r>
      <w:r>
        <w:rPr>
          <w:rFonts w:ascii="Arial" w:cs="Arial" w:eastAsia="Arial" w:hAnsi="Arial"/>
          <w:sz w:val="20"/>
          <w:szCs w:val="20"/>
          <w:u w:val="single" w:color="auto"/>
          <w:color w:val="auto"/>
        </w:rPr>
        <w:t>Material Breach</w:t>
      </w:r>
      <w:r>
        <w:rPr>
          <w:rFonts w:ascii="Arial" w:cs="Arial" w:eastAsia="Arial" w:hAnsi="Arial"/>
          <w:sz w:val="20"/>
          <w:szCs w:val="20"/>
          <w:color w:val="auto"/>
        </w:rPr>
        <w:t>. Either Party may terminate this Agreement or Purchase Order by written notice to the other Party, for any material breach of this Agreement or Purchase Order by the other Party, if such breach is not cured within [ ] ([ ]) days after the breaching Party receives written notice of such breach from the non-breaching Party. Such termination shall be effective upon expiration of such cure period.</w:t>
      </w:r>
    </w:p>
    <w:p>
      <w:pPr>
        <w:spacing w:after="0" w:line="192" w:lineRule="exact"/>
        <w:rPr>
          <w:sz w:val="20"/>
          <w:szCs w:val="20"/>
          <w:color w:val="auto"/>
        </w:rPr>
      </w:pPr>
    </w:p>
    <w:p>
      <w:pPr>
        <w:jc w:val="both"/>
        <w:ind w:firstLine="1654"/>
        <w:spacing w:after="0" w:line="273" w:lineRule="auto"/>
        <w:rPr>
          <w:sz w:val="20"/>
          <w:szCs w:val="20"/>
          <w:color w:val="auto"/>
        </w:rPr>
      </w:pPr>
      <w:r>
        <w:rPr>
          <w:rFonts w:ascii="Arial" w:cs="Arial" w:eastAsia="Arial" w:hAnsi="Arial"/>
          <w:sz w:val="18"/>
          <w:szCs w:val="18"/>
          <w:color w:val="auto"/>
        </w:rPr>
        <w:t xml:space="preserve">16.2.2 </w:t>
      </w:r>
      <w:r>
        <w:rPr>
          <w:rFonts w:ascii="Arial" w:cs="Arial" w:eastAsia="Arial" w:hAnsi="Arial"/>
          <w:sz w:val="18"/>
          <w:szCs w:val="18"/>
          <w:u w:val="single" w:color="auto"/>
          <w:color w:val="auto"/>
        </w:rPr>
        <w:t>Insolvency</w:t>
      </w:r>
      <w:r>
        <w:rPr>
          <w:rFonts w:ascii="Arial" w:cs="Arial" w:eastAsia="Arial" w:hAnsi="Arial"/>
          <w:sz w:val="18"/>
          <w:szCs w:val="18"/>
          <w:color w:val="auto"/>
        </w:rPr>
        <w:t>. Either Party may terminate this Agreement and all Purchase Orders upon notice to the other Party, upon (a) the dissolution, termination of existence, liquidation or business failure of the other Party; (b) the appointment of a custodian or receiver for the other Party who has not been terminated or dismissed within [ ] ([ 90]) days of such appointment; or (c) the institution by the other Party of any proceeding under national, federal or state bankruptcy, reorganization, receivership or other similar laws affecting the rights of creditors generally or the making by such Party of a composition or any assignment for the benefit of creditors under any national, federal or state bankruptcy, reorganization, receivership or other similar law affecting the rights of creditors generally, which proceeding is not finally dismissed within [ ] ([ ]) days of filing. All rights and licenses granted pursuant to this Agreement are, and shall otherwise be deemed to be, for purposes of Section 365(n) of Title 11 of the United States Code, licenses of rights of “intellectual property” as defined therein.</w:t>
      </w:r>
    </w:p>
    <w:p>
      <w:pPr>
        <w:spacing w:after="0" w:line="169"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u w:val="single" w:color="auto"/>
          <w:color w:val="auto"/>
        </w:rPr>
        <w:t>Consequences of Termination</w:t>
      </w:r>
      <w:r>
        <w:rPr>
          <w:rFonts w:ascii="Arial" w:cs="Arial" w:eastAsia="Arial" w:hAnsi="Arial"/>
          <w:sz w:val="16"/>
          <w:szCs w:val="16"/>
          <w:color w:val="auto"/>
        </w:rPr>
        <w:t>.</w:t>
      </w:r>
    </w:p>
    <w:p>
      <w:pPr>
        <w:spacing w:after="0" w:line="216" w:lineRule="exact"/>
        <w:rPr>
          <w:sz w:val="20"/>
          <w:szCs w:val="20"/>
          <w:color w:val="auto"/>
        </w:rPr>
      </w:pPr>
    </w:p>
    <w:p>
      <w:pPr>
        <w:jc w:val="both"/>
        <w:ind w:firstLine="1654"/>
        <w:spacing w:after="0" w:line="255" w:lineRule="auto"/>
        <w:rPr>
          <w:sz w:val="20"/>
          <w:szCs w:val="20"/>
          <w:color w:val="auto"/>
        </w:rPr>
      </w:pPr>
      <w:r>
        <w:rPr>
          <w:rFonts w:ascii="Arial" w:cs="Arial" w:eastAsia="Arial" w:hAnsi="Arial"/>
          <w:sz w:val="19"/>
          <w:szCs w:val="19"/>
          <w:color w:val="auto"/>
        </w:rPr>
        <w:t xml:space="preserve">16.3.1 </w:t>
      </w:r>
      <w:r>
        <w:rPr>
          <w:rFonts w:ascii="Arial" w:cs="Arial" w:eastAsia="Arial" w:hAnsi="Arial"/>
          <w:sz w:val="19"/>
          <w:szCs w:val="19"/>
          <w:u w:val="single" w:color="auto"/>
          <w:color w:val="auto"/>
        </w:rPr>
        <w:t>Generally</w:t>
      </w:r>
      <w:r>
        <w:rPr>
          <w:rFonts w:ascii="Arial" w:cs="Arial" w:eastAsia="Arial" w:hAnsi="Arial"/>
          <w:sz w:val="19"/>
          <w:szCs w:val="19"/>
          <w:color w:val="auto"/>
        </w:rPr>
        <w:t>. If FibroGen delivers to Catalent a notice of termination of this Agreement pursuant to Section 16.2, Catalent shall use [ ] efforts to wind-down all Manufacturing Services in accordance with its responsibilities under Applicable Laws, and use [ ] efforts to reduce or eliminate further costs, and to cancel, if permitted under the terms of applicable agreements, any Third Party obligations. Except for invoices or Purchase Orders directly related to Catalent's material breach of this Agreement pursuant to Section 16.2.1, hereof FibroGen shall pay Catalent all invoiced amounts outstanding hereunder, plus, upon receipt of invoice therefor, for any [ ] and [ ] in the event that this Agreement is terminated for any reason other than by FibroGen pursuant to Section 16.2.2, all Product being Processed pursuant to Purchase Orders (or, alternatively, FibroGen may instruct Catalent to complete such work in process, and the resulting completed Product shall be governed by clause (ii)). In the event that this Agreement is terminated for any reason other than by FibroGen pursuant to Section 16.2.2, FibroGen shall pay Catalent for[ ], in connection with Catalent's performance of this Agreement, so long as such costs, expenses or commitments were made by Catalent consistent with FibroGen's most recent Binding Forecast and the vendor's [ ]. In addition, Catalent shall return to FibroGen all FibroGen-supplied Materials together with any Product existing, generated, or in progress as of the date of termination. For avoidance of doubt, all services and delivery fees in connection with the transition shall be borne by FibroGen, unless the termination is due to breach of this Agreement by Catalent.</w:t>
      </w:r>
    </w:p>
    <w:p>
      <w:pPr>
        <w:spacing w:after="0" w:line="183" w:lineRule="exact"/>
        <w:rPr>
          <w:sz w:val="20"/>
          <w:szCs w:val="20"/>
          <w:color w:val="auto"/>
        </w:rPr>
      </w:pPr>
    </w:p>
    <w:p>
      <w:pPr>
        <w:ind w:left="1660"/>
        <w:spacing w:after="0"/>
        <w:tabs>
          <w:tab w:leader="none" w:pos="2780" w:val="left"/>
        </w:tabs>
        <w:rPr>
          <w:sz w:val="20"/>
          <w:szCs w:val="20"/>
          <w:color w:val="auto"/>
        </w:rPr>
      </w:pPr>
      <w:r>
        <w:rPr>
          <w:rFonts w:ascii="Arial" w:cs="Arial" w:eastAsia="Arial" w:hAnsi="Arial"/>
          <w:sz w:val="20"/>
          <w:szCs w:val="20"/>
          <w:color w:val="auto"/>
        </w:rPr>
        <w:t>16.3.2</w:t>
      </w:r>
      <w:r>
        <w:rPr>
          <w:sz w:val="20"/>
          <w:szCs w:val="20"/>
          <w:color w:val="auto"/>
        </w:rPr>
        <w:tab/>
      </w:r>
      <w:r>
        <w:rPr>
          <w:rFonts w:ascii="Arial" w:cs="Arial" w:eastAsia="Arial" w:hAnsi="Arial"/>
          <w:sz w:val="19"/>
          <w:szCs w:val="19"/>
          <w:u w:val="single" w:color="auto"/>
          <w:color w:val="auto"/>
        </w:rPr>
        <w:t>Return of Product</w:t>
      </w:r>
      <w:r>
        <w:rPr>
          <w:rFonts w:ascii="Arial" w:cs="Arial" w:eastAsia="Arial" w:hAnsi="Arial"/>
          <w:sz w:val="19"/>
          <w:szCs w:val="19"/>
          <w:color w:val="auto"/>
        </w:rPr>
        <w:t>. At FibroGen’s request or upon expiration or termination of this Agreement, Catalent</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shall promptly: return or, at FibroGen’s written request, destroy (with certification of such destruction), all quantities of Product, FibroGen-supplied Materials, Raw Materials, intermediates and in-process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2" w:name="page193"/>
    <w:bookmarkEnd w:id="192"/>
    <w:p>
      <w:pPr>
        <w:ind w:right="40" w:firstLine="8"/>
        <w:spacing w:after="0" w:line="298" w:lineRule="auto"/>
        <w:tabs>
          <w:tab w:leader="none" w:pos="23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materials being held by Catalent under this Agreement and outstanding Purchase Order(s). Such actions shall be taken at FibroGen’s pre-approved cost and expense.</w:t>
      </w:r>
    </w:p>
    <w:p>
      <w:pPr>
        <w:spacing w:after="0" w:line="177" w:lineRule="exact"/>
        <w:rPr>
          <w:sz w:val="20"/>
          <w:szCs w:val="20"/>
          <w:color w:val="auto"/>
        </w:rPr>
      </w:pPr>
    </w:p>
    <w:p>
      <w:pPr>
        <w:jc w:val="both"/>
        <w:ind w:right="20" w:firstLine="1654"/>
        <w:spacing w:after="0" w:line="316" w:lineRule="auto"/>
        <w:rPr>
          <w:sz w:val="20"/>
          <w:szCs w:val="20"/>
          <w:color w:val="auto"/>
        </w:rPr>
      </w:pPr>
      <w:r>
        <w:rPr>
          <w:rFonts w:ascii="Arial" w:cs="Arial" w:eastAsia="Arial" w:hAnsi="Arial"/>
          <w:sz w:val="18"/>
          <w:szCs w:val="18"/>
          <w:color w:val="auto"/>
        </w:rPr>
        <w:t xml:space="preserve">16.3.4 </w:t>
      </w:r>
      <w:r>
        <w:rPr>
          <w:rFonts w:ascii="Arial" w:cs="Arial" w:eastAsia="Arial" w:hAnsi="Arial"/>
          <w:sz w:val="18"/>
          <w:szCs w:val="18"/>
          <w:u w:val="single" w:color="auto"/>
          <w:color w:val="auto"/>
        </w:rPr>
        <w:t>Accrued Rights</w:t>
      </w:r>
      <w:r>
        <w:rPr>
          <w:rFonts w:ascii="Arial" w:cs="Arial" w:eastAsia="Arial" w:hAnsi="Arial"/>
          <w:sz w:val="18"/>
          <w:szCs w:val="18"/>
          <w:color w:val="auto"/>
        </w:rPr>
        <w:t>. Except as otherwise expressly set forth herein, any termination or expiration of this Agreement shall be without prejudice to any right which shall have accrued to the benefit of either Party prior to such expiration or termination.</w:t>
      </w:r>
    </w:p>
    <w:p>
      <w:pPr>
        <w:spacing w:after="0" w:line="130" w:lineRule="exact"/>
        <w:rPr>
          <w:sz w:val="20"/>
          <w:szCs w:val="20"/>
          <w:color w:val="auto"/>
        </w:rPr>
      </w:pPr>
    </w:p>
    <w:p>
      <w:pPr>
        <w:jc w:val="both"/>
        <w:ind w:right="20" w:firstLine="827"/>
        <w:spacing w:after="0" w:line="243"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Right to Return and Settle</w:t>
      </w:r>
      <w:r>
        <w:rPr>
          <w:rFonts w:ascii="Arial" w:cs="Arial" w:eastAsia="Arial" w:hAnsi="Arial"/>
          <w:sz w:val="20"/>
          <w:szCs w:val="20"/>
          <w:color w:val="auto"/>
        </w:rPr>
        <w:t>. If Catalent requests in writing from FibroGen direction with respect to disposal of any inventories of Product, FibroGen-supplied Materials, equipment, samples or other items belonging to FibroGen and is unable to obtain a response from FibroGen despite written notice as required under Section 18.1 hereof, after making commercially reasonable efforts to do so, Catalent shall be entitled to (A) return all such items to FibroGen, and (B) set-off any and all amounts due to Catalent or any of its Affiliates from FibroGen against any credits FibroGen may hold with Catalent or any of its Affiliates. Catalent shall in no event dispose of Product without FibroGen’s prior written consent.</w:t>
      </w:r>
    </w:p>
    <w:p>
      <w:pPr>
        <w:spacing w:after="0" w:line="197"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Surviving Rights</w:t>
      </w:r>
      <w:r>
        <w:rPr>
          <w:rFonts w:ascii="Arial" w:cs="Arial" w:eastAsia="Arial" w:hAnsi="Arial"/>
          <w:sz w:val="20"/>
          <w:szCs w:val="20"/>
          <w:color w:val="auto"/>
        </w:rPr>
        <w:t>. Sections[ ], and the rights and obligations contained therein shall survive the termination or expiration of this Agreement to the extent expressly stated therein.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FORCE MAJEURE</w:t>
      </w:r>
    </w:p>
    <w:p>
      <w:pPr>
        <w:spacing w:after="0" w:line="200" w:lineRule="exact"/>
        <w:rPr>
          <w:sz w:val="20"/>
          <w:szCs w:val="20"/>
          <w:color w:val="auto"/>
        </w:rPr>
      </w:pPr>
    </w:p>
    <w:p>
      <w:pPr>
        <w:jc w:val="both"/>
        <w:ind w:right="20"/>
        <w:spacing w:after="0" w:line="313" w:lineRule="auto"/>
        <w:rPr>
          <w:sz w:val="20"/>
          <w:szCs w:val="20"/>
          <w:color w:val="auto"/>
        </w:rPr>
      </w:pPr>
      <w:r>
        <w:rPr>
          <w:rFonts w:ascii="Arial" w:cs="Arial" w:eastAsia="Arial" w:hAnsi="Arial"/>
          <w:sz w:val="16"/>
          <w:szCs w:val="16"/>
          <w:color w:val="auto"/>
        </w:rPr>
        <w:t>Except as to payments required under this Agreement, neither Party shall be liable hereunder for any failure in performance if such delay or failure is caused by fire, flood, explosion, storm, acts of God, acts of any government or government agency or other causes beyond such Party’s reasonable control, provided that, upon the occurrence of any event of force majeure, (a) the Party whose performance is thereby affected shall promptly notify the other Party of the force majeure event and the circumstances so surrounding and of the expected duration thereof and shall take all reasonable steps to mitigate such delay or failure to perform and (b) if the delay or failure to perform continues for more than [ ] ([ ]) days, the unaffected Party may terminate this Agreement upon written notice to the affected Party. Upon cessation of such force majeure event, the affected Party shall promptly resume performance under this Agreement as soon as it is possible for the Party to do so.</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18</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ind w:left="840"/>
        <w:spacing w:after="0"/>
        <w:tabs>
          <w:tab w:leader="none" w:pos="18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Agreement by any Party shall be in writing and shall be</w:t>
      </w:r>
    </w:p>
    <w:p>
      <w:pPr>
        <w:spacing w:after="0" w:line="16" w:lineRule="exact"/>
        <w:rPr>
          <w:sz w:val="20"/>
          <w:szCs w:val="20"/>
          <w:color w:val="auto"/>
        </w:rPr>
      </w:pPr>
    </w:p>
    <w:p>
      <w:pPr>
        <w:jc w:val="both"/>
        <w:ind w:right="20" w:firstLine="8"/>
        <w:spacing w:after="0" w:line="258" w:lineRule="auto"/>
        <w:tabs>
          <w:tab w:leader="none" w:pos="30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delivered personally, (b) sent by registered mail, return receipt requested, postage prepaid, (c) sent by a nationally-recognized courier service guaranteeing next-day or second day delivery, charges prepaid, or (d) delivered by facsimile (with documented evidence of transmission), to the addresses of the other Party set forth below, or at such other addresses as may from time to time be furnished by similar notice by any Party. The effective date of any notice under this Agreement shall be the date of receipt by the receiving Party.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1660"/>
              <w:spacing w:after="0"/>
              <w:rPr>
                <w:sz w:val="20"/>
                <w:szCs w:val="20"/>
                <w:color w:val="auto"/>
              </w:rPr>
            </w:pPr>
            <w:r>
              <w:rPr>
                <w:rFonts w:ascii="Arial" w:cs="Arial" w:eastAsia="Arial" w:hAnsi="Arial"/>
                <w:sz w:val="20"/>
                <w:szCs w:val="20"/>
                <w:color w:val="auto"/>
              </w:rPr>
              <w:t>To FibroGen:</w:t>
            </w:r>
          </w:p>
        </w:tc>
        <w:tc>
          <w:tcPr>
            <w:tcW w:w="8000" w:type="dxa"/>
            <w:vAlign w:val="bottom"/>
          </w:tcPr>
          <w:p>
            <w:pPr>
              <w:ind w:left="720"/>
              <w:spacing w:after="0"/>
              <w:rPr>
                <w:sz w:val="20"/>
                <w:szCs w:val="20"/>
                <w:color w:val="auto"/>
              </w:rPr>
            </w:pPr>
            <w:r>
              <w:rPr>
                <w:rFonts w:ascii="Arial" w:cs="Arial" w:eastAsia="Arial" w:hAnsi="Arial"/>
                <w:sz w:val="20"/>
                <w:szCs w:val="20"/>
                <w:color w:val="auto"/>
              </w:rPr>
              <w:t>FibroGen, Inc.</w:t>
            </w:r>
          </w:p>
        </w:tc>
      </w:tr>
      <w:tr>
        <w:trPr>
          <w:trHeight w:val="230"/>
        </w:trPr>
        <w:tc>
          <w:tcPr>
            <w:tcW w:w="3440" w:type="dxa"/>
            <w:vAlign w:val="bottom"/>
          </w:tcPr>
          <w:p>
            <w:pPr>
              <w:spacing w:after="0"/>
              <w:rPr>
                <w:sz w:val="19"/>
                <w:szCs w:val="19"/>
                <w:color w:val="auto"/>
              </w:rPr>
            </w:pPr>
          </w:p>
        </w:tc>
        <w:tc>
          <w:tcPr>
            <w:tcW w:w="8000" w:type="dxa"/>
            <w:vAlign w:val="bottom"/>
          </w:tcPr>
          <w:p>
            <w:pPr>
              <w:ind w:left="720"/>
              <w:spacing w:after="0"/>
              <w:rPr>
                <w:sz w:val="20"/>
                <w:szCs w:val="20"/>
                <w:color w:val="auto"/>
              </w:rPr>
            </w:pPr>
            <w:r>
              <w:rPr>
                <w:rFonts w:ascii="Arial" w:cs="Arial" w:eastAsia="Arial" w:hAnsi="Arial"/>
                <w:sz w:val="20"/>
                <w:szCs w:val="20"/>
                <w:color w:val="auto"/>
              </w:rPr>
              <w:t>409 Illinois Street</w:t>
            </w:r>
          </w:p>
        </w:tc>
      </w:tr>
      <w:tr>
        <w:trPr>
          <w:trHeight w:val="230"/>
        </w:trPr>
        <w:tc>
          <w:tcPr>
            <w:tcW w:w="3440" w:type="dxa"/>
            <w:vAlign w:val="bottom"/>
          </w:tcPr>
          <w:p>
            <w:pPr>
              <w:spacing w:after="0"/>
              <w:rPr>
                <w:sz w:val="19"/>
                <w:szCs w:val="19"/>
                <w:color w:val="auto"/>
              </w:rPr>
            </w:pPr>
          </w:p>
        </w:tc>
        <w:tc>
          <w:tcPr>
            <w:tcW w:w="8000" w:type="dxa"/>
            <w:vAlign w:val="bottom"/>
          </w:tcPr>
          <w:p>
            <w:pPr>
              <w:ind w:left="720"/>
              <w:spacing w:after="0"/>
              <w:rPr>
                <w:sz w:val="20"/>
                <w:szCs w:val="20"/>
                <w:color w:val="auto"/>
              </w:rPr>
            </w:pPr>
            <w:r>
              <w:rPr>
                <w:rFonts w:ascii="Arial" w:cs="Arial" w:eastAsia="Arial" w:hAnsi="Arial"/>
                <w:sz w:val="20"/>
                <w:szCs w:val="20"/>
                <w:color w:val="auto"/>
              </w:rPr>
              <w:t>San Francisco, CA 94158</w:t>
            </w:r>
          </w:p>
        </w:tc>
      </w:tr>
      <w:tr>
        <w:trPr>
          <w:trHeight w:val="230"/>
        </w:trPr>
        <w:tc>
          <w:tcPr>
            <w:tcW w:w="3440" w:type="dxa"/>
            <w:vAlign w:val="bottom"/>
          </w:tcPr>
          <w:p>
            <w:pPr>
              <w:spacing w:after="0"/>
              <w:rPr>
                <w:sz w:val="19"/>
                <w:szCs w:val="19"/>
                <w:color w:val="auto"/>
              </w:rPr>
            </w:pPr>
          </w:p>
        </w:tc>
        <w:tc>
          <w:tcPr>
            <w:tcW w:w="8000" w:type="dxa"/>
            <w:vAlign w:val="bottom"/>
          </w:tcPr>
          <w:p>
            <w:pPr>
              <w:ind w:left="720"/>
              <w:spacing w:after="0"/>
              <w:rPr>
                <w:sz w:val="20"/>
                <w:szCs w:val="20"/>
                <w:color w:val="auto"/>
              </w:rPr>
            </w:pPr>
            <w:r>
              <w:rPr>
                <w:rFonts w:ascii="Arial" w:cs="Arial" w:eastAsia="Arial" w:hAnsi="Arial"/>
                <w:sz w:val="20"/>
                <w:szCs w:val="20"/>
                <w:color w:val="auto"/>
              </w:rPr>
              <w:t>Attn: Legal Department</w:t>
            </w:r>
          </w:p>
        </w:tc>
      </w:tr>
      <w:tr>
        <w:trPr>
          <w:trHeight w:val="250"/>
        </w:trPr>
        <w:tc>
          <w:tcPr>
            <w:tcW w:w="3440" w:type="dxa"/>
            <w:vAlign w:val="bottom"/>
          </w:tcPr>
          <w:p>
            <w:pPr>
              <w:spacing w:after="0"/>
              <w:rPr>
                <w:sz w:val="21"/>
                <w:szCs w:val="21"/>
                <w:color w:val="auto"/>
              </w:rPr>
            </w:pPr>
          </w:p>
        </w:tc>
        <w:tc>
          <w:tcPr>
            <w:tcW w:w="8000" w:type="dxa"/>
            <w:vAlign w:val="bottom"/>
          </w:tcPr>
          <w:p>
            <w:pPr>
              <w:ind w:left="720"/>
              <w:spacing w:after="0"/>
              <w:rPr>
                <w:sz w:val="20"/>
                <w:szCs w:val="20"/>
                <w:color w:val="auto"/>
              </w:rPr>
            </w:pPr>
            <w:r>
              <w:rPr>
                <w:rFonts w:ascii="Arial" w:cs="Arial" w:eastAsia="Arial" w:hAnsi="Arial"/>
                <w:sz w:val="20"/>
                <w:szCs w:val="20"/>
                <w:color w:val="auto"/>
              </w:rPr>
              <w:t>Telephone: + 1 415 978-1200</w:t>
            </w:r>
          </w:p>
        </w:tc>
      </w:tr>
      <w:tr>
        <w:trPr>
          <w:trHeight w:val="806"/>
        </w:trPr>
        <w:tc>
          <w:tcPr>
            <w:tcW w:w="3440" w:type="dxa"/>
            <w:vAlign w:val="bottom"/>
          </w:tcPr>
          <w:p>
            <w:pPr>
              <w:spacing w:after="0"/>
              <w:rPr>
                <w:sz w:val="24"/>
                <w:szCs w:val="24"/>
                <w:color w:val="auto"/>
              </w:rPr>
            </w:pPr>
          </w:p>
        </w:tc>
        <w:tc>
          <w:tcPr>
            <w:tcW w:w="8000" w:type="dxa"/>
            <w:vAlign w:val="bottom"/>
          </w:tcPr>
          <w:p>
            <w:pPr>
              <w:ind w:left="2180"/>
              <w:spacing w:after="0"/>
              <w:rPr>
                <w:sz w:val="20"/>
                <w:szCs w:val="20"/>
                <w:color w:val="auto"/>
              </w:rPr>
            </w:pPr>
            <w:r>
              <w:rPr>
                <w:rFonts w:ascii="Arial" w:cs="Arial" w:eastAsia="Arial" w:hAnsi="Arial"/>
                <w:sz w:val="18"/>
                <w:szCs w:val="18"/>
                <w:color w:val="auto"/>
              </w:rPr>
              <w:t>29</w:t>
            </w:r>
          </w:p>
        </w:tc>
      </w:tr>
      <w:tr>
        <w:trPr>
          <w:trHeight w:val="304"/>
        </w:trPr>
        <w:tc>
          <w:tcPr>
            <w:tcW w:w="344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93" w:name="page194"/>
    <w:bookmarkEnd w:id="193"/>
    <w:p>
      <w:pPr>
        <w:ind w:right="20" w:firstLine="8"/>
        <w:spacing w:after="0" w:line="298" w:lineRule="auto"/>
        <w:tabs>
          <w:tab w:leader="none" w:pos="23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ectPr>
          <w:pgSz w:w="11900" w:h="16838" w:orient="portrait"/>
          <w:cols w:equalWidth="0" w:num="1">
            <w:col w:w="11420"/>
          </w:cols>
          <w:pgMar w:left="240" w:top="126" w:right="239" w:bottom="1440" w:gutter="0" w:footer="0" w:header="0"/>
        </w:sectPr>
      </w:pPr>
    </w:p>
    <w:p>
      <w:pPr>
        <w:spacing w:after="0" w:line="124"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To Catalent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Catalent Pharma Solutions, LLC</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1100 Enterprise Drive</w:t>
      </w:r>
    </w:p>
    <w:p>
      <w:pPr>
        <w:spacing w:after="0"/>
        <w:rPr>
          <w:sz w:val="20"/>
          <w:szCs w:val="20"/>
          <w:color w:val="auto"/>
        </w:rPr>
      </w:pPr>
      <w:r>
        <w:rPr>
          <w:rFonts w:ascii="Arial" w:cs="Arial" w:eastAsia="Arial" w:hAnsi="Arial"/>
          <w:sz w:val="20"/>
          <w:szCs w:val="20"/>
          <w:color w:val="auto"/>
        </w:rPr>
        <w:t>Winchester, KY 40391</w:t>
      </w:r>
    </w:p>
    <w:p>
      <w:pPr>
        <w:spacing w:after="0"/>
        <w:rPr>
          <w:sz w:val="20"/>
          <w:szCs w:val="20"/>
          <w:color w:val="auto"/>
        </w:rPr>
      </w:pPr>
      <w:r>
        <w:rPr>
          <w:rFonts w:ascii="Arial" w:cs="Arial" w:eastAsia="Arial" w:hAnsi="Arial"/>
          <w:sz w:val="20"/>
          <w:szCs w:val="20"/>
          <w:color w:val="auto"/>
        </w:rPr>
        <w:t>Attn: General Manager</w:t>
      </w:r>
    </w:p>
    <w:p>
      <w:pPr>
        <w:spacing w:after="0"/>
        <w:rPr>
          <w:sz w:val="20"/>
          <w:szCs w:val="20"/>
          <w:color w:val="auto"/>
        </w:rPr>
      </w:pPr>
      <w:r>
        <w:rPr>
          <w:rFonts w:ascii="Arial" w:cs="Arial" w:eastAsia="Arial" w:hAnsi="Arial"/>
          <w:sz w:val="19"/>
          <w:szCs w:val="19"/>
          <w:color w:val="auto"/>
        </w:rPr>
        <w:t>Telephone: +1 859-745-2200</w:t>
      </w:r>
    </w:p>
    <w:p>
      <w:pPr>
        <w:spacing w:after="0" w:line="200" w:lineRule="exact"/>
        <w:rPr>
          <w:sz w:val="20"/>
          <w:szCs w:val="20"/>
          <w:color w:val="auto"/>
        </w:rPr>
      </w:pPr>
    </w:p>
    <w:p>
      <w:pPr>
        <w:sectPr>
          <w:pgSz w:w="11900" w:h="16838" w:orient="portrait"/>
          <w:cols w:equalWidth="0" w:num="2">
            <w:col w:w="3440" w:space="720"/>
            <w:col w:w="7260"/>
          </w:cols>
          <w:pgMar w:left="240" w:top="126" w:right="239" w:bottom="1440" w:gutter="0" w:footer="0" w:header="0"/>
          <w:type w:val="continuous"/>
        </w:sectPr>
      </w:pPr>
    </w:p>
    <w:p>
      <w:pPr>
        <w:spacing w:after="0" w:line="25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Catalent Pharma Solutions,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14 Schoolhouse Road</w:t>
      </w:r>
    </w:p>
    <w:p>
      <w:pPr>
        <w:spacing w:after="0"/>
        <w:rPr>
          <w:sz w:val="20"/>
          <w:szCs w:val="20"/>
          <w:color w:val="auto"/>
        </w:rPr>
      </w:pPr>
      <w:r>
        <w:rPr>
          <w:rFonts w:ascii="Arial" w:cs="Arial" w:eastAsia="Arial" w:hAnsi="Arial"/>
          <w:sz w:val="20"/>
          <w:szCs w:val="20"/>
          <w:color w:val="auto"/>
        </w:rPr>
        <w:t>Somerset, NJ 08873</w:t>
      </w:r>
    </w:p>
    <w:p>
      <w:pPr>
        <w:spacing w:after="0"/>
        <w:rPr>
          <w:sz w:val="20"/>
          <w:szCs w:val="20"/>
          <w:color w:val="auto"/>
        </w:rPr>
      </w:pPr>
      <w:r>
        <w:rPr>
          <w:rFonts w:ascii="Arial" w:cs="Arial" w:eastAsia="Arial" w:hAnsi="Arial"/>
          <w:sz w:val="18"/>
          <w:szCs w:val="18"/>
          <w:color w:val="auto"/>
        </w:rPr>
        <w:t>Attn: General Counsel (Legal Department)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E-Mail: GenCouns@catalent.com</w:t>
      </w:r>
    </w:p>
    <w:p>
      <w:pPr>
        <w:spacing w:after="0"/>
        <w:rPr>
          <w:sz w:val="20"/>
          <w:szCs w:val="20"/>
          <w:color w:val="auto"/>
        </w:rPr>
      </w:pPr>
      <w:r>
        <w:rPr>
          <w:rFonts w:ascii="Arial" w:cs="Arial" w:eastAsia="Arial" w:hAnsi="Arial"/>
          <w:sz w:val="20"/>
          <w:szCs w:val="20"/>
          <w:color w:val="auto"/>
        </w:rPr>
        <w:t>Facsimile: +1 (732) 537-6491</w:t>
      </w:r>
    </w:p>
    <w:p>
      <w:pPr>
        <w:spacing w:after="0" w:line="200" w:lineRule="exact"/>
        <w:rPr>
          <w:sz w:val="20"/>
          <w:szCs w:val="20"/>
          <w:color w:val="auto"/>
        </w:rPr>
      </w:pPr>
    </w:p>
    <w:p>
      <w:pPr>
        <w:sectPr>
          <w:pgSz w:w="11900" w:h="16838" w:orient="portrait"/>
          <w:cols w:equalWidth="0" w:num="2">
            <w:col w:w="3440" w:space="720"/>
            <w:col w:w="7260"/>
          </w:cols>
          <w:pgMar w:left="240" w:top="126" w:right="239" w:bottom="1440" w:gutter="0" w:footer="0" w:header="0"/>
          <w:type w:val="continuous"/>
        </w:sectPr>
      </w:pPr>
    </w:p>
    <w:p>
      <w:pPr>
        <w:jc w:val="both"/>
        <w:ind w:firstLine="827"/>
        <w:spacing w:after="0" w:line="26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construed and interpreted in accordance with the laws of the State of [ ], United States of America, without reference to conflict of laws principles. The Parties shall negotiate in good faith and use reasonable efforts to settle any dispute, controversy or claim arising from or related to this Agreement or the breach thereof, as follows: the matter shall be referred first to the JMC having responsibility for the subject matter of the dispute. The JMC shall negotiate in good faith to resolve such dispute in a mutually satisfactory manner for up to [ ] ([ ]) days. If such efforts do not result in mutually satisfactory resolution of the dispute, then such dispute may be submitted by either Party to arbitration by the [ ] by [ ] arbitrator selected by the Parties; provided, either Party will have the right to withdraw from the arbitration at any time, and termination of such participation will be effective upon written notice to the other Party. If no agreement on an arbitrator can be reached within [ ] ([ ]) days after the [ ] offers names of potential arbitrators, then the [ ] will choose one arbitrator having reasonable experience in commercial transactions of the type described in this Agreement. The arbitration shall take place in the English language in [ ], in accordance with the [ ] administered arbitration rules then in effect, and judgment upon any award rendered in such arbitration will be binding and may be entered in any court having jurisdiction of the matter. The arbitration shall commence within [ ] ([ ]) days of the date on which an arbitrator is selected. The arbitrator's decision shall set forth a reasoned basis for any award of damages or finding of liability. The arbitrator shall not have power to [ ]. The arbitrator shall award to the prevailing Party, if any, its costs and attorneys' fees and expenses reasonably incurred in connection with the arbitration, in accordance with this Section. In any dispute resolution proceeding between the Parties in connection with this Agreement, the prevailing Party will be entitled to recover its reasonable attorney's fees and costs in such proceeding, including any subsequent or related enforcement proceeding, from the other Party.</w:t>
      </w:r>
    </w:p>
    <w:p>
      <w:pPr>
        <w:spacing w:after="0" w:line="178" w:lineRule="exact"/>
        <w:rPr>
          <w:sz w:val="20"/>
          <w:szCs w:val="20"/>
          <w:color w:val="auto"/>
        </w:rPr>
      </w:pPr>
    </w:p>
    <w:p>
      <w:pPr>
        <w:jc w:val="both"/>
        <w:ind w:right="20" w:firstLine="827"/>
        <w:spacing w:after="0" w:line="260" w:lineRule="auto"/>
        <w:rPr>
          <w:sz w:val="20"/>
          <w:szCs w:val="20"/>
          <w:color w:val="auto"/>
        </w:rPr>
      </w:pPr>
      <w:r>
        <w:rPr>
          <w:rFonts w:ascii="Arial" w:cs="Arial" w:eastAsia="Arial" w:hAnsi="Arial"/>
          <w:sz w:val="20"/>
          <w:szCs w:val="20"/>
          <w:color w:val="auto"/>
        </w:rPr>
        <w:t xml:space="preserve">18.3 </w:t>
      </w:r>
      <w:r>
        <w:rPr>
          <w:rFonts w:ascii="Arial" w:cs="Arial" w:eastAsia="Arial" w:hAnsi="Arial"/>
          <w:sz w:val="20"/>
          <w:szCs w:val="20"/>
          <w:u w:val="single" w:color="auto"/>
          <w:color w:val="auto"/>
        </w:rPr>
        <w:t>Headings</w:t>
      </w:r>
      <w:r>
        <w:rPr>
          <w:rFonts w:ascii="Arial" w:cs="Arial" w:eastAsia="Arial" w:hAnsi="Arial"/>
          <w:sz w:val="20"/>
          <w:szCs w:val="20"/>
          <w:color w:val="auto"/>
        </w:rPr>
        <w:t>. All headings in this Agreement are for convenience of reference only and shall not affect the interpretation of this Agreement.</w:t>
      </w:r>
    </w:p>
    <w:p>
      <w:pPr>
        <w:spacing w:after="0" w:line="177"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20"/>
          <w:szCs w:val="20"/>
          <w:color w:val="auto"/>
        </w:rPr>
        <w:t xml:space="preserve">18.4 </w:t>
      </w:r>
      <w:r>
        <w:rPr>
          <w:rFonts w:ascii="Arial" w:cs="Arial" w:eastAsia="Arial" w:hAnsi="Arial"/>
          <w:sz w:val="20"/>
          <w:szCs w:val="20"/>
          <w:u w:val="single" w:color="auto"/>
          <w:color w:val="auto"/>
        </w:rPr>
        <w:t>Exhibits</w:t>
      </w:r>
      <w:r>
        <w:rPr>
          <w:rFonts w:ascii="Arial" w:cs="Arial" w:eastAsia="Arial" w:hAnsi="Arial"/>
          <w:sz w:val="20"/>
          <w:szCs w:val="20"/>
          <w:color w:val="auto"/>
        </w:rPr>
        <w:t>. All exhibits, attachments or appendices referred to herein form an integral part of this Agreement and are incorporated into this Agreement by such reference.</w:t>
      </w:r>
    </w:p>
    <w:p>
      <w:pPr>
        <w:spacing w:after="0" w:line="177" w:lineRule="exact"/>
        <w:rPr>
          <w:sz w:val="20"/>
          <w:szCs w:val="20"/>
          <w:color w:val="auto"/>
        </w:rPr>
      </w:pPr>
    </w:p>
    <w:p>
      <w:pPr>
        <w:jc w:val="both"/>
        <w:ind w:firstLine="827"/>
        <w:spacing w:after="0" w:line="278"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transfer this Agreement or any rights or obligations hereunder without the prior written consent of the other Party, except that a Party may make such an assignment without the other Party's consent to such Party's Affiliate or to a successor to all or substantially all of the assets or business of such Party to which this Agreement pertains, whether by asset sale, stock sale, merger, acquisition, or otherwise. Any permitted successor or assignee of rights and/or obligations hereunder shall, in a writing to the other Party, expressly assume performance of such rights and/or obligations. Any purported assignment that is not</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94" w:name="page195"/>
    <w:bookmarkEnd w:id="194"/>
    <w:p>
      <w:pPr>
        <w:ind w:right="20" w:firstLine="8"/>
        <w:spacing w:after="0" w:line="298" w:lineRule="auto"/>
        <w:tabs>
          <w:tab w:leader="none" w:pos="23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conformance with this Section 18.5 shall be null, void and of no legal effect. Subject to the foregoing, this Agreement shall be binding upon and inure to the benefit of the successors and assigns of the Parties.</w:t>
      </w:r>
    </w:p>
    <w:p>
      <w:pPr>
        <w:spacing w:after="0" w:line="177" w:lineRule="exact"/>
        <w:rPr>
          <w:sz w:val="20"/>
          <w:szCs w:val="20"/>
          <w:color w:val="auto"/>
        </w:rPr>
      </w:pPr>
    </w:p>
    <w:p>
      <w:pPr>
        <w:jc w:val="both"/>
        <w:ind w:firstLine="827"/>
        <w:spacing w:after="0" w:line="244" w:lineRule="auto"/>
        <w:rPr>
          <w:sz w:val="20"/>
          <w:szCs w:val="20"/>
          <w:color w:val="auto"/>
        </w:rPr>
      </w:pPr>
      <w:r>
        <w:rPr>
          <w:rFonts w:ascii="Arial" w:cs="Arial" w:eastAsia="Arial" w:hAnsi="Arial"/>
          <w:sz w:val="20"/>
          <w:szCs w:val="20"/>
          <w:color w:val="auto"/>
        </w:rPr>
        <w:t xml:space="preserve">18.6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part of this Agreement shall be found to be invalid or unenforceable under applicable law in any jurisdiction, such part shall be ineffective only to the extent of such invalidity or unenforceability in such jurisdiction, without in any way affecting the remaining parts of this Agreement in that jurisdiction or the validity or enforceability of the Agreement as a whole in any other jurisdiction. In addition, the part that is ineffective shall be reformed in a mutually agreeable manner so as to as nearly approximate the intent of the Parties as possible.</w:t>
      </w:r>
    </w:p>
    <w:p>
      <w:pPr>
        <w:spacing w:after="0" w:line="195"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18.7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Each of the Parties is an independent contractor and nothing herein contained shall be deemed to constitute the relationship of partners, joint venturers, nor of principal and agent between the Parties. Neither Party shall at any time enter into, incur, or hold itself out to Third Parties as having authority to enter into or incur, on behalf of the other Party, any commitment, expense, or liability whatsoever.</w:t>
      </w:r>
    </w:p>
    <w:p>
      <w:pPr>
        <w:spacing w:after="0" w:line="192" w:lineRule="exact"/>
        <w:rPr>
          <w:sz w:val="20"/>
          <w:szCs w:val="20"/>
          <w:color w:val="auto"/>
        </w:rPr>
      </w:pPr>
    </w:p>
    <w:p>
      <w:pPr>
        <w:jc w:val="both"/>
        <w:ind w:firstLine="827"/>
        <w:spacing w:after="0" w:line="274"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conflict or ambiguity between or among the provisions of a particular Purchase Order, and the body of this Agreement or any amendments hereto and any other ancillary agreements, the terms and conditions of the body of this Agreement and amendments hereto shall prevail, govern, override, and control followed by the terms and conditions of ancillary agreements such as the Quality Agreement, Specifications, and Master Batch Records; and then finally the terms and conditions of the particular Purchase Order. Notwithstanding the foregoing, the Quality Agreement shall control with respect to quality assurance subject matters. For clarity, only explicit exceptions or modifications of named sections of this Agreement or other agreements set forth in a Purchase Order, shall act as exceptions, modifications or amendments of such agreements, and only then for the Product under such Purchase Order.</w:t>
      </w:r>
    </w:p>
    <w:p>
      <w:pPr>
        <w:spacing w:after="0" w:line="169" w:lineRule="exact"/>
        <w:rPr>
          <w:sz w:val="20"/>
          <w:szCs w:val="20"/>
          <w:color w:val="auto"/>
        </w:rPr>
      </w:pPr>
    </w:p>
    <w:p>
      <w:pPr>
        <w:jc w:val="both"/>
        <w:ind w:firstLine="827"/>
        <w:spacing w:after="0" w:line="250" w:lineRule="auto"/>
        <w:rPr>
          <w:sz w:val="20"/>
          <w:szCs w:val="20"/>
          <w:color w:val="auto"/>
        </w:rPr>
      </w:pPr>
      <w:r>
        <w:rPr>
          <w:rFonts w:ascii="Arial" w:cs="Arial" w:eastAsia="Arial" w:hAnsi="Arial"/>
          <w:sz w:val="20"/>
          <w:szCs w:val="20"/>
          <w:color w:val="auto"/>
        </w:rPr>
        <w:t xml:space="preserve">18.9 </w:t>
      </w:r>
      <w:r>
        <w:rPr>
          <w:rFonts w:ascii="Arial" w:cs="Arial" w:eastAsia="Arial" w:hAnsi="Arial"/>
          <w:sz w:val="20"/>
          <w:szCs w:val="20"/>
          <w:u w:val="single" w:color="auto"/>
          <w:color w:val="auto"/>
        </w:rPr>
        <w:t>Waiver</w:t>
      </w:r>
      <w:r>
        <w:rPr>
          <w:rFonts w:ascii="Arial" w:cs="Arial" w:eastAsia="Arial" w:hAnsi="Arial"/>
          <w:sz w:val="20"/>
          <w:szCs w:val="20"/>
          <w:color w:val="auto"/>
        </w:rPr>
        <w:t>. No waiver of any term, provision or condition of this Agreement whether by conduct or otherwise in any one or more instances shall be deemed to be or construed as a further or continuing waiver of any such term, provision or condition or of any other term, provision or condition of this Agreement.</w:t>
      </w:r>
    </w:p>
    <w:p>
      <w:pPr>
        <w:spacing w:after="0" w:line="186" w:lineRule="exact"/>
        <w:rPr>
          <w:sz w:val="20"/>
          <w:szCs w:val="20"/>
          <w:color w:val="auto"/>
        </w:rPr>
      </w:pPr>
    </w:p>
    <w:p>
      <w:pPr>
        <w:jc w:val="both"/>
        <w:ind w:firstLine="827"/>
        <w:spacing w:after="0" w:line="282"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Entirety; Amendments</w:t>
      </w:r>
      <w:r>
        <w:rPr>
          <w:rFonts w:ascii="Arial" w:cs="Arial" w:eastAsia="Arial" w:hAnsi="Arial"/>
          <w:sz w:val="18"/>
          <w:szCs w:val="18"/>
          <w:color w:val="auto"/>
        </w:rPr>
        <w:t>. This Agreement, including any exhibits or ancillary documents attached hereto or referenced herein, constitutes the full understanding of the Parties and a complete and exclusive statement of the terms of their agreement with respect to the specific subject matter hereof, and no terms, conditions, understandings or agreements purporting to modify or vary the terms thereof shall be binding unless hereafter made in a written instrument referencing this Agreement and signed by each of the Parties.</w:t>
      </w:r>
    </w:p>
    <w:p>
      <w:pPr>
        <w:spacing w:after="0" w:line="162" w:lineRule="exact"/>
        <w:rPr>
          <w:sz w:val="20"/>
          <w:szCs w:val="20"/>
          <w:color w:val="auto"/>
        </w:rPr>
      </w:pPr>
    </w:p>
    <w:p>
      <w:pPr>
        <w:jc w:val="both"/>
        <w:ind w:firstLine="827"/>
        <w:spacing w:after="0" w:line="246" w:lineRule="auto"/>
        <w:rPr>
          <w:sz w:val="20"/>
          <w:szCs w:val="20"/>
          <w:color w:val="auto"/>
        </w:rPr>
      </w:pPr>
      <w:r>
        <w:rPr>
          <w:rFonts w:ascii="Arial" w:cs="Arial" w:eastAsia="Arial" w:hAnsi="Arial"/>
          <w:sz w:val="20"/>
          <w:szCs w:val="20"/>
          <w:color w:val="auto"/>
        </w:rPr>
        <w:t xml:space="preserve">18.11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amendment hereto may be executed in any number of counterparts, each of which shall for all purposes be deemed an original and all of which shall constitute the same instrument. This Agreement shall be effective upon full execution by portable document format (pdf), facsimile or original, and a pdf or facsimile signature shall be deemed to be and shall be as effective as an original signature.</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5" w:name="page196"/>
    <w:bookmarkEnd w:id="195"/>
    <w:p>
      <w:pPr>
        <w:ind w:firstLine="8"/>
        <w:spacing w:after="0" w:line="298" w:lineRule="auto"/>
        <w:tabs>
          <w:tab w:leader="none" w:pos="23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executed as of the Effective Date.</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ATALENT</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HARMA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OLUTIONS</w:t>
      </w:r>
      <w:r>
        <w:rPr>
          <w:rFonts w:ascii="Arial" w:cs="Arial" w:eastAsia="Arial" w:hAnsi="Arial"/>
          <w:sz w:val="20"/>
          <w:szCs w:val="20"/>
          <w:b w:val="1"/>
          <w:bCs w:val="1"/>
          <w:color w:val="auto"/>
        </w:rPr>
        <w:t>, LLC</w:t>
      </w:r>
      <w:r>
        <w:rPr>
          <w:sz w:val="20"/>
          <w:szCs w:val="20"/>
          <w:color w:val="auto"/>
        </w:rPr>
        <w:tab/>
      </w:r>
      <w:r>
        <w:rPr>
          <w:rFonts w:ascii="Arial" w:cs="Arial" w:eastAsia="Arial" w:hAnsi="Arial"/>
          <w:sz w:val="20"/>
          <w:szCs w:val="20"/>
          <w:b w:val="1"/>
          <w:bCs w:val="1"/>
          <w:color w:val="auto"/>
        </w:rPr>
        <w:t>F</w:t>
      </w:r>
      <w:r>
        <w:rPr>
          <w:rFonts w:ascii="Arial" w:cs="Arial" w:eastAsia="Arial" w:hAnsi="Arial"/>
          <w:sz w:val="13"/>
          <w:szCs w:val="13"/>
          <w:b w:val="1"/>
          <w:bCs w:val="1"/>
          <w:color w:val="auto"/>
        </w:rPr>
        <w:t>IBROGEN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By:  /s/ Aris Gennadios,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24765</wp:posOffset>
            </wp:positionV>
            <wp:extent cx="30702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4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Aris Gennadios,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10160</wp:posOffset>
            </wp:positionV>
            <wp:extent cx="29330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10160</wp:posOffset>
            </wp:positionV>
            <wp:extent cx="29673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18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10160</wp:posOffset>
            </wp:positionV>
            <wp:extent cx="29502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By: /s/ Michael Martinelli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17780</wp:posOffset>
            </wp:positionV>
            <wp:extent cx="3310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Name Michael Martinelli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17780</wp:posOffset>
            </wp:positionV>
            <wp:extent cx="31730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3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VP Tech 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10160</wp:posOffset>
            </wp:positionV>
            <wp:extent cx="31730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2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10160</wp:posOffset>
            </wp:positionV>
            <wp:extent cx="31730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580"/>
          </w:cols>
          <w:pgMar w:left="240" w:top="126" w:right="25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type w:val="continuous"/>
        </w:sectPr>
      </w:pPr>
    </w:p>
    <w:bookmarkStart w:id="196" w:name="page197"/>
    <w:bookmarkEnd w:id="196"/>
    <w:p>
      <w:pPr>
        <w:ind w:firstLine="8"/>
        <w:spacing w:after="0" w:line="298" w:lineRule="auto"/>
        <w:tabs>
          <w:tab w:leader="none" w:pos="23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UNIT PRICING, PURCHASE ORDERS AND ADDITIONAL FEES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97" w:name="page198"/>
    <w:bookmarkEnd w:id="197"/>
    <w:p>
      <w:pPr>
        <w:ind w:firstLine="8"/>
        <w:spacing w:after="0" w:line="298" w:lineRule="auto"/>
        <w:tabs>
          <w:tab w:leader="none" w:pos="23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B</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PRODUCT MAINTENANCE SERVICES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Product Maintenance Services are comprised of the following:</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98" w:name="page199"/>
    <w:bookmarkEnd w:id="198"/>
    <w:p>
      <w:pPr>
        <w:ind w:right="20" w:firstLine="8"/>
        <w:spacing w:after="0" w:line="298" w:lineRule="auto"/>
        <w:tabs>
          <w:tab w:leader="none" w:pos="23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OTHER SERVICES</w:t>
      </w: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following services and items are </w:t>
      </w:r>
      <w:r>
        <w:rPr>
          <w:rFonts w:ascii="Arial" w:cs="Arial" w:eastAsia="Arial" w:hAnsi="Arial"/>
          <w:sz w:val="20"/>
          <w:szCs w:val="20"/>
          <w:i w:val="1"/>
          <w:iCs w:val="1"/>
          <w:u w:val="single" w:color="auto"/>
          <w:color w:val="auto"/>
        </w:rPr>
        <w:t>not</w:t>
      </w:r>
      <w:r>
        <w:rPr>
          <w:rFonts w:ascii="Arial" w:cs="Arial" w:eastAsia="Arial" w:hAnsi="Arial"/>
          <w:sz w:val="20"/>
          <w:szCs w:val="20"/>
          <w:color w:val="auto"/>
        </w:rPr>
        <w:t xml:space="preserve"> included in Product Maintenance Services and may be supported by Catalent on an as-needed basis under a countersigned quotation. The list below is provided for illustration purposes and not intended to represent an exhaustive list of Product requests or services provided by Catalent: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9" w:name="page200"/>
    <w:bookmarkEnd w:id="199"/>
    <w:p>
      <w:pPr>
        <w:ind w:firstLine="8"/>
        <w:spacing w:after="0" w:line="298" w:lineRule="auto"/>
        <w:tabs>
          <w:tab w:leader="none" w:pos="23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FibroGen-Supplied Materials and Raw Materials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00" w:name="page201"/>
    <w:bookmarkEnd w:id="200"/>
    <w:p>
      <w:pPr>
        <w:ind w:firstLine="8"/>
        <w:spacing w:after="0" w:line="298" w:lineRule="auto"/>
        <w:tabs>
          <w:tab w:leader="none" w:pos="23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ATTACHMENT 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Product Specifications</w:t>
      </w:r>
    </w:p>
    <w:p>
      <w:pPr>
        <w:spacing w:after="0" w:line="231" w:lineRule="exact"/>
        <w:rPr>
          <w:sz w:val="20"/>
          <w:szCs w:val="20"/>
          <w:color w:val="auto"/>
        </w:rPr>
      </w:pPr>
    </w:p>
    <w:p>
      <w:pPr>
        <w:ind w:left="5740" w:hanging="120"/>
        <w:spacing w:after="0"/>
        <w:tabs>
          <w:tab w:leader="none" w:pos="5740" w:val="left"/>
        </w:tabs>
        <w:numPr>
          <w:ilvl w:val="0"/>
          <w:numId w:val="118"/>
        </w:numPr>
        <w:rPr>
          <w:rFonts w:ascii="Arial" w:cs="Arial" w:eastAsia="Arial" w:hAnsi="Arial"/>
          <w:sz w:val="20"/>
          <w:szCs w:val="20"/>
          <w:u w:val="single" w:color="auto"/>
          <w:color w:val="auto"/>
        </w:rPr>
      </w:pPr>
      <w:r>
        <w:rPr>
          <w:rFonts w:ascii="Arial" w:cs="Arial" w:eastAsia="Arial" w:hAnsi="Arial"/>
          <w:sz w:val="22"/>
          <w:szCs w:val="22"/>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6" w:right="2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Christine Chung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[PRIVATE ADDRESS]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Chris,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FibroGen, Inc. is pleased to offer you the position of Senior Director, China, reporting to Sarah O’Dowd, Vice President and General Counsel. We are very excited about the possibility of you joining our team, and we look forward to the prospect of working with you in our innovative company! The following outlines the specific terms of our offer:</w:t>
      </w:r>
    </w:p>
    <w:p>
      <w:pPr>
        <w:spacing w:after="0" w:line="181" w:lineRule="exact"/>
        <w:rPr>
          <w:sz w:val="20"/>
          <w:szCs w:val="20"/>
          <w:color w:val="auto"/>
        </w:rPr>
      </w:pPr>
    </w:p>
    <w:p>
      <w:pPr>
        <w:ind w:left="820" w:right="20" w:hanging="407"/>
        <w:spacing w:after="0" w:line="277"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Your salary will be $12,533.34 per month, less taxes and standard deductions as required by law. Paid bimonthly, this figure will annualize to $150,400. Your scheduled work week will be 32 hours.</w:t>
      </w:r>
    </w:p>
    <w:p>
      <w:pPr>
        <w:spacing w:after="0" w:line="170" w:lineRule="exact"/>
        <w:rPr>
          <w:rFonts w:ascii="Arial" w:cs="Arial" w:eastAsia="Arial" w:hAnsi="Arial"/>
          <w:sz w:val="18"/>
          <w:szCs w:val="18"/>
          <w:color w:val="auto"/>
        </w:rPr>
      </w:pPr>
    </w:p>
    <w:p>
      <w:pPr>
        <w:jc w:val="both"/>
        <w:ind w:left="820" w:hanging="407"/>
        <w:spacing w:after="0" w:line="312"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Pending any necessary approvals, including those of the Company’s Board of Directors, and in compliance with applicable laws and regulations, we plan to offer you an option to purchase 50,000 shares of common stock of FibroGen, with a vesting base date of the first day of your employment, pursuant to the terms and conditions of the Company’s 2005 Stock Plan, and may be amended or modified from time to time.</w:t>
      </w:r>
    </w:p>
    <w:p>
      <w:pPr>
        <w:spacing w:after="0" w:line="146" w:lineRule="exact"/>
        <w:rPr>
          <w:rFonts w:ascii="Arial" w:cs="Arial" w:eastAsia="Arial" w:hAnsi="Arial"/>
          <w:sz w:val="16"/>
          <w:szCs w:val="16"/>
          <w:color w:val="auto"/>
        </w:rPr>
      </w:pPr>
    </w:p>
    <w:p>
      <w:pPr>
        <w:ind w:left="1640" w:right="400" w:hanging="1227"/>
        <w:spacing w:after="0" w:line="258"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above option grant is in addition to the Stock Option grants previously awarded in accordance with terms of your Consulting Agreement: 50,000 – with vesting base date of December 15, 2006, vesting ratably over 3 years</w:t>
      </w:r>
    </w:p>
    <w:p>
      <w:pPr>
        <w:spacing w:after="0" w:line="1"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40,000 – vesting upon achievement of the following milestones</w:t>
      </w:r>
    </w:p>
    <w:p>
      <w:pPr>
        <w:spacing w:after="0" w:line="9"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10,000 – vesting upon approval of CTA</w:t>
      </w:r>
    </w:p>
    <w:p>
      <w:pPr>
        <w:spacing w:after="0" w:line="9"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10,000 – vesting upon initiation of PRC clinical trial – with first patient, first visit.</w:t>
      </w:r>
    </w:p>
    <w:p>
      <w:pPr>
        <w:spacing w:after="0" w:line="9" w:lineRule="exact"/>
        <w:rPr>
          <w:rFonts w:ascii="Arial" w:cs="Arial" w:eastAsia="Arial" w:hAnsi="Arial"/>
          <w:sz w:val="18"/>
          <w:szCs w:val="18"/>
          <w:color w:val="auto"/>
        </w:rPr>
      </w:pPr>
    </w:p>
    <w:p>
      <w:pPr>
        <w:ind w:left="2460"/>
        <w:spacing w:after="0" w:line="261" w:lineRule="auto"/>
        <w:rPr>
          <w:rFonts w:ascii="Arial" w:cs="Arial" w:eastAsia="Arial" w:hAnsi="Arial"/>
          <w:sz w:val="18"/>
          <w:szCs w:val="18"/>
          <w:color w:val="auto"/>
        </w:rPr>
      </w:pPr>
      <w:r>
        <w:rPr>
          <w:rFonts w:ascii="Arial" w:cs="Arial" w:eastAsia="Arial" w:hAnsi="Arial"/>
          <w:sz w:val="18"/>
          <w:szCs w:val="18"/>
          <w:color w:val="auto"/>
        </w:rPr>
        <w:t>20,000 – vesting upon completion of significant business transaction – a) closing of significant investment from non-affiliate(s), or b) signing transaction with marketing partner.</w:t>
      </w:r>
    </w:p>
    <w:p>
      <w:pPr>
        <w:spacing w:after="0" w:line="183" w:lineRule="exact"/>
        <w:rPr>
          <w:rFonts w:ascii="Arial" w:cs="Arial" w:eastAsia="Arial" w:hAnsi="Arial"/>
          <w:sz w:val="18"/>
          <w:szCs w:val="18"/>
          <w:color w:val="auto"/>
        </w:rPr>
      </w:pPr>
    </w:p>
    <w:p>
      <w:pPr>
        <w:ind w:left="820" w:hanging="407"/>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will be entitled to fly business class outside of North America</w:t>
      </w:r>
    </w:p>
    <w:p>
      <w:pPr>
        <w:spacing w:after="0" w:line="225" w:lineRule="exact"/>
        <w:rPr>
          <w:rFonts w:ascii="Arial" w:cs="Arial" w:eastAsia="Arial" w:hAnsi="Arial"/>
          <w:sz w:val="18"/>
          <w:szCs w:val="18"/>
          <w:color w:val="auto"/>
        </w:rPr>
      </w:pPr>
    </w:p>
    <w:p>
      <w:pPr>
        <w:jc w:val="both"/>
        <w:ind w:left="820" w:hanging="407"/>
        <w:spacing w:after="0" w:line="302"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You will be eligible for certain FibroGen employee benefits, which will include medical, vision and dental health insurance. Additionally, we offer a 401(k) plan, which provides you with the opportunity for pre-tax long-term savings by deferring from 1-60% of your annual salary, subject to certain maximums. These benefits may be modified or terminated from time to time, and a benefit summary has been included with this letter. More detailed information regarding your benefits will be provided at your New Employee Orientation, shortly after you begin employment.</w:t>
      </w:r>
    </w:p>
    <w:p>
      <w:pPr>
        <w:spacing w:after="0" w:line="154" w:lineRule="exact"/>
        <w:rPr>
          <w:rFonts w:ascii="Arial" w:cs="Arial" w:eastAsia="Arial" w:hAnsi="Arial"/>
          <w:sz w:val="16"/>
          <w:szCs w:val="16"/>
          <w:color w:val="auto"/>
        </w:rPr>
      </w:pPr>
    </w:p>
    <w:p>
      <w:pPr>
        <w:ind w:left="820" w:hanging="407"/>
        <w:spacing w:after="0" w:line="277"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As a 32 hour-per-week employee, you will receive twelve (12) days of paid vacation each year, which will accrue at the rate of 1 day per month beginning from your first day of employment at FibroGen.</w:t>
      </w:r>
    </w:p>
    <w:p>
      <w:pPr>
        <w:spacing w:after="0" w:line="170" w:lineRule="exact"/>
        <w:rPr>
          <w:rFonts w:ascii="Arial" w:cs="Arial" w:eastAsia="Arial" w:hAnsi="Arial"/>
          <w:sz w:val="18"/>
          <w:szCs w:val="18"/>
          <w:color w:val="auto"/>
        </w:rPr>
      </w:pPr>
    </w:p>
    <w:p>
      <w:pPr>
        <w:jc w:val="both"/>
        <w:ind w:left="820" w:hanging="407"/>
        <w:spacing w:after="0" w:line="302"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You will abide by FibroGen’s strict company policy that prohibits any new employee from using or bringing with them from any prior employer any proprietary information, trade secrets, proprietary materials or processes of such former employers. Moreover, because the Company’s proprietary information is extremely important, this offer is expressly subject to your executing the enclosed Confidential Information, Secrecy and Invention Agreement for Employees. You also agree to follow all other rules and policies that the Company may announce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10.32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Chung, Chris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jc w:val="both"/>
        <w:ind w:left="820" w:hanging="407"/>
        <w:spacing w:after="0" w:line="279" w:lineRule="auto"/>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You will also be required to sign the Employment Eligibility Verification (Form I-9). (You will need to complete and return Section One of the I-9 form along with your signed offer letter). On your first day of employment, please bring the necessary documents that establish your identity and employment eligibility. Acceptable documents are listed on the reverse side of the I-9 form. Such documentation must be provided to us within three (3) business days of your date of hire, or our employment relationship with you may be terminated.</w:t>
      </w:r>
    </w:p>
    <w:p>
      <w:pPr>
        <w:spacing w:after="0" w:line="171" w:lineRule="exact"/>
        <w:rPr>
          <w:rFonts w:ascii="Arial" w:cs="Arial" w:eastAsia="Arial" w:hAnsi="Arial"/>
          <w:sz w:val="17"/>
          <w:szCs w:val="17"/>
          <w:color w:val="auto"/>
        </w:rPr>
      </w:pPr>
    </w:p>
    <w:p>
      <w:pPr>
        <w:jc w:val="both"/>
        <w:ind w:left="820"/>
        <w:spacing w:after="0" w:line="276" w:lineRule="auto"/>
        <w:rPr>
          <w:rFonts w:ascii="Arial" w:cs="Arial" w:eastAsia="Arial" w:hAnsi="Arial"/>
          <w:sz w:val="17"/>
          <w:szCs w:val="17"/>
          <w:color w:val="auto"/>
        </w:rPr>
      </w:pPr>
      <w:r>
        <w:rPr>
          <w:rFonts w:ascii="Arial" w:cs="Arial" w:eastAsia="Arial" w:hAnsi="Arial"/>
          <w:sz w:val="17"/>
          <w:szCs w:val="17"/>
          <w:color w:val="auto"/>
        </w:rPr>
        <w:t>You should be aware that your employment with the Company is for no specified period and constitutes "at-will" employment. As a result, you are free to resign at any time, for any reason, with or without cause or notice. Similarly, the Company is free to conclude its employment with you at any time. The changing needs of the Company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President of the Company.</w:t>
      </w:r>
    </w:p>
    <w:p>
      <w:pPr>
        <w:spacing w:after="0" w:line="199" w:lineRule="exact"/>
        <w:rPr>
          <w:rFonts w:ascii="Arial" w:cs="Arial" w:eastAsia="Arial" w:hAnsi="Arial"/>
          <w:sz w:val="17"/>
          <w:szCs w:val="17"/>
          <w:color w:val="auto"/>
        </w:rPr>
      </w:pPr>
    </w:p>
    <w:p>
      <w:pPr>
        <w:jc w:val="both"/>
        <w:ind w:left="820"/>
        <w:spacing w:after="0" w:line="288" w:lineRule="auto"/>
        <w:rPr>
          <w:rFonts w:ascii="Arial" w:cs="Arial" w:eastAsia="Arial" w:hAnsi="Arial"/>
          <w:sz w:val="17"/>
          <w:szCs w:val="17"/>
          <w:color w:val="auto"/>
        </w:rPr>
      </w:pPr>
      <w:r>
        <w:rPr>
          <w:rFonts w:ascii="Arial" w:cs="Arial" w:eastAsia="Arial" w:hAnsi="Arial"/>
          <w:sz w:val="16"/>
          <w:szCs w:val="16"/>
          <w:color w:val="auto"/>
        </w:rPr>
        <w:t>Any dispute or claim, including all contract, tort, discrimination and other statutory claims, arising under or relating to your employment or termination of your employment with the Company but excepting claims under applicable workers’ compensation law and unemployment insurance claims (“arbitrable claims”) alleged against the Company and/or its agents shall be resolved by arbitration. However, you and the Company agree that this arbitration provision shall not apply to any disputes or claims relating to or arising out of the misuse or misappropriation of the Company’s trade secrets. Such arbitration shall be final and binding on the parties and shall be the exclusive remedy for arbitrable claims. You and the Company hereby waive any rights each may have to a jury trial in regard to the arbitrable claims. Arbitration shall be conducted by the American Arbitration Association in San Mateo (or other mutually agreed upon city) under the National Rules for the Resolution of Employment Disputes. In any arbitration, the burden of proof shall be allocated as provided by applicable law. The Company agrees to pay the fees and costs of the arbitrator. However, the arbitrator shall have the same authority as a court to award equitable relief, damages, costs, and fees (excluding the costs and fees for the arbitrator) as provided by law for the particular claims asserted.</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Unless otherwise notified by the Company, this offer of employment is effective for 5 business days from the date of this letter. There are two originals of this letter enclosed. If all of the foregoing is satisfactory, please sign and date each original and return one to me within five business days in the enclosed envelope, saving the other original for yourself. Please also complete the following enclosed forms and mail them back with your signed offer letter:</w:t>
      </w:r>
    </w:p>
    <w:p>
      <w:pPr>
        <w:spacing w:after="0" w:line="147" w:lineRule="exact"/>
        <w:rPr>
          <w:sz w:val="20"/>
          <w:szCs w:val="20"/>
          <w:color w:val="auto"/>
        </w:rPr>
      </w:pPr>
    </w:p>
    <w:p>
      <w:pPr>
        <w:ind w:left="420" w:hanging="412"/>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I-9 Form</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Confidential Information, Secrecy and Invention Agreement</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FibroGen Employment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10.32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Chung, Chris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 we look forward to your joining our team at FibroGen.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Ted A. Tucker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Ted A.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720" w:val="left"/>
          <w:tab w:leader="none" w:pos="1380" w:val="left"/>
          <w:tab w:leader="none" w:pos="1940" w:val="left"/>
        </w:tabs>
        <w:rPr>
          <w:sz w:val="20"/>
          <w:szCs w:val="20"/>
          <w:color w:val="auto"/>
        </w:rPr>
      </w:pPr>
      <w:r>
        <w:rPr>
          <w:rFonts w:ascii="Arial" w:cs="Arial" w:eastAsia="Arial" w:hAnsi="Arial"/>
          <w:sz w:val="18"/>
          <w:szCs w:val="18"/>
          <w:color w:val="auto"/>
        </w:rPr>
        <w:t>18th</w:t>
        <w:tab/>
        <w:t>Day of</w:t>
        <w:tab/>
        <w:t>June,</w:t>
      </w:r>
      <w:r>
        <w:rPr>
          <w:sz w:val="20"/>
          <w:szCs w:val="20"/>
          <w:color w:val="auto"/>
        </w:rPr>
        <w:tab/>
      </w:r>
      <w:r>
        <w:rPr>
          <w:rFonts w:ascii="Arial" w:cs="Arial" w:eastAsia="Arial" w:hAnsi="Arial"/>
          <w:sz w:val="16"/>
          <w:szCs w:val="16"/>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18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5">
                      <a:extLst>
                        <a:ext uri="{28A0092B-C50C-407E-A947-70E740481C1C}"/>
                      </a:extLst>
                    </a:blip>
                    <a:srcRect/>
                    <a:stretch>
                      <a:fillRect/>
                    </a:stretch>
                  </pic:blipFill>
                  <pic:spPr bwMode="auto">
                    <a:xfrm>
                      <a:off x="0" y="0"/>
                      <a:ext cx="43180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-10160</wp:posOffset>
            </wp:positionV>
            <wp:extent cx="3524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Christine Chung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Christine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June 18th,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Intended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Benefits Summary</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Duplicate Letter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Return Envelope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Employment Eligibility Verification (I-9) Form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Confidential Information, Secrecy and Invention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Employment Application</w:t>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10.33</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24, 2014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Elias Kouchakji, MD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[PRIVATE ADDRESS]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Elias,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FibroGen, Inc. is pleased to offer you the position of Vice President, Drug Safety in our Clinical Development department reporting to Frank Valone, MD, Chief Medical Officer. We are very excited about the possibility of you joining our team, and we look forward to the prospect of working with you in our innovative company! The following outlines the specific terms of our offer:</w:t>
      </w:r>
    </w:p>
    <w:p>
      <w:pPr>
        <w:spacing w:after="0" w:line="181" w:lineRule="exact"/>
        <w:rPr>
          <w:sz w:val="20"/>
          <w:szCs w:val="20"/>
          <w:color w:val="auto"/>
        </w:rPr>
      </w:pPr>
    </w:p>
    <w:p>
      <w:pPr>
        <w:ind w:left="820" w:right="20" w:hanging="407"/>
        <w:spacing w:after="0" w:line="277"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Your salary will be $29,167.00 per month, less taxes and standard deductions as required by law. Paid bimonthly, this figure will annualize to $350,000</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will be paid an employment bonus of $25,000 less taxes and standard deductions.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will also be eligible to participate in the FibroGen Incentive Compensation Plan.</w:t>
      </w:r>
    </w:p>
    <w:p>
      <w:pPr>
        <w:spacing w:after="0" w:line="225" w:lineRule="exact"/>
        <w:rPr>
          <w:rFonts w:ascii="Arial" w:cs="Arial" w:eastAsia="Arial" w:hAnsi="Arial"/>
          <w:sz w:val="18"/>
          <w:szCs w:val="18"/>
          <w:color w:val="auto"/>
        </w:rPr>
      </w:pPr>
    </w:p>
    <w:p>
      <w:pPr>
        <w:jc w:val="both"/>
        <w:ind w:left="820" w:hanging="407"/>
        <w:spacing w:after="0" w:line="264"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Pending any necessary approvals, including those of the Company’s Board of Directors and Stockholders, and in compliance with applicable laws and regulations, we plan to offer you an option to purchase 100,000 shares of common stock of FibroGen, pursuant to the terms and conditions of the Company’s 2005 Stock Plan, and may be amended or modified from time to time.</w:t>
      </w:r>
    </w:p>
    <w:p>
      <w:pPr>
        <w:spacing w:after="0" w:line="181" w:lineRule="exact"/>
        <w:rPr>
          <w:rFonts w:ascii="Arial" w:cs="Arial" w:eastAsia="Arial" w:hAnsi="Arial"/>
          <w:sz w:val="18"/>
          <w:szCs w:val="18"/>
          <w:color w:val="auto"/>
        </w:rPr>
      </w:pPr>
    </w:p>
    <w:p>
      <w:pPr>
        <w:jc w:val="both"/>
        <w:ind w:left="820" w:hanging="407"/>
        <w:spacing w:after="0" w:line="302" w:lineRule="auto"/>
        <w:tabs>
          <w:tab w:leader="none" w:pos="8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You will be eligible for certain FibroGen employee benefits, which will include medical, vision and dental health insurance. Additionally, we offer a 401(k) plan, which provides you with the opportunity for pre-tax long-term savings by deferring from 1-60% of your annual salary, subject to certain maximums. These benefits may be modified or terminated from time to time, and a benefit summary has been included with this letter. More detailed information regarding your benefits will be provided at your New Employee Orientation, shortly after you begin employment.</w:t>
      </w:r>
    </w:p>
    <w:p>
      <w:pPr>
        <w:spacing w:after="0" w:line="154" w:lineRule="exact"/>
        <w:rPr>
          <w:rFonts w:ascii="Arial" w:cs="Arial" w:eastAsia="Arial" w:hAnsi="Arial"/>
          <w:sz w:val="16"/>
          <w:szCs w:val="16"/>
          <w:color w:val="auto"/>
        </w:rPr>
      </w:pPr>
    </w:p>
    <w:p>
      <w:pPr>
        <w:jc w:val="both"/>
        <w:ind w:left="820" w:right="20" w:hanging="407"/>
        <w:spacing w:after="0" w:line="264"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will be eligible to participate in our Corporate Relocation Program – which includes payment of certain expenses associated with your relocation to the Bay Area. Details of the services available to you are outlined in a separate, attached document. As the IRS may consider some of these benefits taxable income, we recommend you consult with your tax advisor.</w:t>
      </w:r>
    </w:p>
    <w:p>
      <w:pPr>
        <w:spacing w:after="0" w:line="208"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a full-time employee, you will receive fifteen (15) days of paid vacation each year, which will accrue at the rate of 1.25 days per month beginning from your first day of employment at FibroGen.</w:t>
      </w:r>
    </w:p>
    <w:p>
      <w:pPr>
        <w:spacing w:after="0" w:line="170" w:lineRule="exact"/>
        <w:rPr>
          <w:rFonts w:ascii="Arial" w:cs="Arial" w:eastAsia="Arial" w:hAnsi="Arial"/>
          <w:sz w:val="18"/>
          <w:szCs w:val="18"/>
          <w:color w:val="auto"/>
        </w:rPr>
      </w:pPr>
    </w:p>
    <w:p>
      <w:pPr>
        <w:jc w:val="both"/>
        <w:ind w:left="820" w:hanging="407"/>
        <w:spacing w:after="0" w:line="302" w:lineRule="auto"/>
        <w:tabs>
          <w:tab w:leader="none" w:pos="8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You will abide by FibroGen’s strict company policy that prohibits any new employee from using or bringing with them from any prior employer any proprietary information, trade secrets, proprietary materials or processes of such former employers. Moreover, because the Company’s proprietary information is extremely important, this offer is expressly subject to your executing the enclosed Confidential Information, Secrecy and Invention Agreement for Employees. You also agree to follow all other rules and policies that the Company may announce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10.33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Kouchakji, Elias,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54" w:lineRule="exact"/>
        <w:rPr>
          <w:sz w:val="20"/>
          <w:szCs w:val="20"/>
          <w:color w:val="auto"/>
        </w:rPr>
      </w:pPr>
    </w:p>
    <w:p>
      <w:pPr>
        <w:jc w:val="both"/>
        <w:ind w:left="820" w:hanging="407"/>
        <w:spacing w:after="0" w:line="279" w:lineRule="auto"/>
        <w:tabs>
          <w:tab w:leader="none" w:pos="8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You will also be required to sign the Employment Eligibility Verification (Form I-9). (You will need to complete and return Section One of the I-9 form along with your signed offer letter). On your first day of employment, please bring the necessary documents that establish your identity and employment eligibility. Acceptable documents are listed on the reverse side of the I-9 form. Such documentation must be provided to us within three (3) business days of your date of hire, or our employment relationship with you may be terminated</w:t>
      </w:r>
    </w:p>
    <w:p>
      <w:pPr>
        <w:spacing w:after="0" w:line="171" w:lineRule="exact"/>
        <w:rPr>
          <w:rFonts w:ascii="Arial" w:cs="Arial" w:eastAsia="Arial" w:hAnsi="Arial"/>
          <w:sz w:val="17"/>
          <w:szCs w:val="17"/>
          <w:color w:val="auto"/>
        </w:rPr>
      </w:pPr>
    </w:p>
    <w:p>
      <w:pPr>
        <w:jc w:val="both"/>
        <w:ind w:left="820" w:hanging="407"/>
        <w:spacing w:after="0" w:line="276" w:lineRule="auto"/>
        <w:tabs>
          <w:tab w:leader="none" w:pos="8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You should be aware that your employment with the Company is for no specified period and constitutes "at-will" employment. As a result, you are free to resign at any time, for any reason, with or without cause or notice. Similarly, the Company is free to conclude its employment with you at any time. The changing needs of the Company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President of the Company.</w:t>
      </w:r>
    </w:p>
    <w:p>
      <w:pPr>
        <w:spacing w:after="0" w:line="199" w:lineRule="exact"/>
        <w:rPr>
          <w:rFonts w:ascii="Arial" w:cs="Arial" w:eastAsia="Arial" w:hAnsi="Arial"/>
          <w:sz w:val="17"/>
          <w:szCs w:val="17"/>
          <w:color w:val="auto"/>
        </w:rPr>
      </w:pPr>
    </w:p>
    <w:p>
      <w:pPr>
        <w:ind w:left="820" w:hanging="407"/>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dispute or claim, including all contract, tort, discrimination and other statutory claims,</w:t>
      </w:r>
    </w:p>
    <w:p>
      <w:pPr>
        <w:spacing w:after="0" w:line="23" w:lineRule="exact"/>
        <w:rPr>
          <w:rFonts w:ascii="Arial" w:cs="Arial" w:eastAsia="Arial" w:hAnsi="Arial"/>
          <w:sz w:val="18"/>
          <w:szCs w:val="18"/>
          <w:color w:val="auto"/>
        </w:rPr>
      </w:pPr>
    </w:p>
    <w:p>
      <w:pPr>
        <w:jc w:val="both"/>
        <w:ind w:left="820"/>
        <w:spacing w:after="0" w:line="287" w:lineRule="auto"/>
        <w:rPr>
          <w:rFonts w:ascii="Arial" w:cs="Arial" w:eastAsia="Arial" w:hAnsi="Arial"/>
          <w:sz w:val="18"/>
          <w:szCs w:val="18"/>
          <w:color w:val="auto"/>
        </w:rPr>
      </w:pPr>
      <w:r>
        <w:rPr>
          <w:rFonts w:ascii="Arial" w:cs="Arial" w:eastAsia="Arial" w:hAnsi="Arial"/>
          <w:sz w:val="16"/>
          <w:szCs w:val="16"/>
          <w:color w:val="auto"/>
        </w:rPr>
        <w:t>arising under or relating to your employment or termination of your employment with the Company but excepting claims under applicable workers’ compensation law and unemployment insurance claims (“arbitrable claims”) alleged against the Company and/or its agents shall be resolved by arbitration. However, you and the Company agree that this arbitration provision shall not apply to any disputes or claims relating to or arising out of the misuse or misappropriation of the Company’s trade secrets. Such arbitration shall be final and binding on the parties and shall be the exclusive remedy for arbitrable claims. You and the Company hereby waive any rights each may have to a jury trial in regard to the arbitrable claims. Arbitration shall be conducted by the American Arbitration Association in San Mateo (or other mutually agreed upon city) under the National Rules for the Resolution of Employment Disputes. In any arbitration, the burden of proof shall be allocated as provided by applicable law. The Company agrees to pay the fees and costs of the arbitrator. However, the arbitrator shall have the same authority as a court to award equitable relief, damages, costs, and fees (excluding the costs and fees for the arbitrator) as provided by law for the particular claims asserted.</w:t>
      </w:r>
    </w:p>
    <w:p>
      <w:pPr>
        <w:spacing w:after="0" w:line="193" w:lineRule="exact"/>
        <w:rPr>
          <w:rFonts w:ascii="Arial" w:cs="Arial" w:eastAsia="Arial" w:hAnsi="Arial"/>
          <w:sz w:val="18"/>
          <w:szCs w:val="18"/>
          <w:color w:val="auto"/>
        </w:rPr>
      </w:pPr>
    </w:p>
    <w:p>
      <w:pPr>
        <w:jc w:val="both"/>
        <w:ind w:left="820" w:hanging="407"/>
        <w:spacing w:after="0" w:line="279" w:lineRule="auto"/>
        <w:tabs>
          <w:tab w:leader="none" w:pos="8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This offer of employment is made contingent upon successful completion of FibroGen, Inc.’s background check. This includes verification of the information provided online and your employment application. If necessary, you will be contacted to resolve any discrepancies in the verification of information. Whether you have successfully “passed” the background check is solely within FibroGen’s discretion. Your employment hire date will be determined after the completion of the background check process and your signed acceptance of this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10.33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Kouchakji, Elias,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Unless otherwise notified by the Company, this offer of employment is effective for 5 business days from the date of this letter. There are two originals of this letter enclosed. If all of the foregoing is satisfactory, please sign and date each original and return one to me within five business days in the enclosed envelope, saving the other original for yourself. Please also complete the following enclosed forms and mail them back with your signed offer letter:</w:t>
      </w:r>
    </w:p>
    <w:p>
      <w:pPr>
        <w:spacing w:after="0" w:line="147" w:lineRule="exact"/>
        <w:rPr>
          <w:sz w:val="20"/>
          <w:szCs w:val="20"/>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I-9 Form</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Confidential Information, Secrecy and Invention Agreement</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FibroGen Employment Application</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FibroGen Relocation Assistance Terms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FibroGen Relocation Repayment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Elias, we look forward to your joining our team at FibroGen.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Ted A. Tucker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Ted A.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ind w:left="180"/>
        <w:spacing w:after="0"/>
        <w:tabs>
          <w:tab w:leader="none" w:pos="580" w:val="left"/>
          <w:tab w:leader="none" w:pos="1240" w:val="left"/>
          <w:tab w:leader="none" w:pos="2020" w:val="left"/>
        </w:tabs>
        <w:rPr>
          <w:sz w:val="20"/>
          <w:szCs w:val="20"/>
          <w:color w:val="auto"/>
        </w:rPr>
      </w:pPr>
      <w:r>
        <w:rPr>
          <w:rFonts w:ascii="Arial" w:cs="Arial" w:eastAsia="Arial" w:hAnsi="Arial"/>
          <w:sz w:val="18"/>
          <w:szCs w:val="18"/>
          <w:color w:val="auto"/>
        </w:rPr>
        <w:t>31</w:t>
        <w:tab/>
        <w:t>Day of</w:t>
        <w:tab/>
        <w:t>January,</w:t>
      </w:r>
      <w:r>
        <w:rPr>
          <w:sz w:val="20"/>
          <w:szCs w:val="20"/>
          <w:color w:val="auto"/>
        </w:rPr>
        <w:tab/>
      </w:r>
      <w:r>
        <w:rPr>
          <w:rFonts w:ascii="Arial" w:cs="Arial" w:eastAsia="Arial" w:hAnsi="Arial"/>
          <w:sz w:val="16"/>
          <w:szCs w:val="16"/>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748030</wp:posOffset>
            </wp:positionH>
            <wp:positionV relativeFrom="paragraph">
              <wp:posOffset>-10160</wp:posOffset>
            </wp:positionV>
            <wp:extent cx="4908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3">
                      <a:extLst>
                        <a:ext uri="{28A0092B-C50C-407E-A947-70E740481C1C}"/>
                      </a:extLst>
                    </a:blip>
                    <a:srcRect/>
                    <a:stretch>
                      <a:fillRect/>
                    </a:stretch>
                  </pic:blipFill>
                  <pic:spPr bwMode="auto">
                    <a:xfrm>
                      <a:off x="0" y="0"/>
                      <a:ext cx="4908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Elias Kouchakji, MD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Elias Kouchakji,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Intended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Benefits Summary</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Duplicate Letter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Return Envelope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Employment Eligibility Verification (I-9) Form</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Confidential Information, Secrecy and Invention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Employment Application</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Relocation Assistance Package</w:t>
      </w:r>
    </w:p>
    <w:p>
      <w:pPr>
        <w:sectPr>
          <w:pgSz w:w="11900" w:h="16838" w:orient="portrait"/>
          <w:cols w:equalWidth="0" w:num="1">
            <w:col w:w="11420"/>
          </w:cols>
          <w:pgMar w:left="240" w:top="121"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10.34</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Enrique Conterno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[PRIVATE ADDRESS]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Enrique,</w:t>
      </w:r>
    </w:p>
    <w:p>
      <w:pPr>
        <w:spacing w:after="0" w:line="22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FibroGen, Inc. is pleased to offer you the position of </w:t>
      </w:r>
      <w:r>
        <w:rPr>
          <w:rFonts w:ascii="Arial" w:cs="Arial" w:eastAsia="Arial" w:hAnsi="Arial"/>
          <w:sz w:val="18"/>
          <w:szCs w:val="18"/>
          <w:b w:val="1"/>
          <w:bCs w:val="1"/>
          <w:color w:val="auto"/>
        </w:rPr>
        <w:t>Chief Executive Officer</w:t>
      </w:r>
      <w:r>
        <w:rPr>
          <w:rFonts w:ascii="Arial" w:cs="Arial" w:eastAsia="Arial" w:hAnsi="Arial"/>
          <w:sz w:val="18"/>
          <w:szCs w:val="18"/>
          <w:color w:val="auto"/>
        </w:rPr>
        <w:t xml:space="preserve"> reporting to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under the terms and conditions set forth in this letter (the “</w:t>
      </w:r>
      <w:r>
        <w:rPr>
          <w:rFonts w:ascii="Arial" w:cs="Arial" w:eastAsia="Arial" w:hAnsi="Arial"/>
          <w:sz w:val="18"/>
          <w:szCs w:val="18"/>
          <w:b w:val="1"/>
          <w:bCs w:val="1"/>
          <w:color w:val="auto"/>
        </w:rPr>
        <w:t>Offer Letter”)</w:t>
      </w:r>
      <w:r>
        <w:rPr>
          <w:rFonts w:ascii="Arial" w:cs="Arial" w:eastAsia="Arial" w:hAnsi="Arial"/>
          <w:sz w:val="18"/>
          <w:szCs w:val="18"/>
          <w:color w:val="auto"/>
        </w:rPr>
        <w:t>. The effective date ("</w:t>
      </w:r>
      <w:r>
        <w:rPr>
          <w:rFonts w:ascii="Arial" w:cs="Arial" w:eastAsia="Arial" w:hAnsi="Arial"/>
          <w:sz w:val="18"/>
          <w:szCs w:val="18"/>
          <w:b w:val="1"/>
          <w:bCs w:val="1"/>
          <w:color w:val="auto"/>
        </w:rPr>
        <w:t>Effective Date</w:t>
      </w:r>
      <w:r>
        <w:rPr>
          <w:rFonts w:ascii="Arial" w:cs="Arial" w:eastAsia="Arial" w:hAnsi="Arial"/>
          <w:sz w:val="18"/>
          <w:szCs w:val="18"/>
          <w:color w:val="auto"/>
        </w:rPr>
        <w:t>") of your employment will be set, as mutually agreed upon in advance with FibroGen, Inc. (“</w:t>
      </w:r>
      <w:r>
        <w:rPr>
          <w:rFonts w:ascii="Arial" w:cs="Arial" w:eastAsia="Arial" w:hAnsi="Arial"/>
          <w:sz w:val="18"/>
          <w:szCs w:val="18"/>
          <w:b w:val="1"/>
          <w:bCs w:val="1"/>
          <w:color w:val="auto"/>
        </w:rPr>
        <w:t>FibroGen</w:t>
      </w:r>
      <w:r>
        <w:rPr>
          <w:rFonts w:ascii="Arial" w:cs="Arial" w:eastAsia="Arial" w:hAnsi="Arial"/>
          <w:sz w:val="18"/>
          <w:szCs w:val="18"/>
          <w:color w:val="auto"/>
        </w:rPr>
        <w:t>”) and confirmed with Interim Chief Executive Officer, Jim Schoeneck.</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offer of employment is made contingent upon successful completion of FibroGen’s background check and upon completion of all required documentation that will be made available to you on the Effective Date or by your intended start date. This includes verification of the information provided online and your employment application. If necessary, you will be contacted to resolve any discrepancies in the verification of information. Your employment hire date will be determined after the completion of the background check process and your signed acceptance of this Offer Letter.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offer of employment are as follows:</w:t>
      </w:r>
    </w:p>
    <w:p>
      <w:pPr>
        <w:spacing w:after="0" w:line="208" w:lineRule="exact"/>
        <w:rPr>
          <w:sz w:val="20"/>
          <w:szCs w:val="20"/>
          <w:color w:val="auto"/>
        </w:rPr>
      </w:pPr>
    </w:p>
    <w:p>
      <w:pPr>
        <w:jc w:val="both"/>
        <w:ind w:left="420" w:hanging="412"/>
        <w:spacing w:after="0" w:line="211" w:lineRule="auto"/>
        <w:tabs>
          <w:tab w:leader="none" w:pos="420" w:val="left"/>
        </w:tabs>
        <w:numPr>
          <w:ilvl w:val="0"/>
          <w:numId w:val="125"/>
        </w:numPr>
        <w:rPr>
          <w:rFonts w:ascii="Arial" w:cs="Arial" w:eastAsia="Arial" w:hAnsi="Arial"/>
          <w:sz w:val="18"/>
          <w:szCs w:val="18"/>
          <w:color w:val="282828"/>
        </w:rPr>
      </w:pPr>
      <w:r>
        <w:rPr>
          <w:rFonts w:ascii="Arial" w:cs="Arial" w:eastAsia="Arial" w:hAnsi="Arial"/>
          <w:sz w:val="18"/>
          <w:szCs w:val="18"/>
          <w:b w:val="1"/>
          <w:bCs w:val="1"/>
          <w:color w:val="auto"/>
        </w:rPr>
        <w:t xml:space="preserve">Position/Duties. </w:t>
      </w:r>
      <w:r>
        <w:rPr>
          <w:rFonts w:ascii="Arial" w:cs="Arial" w:eastAsia="Arial" w:hAnsi="Arial"/>
          <w:sz w:val="18"/>
          <w:szCs w:val="18"/>
          <w:color w:val="auto"/>
        </w:rPr>
        <w:t>As Chief Executive Officer of the Company, you will be responsible for the general management of the affairs of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devote your best efforts and full business time, skill and attention to the performance of your duties. You will also be expected to adhere to the general employment policies and practices of the Company that may be in effect from time to time, except that when the terms of this Offer Letter conflict with the Company’s general employment policies or practices, this Offer Letter will control. You will work out of the Company’s offices in San Francisco, California. The Company may change your position, duties, work location and compensation from time to time in its discretion, subject to the terms and conditions set forth herein. During employment, you will also serve as a member of the Board, subject to your future election by FibroGen stockholders, and you shall submit your resignation from the Board upon the termination of your employment. If you wish to serve on the Board of Directors of a separate company, you may do so subject to approval by the Board, and to the extent such service does not conflict with FibroGen responsibilities.</w:t>
      </w:r>
    </w:p>
    <w:p>
      <w:pPr>
        <w:spacing w:after="0" w:line="121" w:lineRule="exact"/>
        <w:rPr>
          <w:rFonts w:ascii="Arial" w:cs="Arial" w:eastAsia="Arial" w:hAnsi="Arial"/>
          <w:sz w:val="18"/>
          <w:szCs w:val="18"/>
          <w:color w:val="282828"/>
        </w:rPr>
      </w:pPr>
    </w:p>
    <w:p>
      <w:pPr>
        <w:jc w:val="both"/>
        <w:ind w:left="420" w:hanging="412"/>
        <w:spacing w:after="0" w:line="219" w:lineRule="auto"/>
        <w:tabs>
          <w:tab w:leader="none" w:pos="420" w:val="left"/>
        </w:tabs>
        <w:numPr>
          <w:ilvl w:val="0"/>
          <w:numId w:val="125"/>
        </w:numPr>
        <w:rPr>
          <w:rFonts w:ascii="Arial" w:cs="Arial" w:eastAsia="Arial" w:hAnsi="Arial"/>
          <w:sz w:val="18"/>
          <w:szCs w:val="18"/>
          <w:color w:val="282828"/>
        </w:rPr>
      </w:pPr>
      <w:r>
        <w:rPr>
          <w:rFonts w:ascii="Arial" w:cs="Arial" w:eastAsia="Arial" w:hAnsi="Arial"/>
          <w:sz w:val="18"/>
          <w:szCs w:val="18"/>
          <w:u w:val="single" w:color="auto"/>
          <w:color w:val="auto"/>
        </w:rPr>
        <w:t>Compensation</w:t>
      </w:r>
      <w:r>
        <w:rPr>
          <w:rFonts w:ascii="Arial" w:cs="Arial" w:eastAsia="Arial" w:hAnsi="Arial"/>
          <w:sz w:val="18"/>
          <w:szCs w:val="18"/>
          <w:color w:val="auto"/>
        </w:rPr>
        <w:t>. FibroGen will pay you a starting annual salary of $800,000 payable in semi-monthly installments on our regular paydays in accordance with FibroGen's standard payroll policies. Your salary will begin as of the Effective Date. The position is classified as exempt and therefore not eligible for overtime pay. The first and last payment by FibroGen to you will be adjusted, if necessary, to reflect a commencement or termination date other than the first or last working day of a pay period.</w:t>
      </w:r>
    </w:p>
    <w:p>
      <w:pPr>
        <w:spacing w:after="0" w:line="135" w:lineRule="exact"/>
        <w:rPr>
          <w:rFonts w:ascii="Arial" w:cs="Arial" w:eastAsia="Arial" w:hAnsi="Arial"/>
          <w:sz w:val="18"/>
          <w:szCs w:val="18"/>
          <w:color w:val="282828"/>
        </w:rPr>
      </w:pPr>
    </w:p>
    <w:p>
      <w:pPr>
        <w:jc w:val="both"/>
        <w:ind w:left="420" w:hanging="412"/>
        <w:spacing w:after="0" w:line="264" w:lineRule="auto"/>
        <w:tabs>
          <w:tab w:leader="none" w:pos="420" w:val="left"/>
        </w:tabs>
        <w:numPr>
          <w:ilvl w:val="0"/>
          <w:numId w:val="125"/>
        </w:numPr>
        <w:rPr>
          <w:rFonts w:ascii="Arial" w:cs="Arial" w:eastAsia="Arial" w:hAnsi="Arial"/>
          <w:sz w:val="18"/>
          <w:szCs w:val="18"/>
          <w:color w:val="282828"/>
        </w:rPr>
      </w:pPr>
      <w:r>
        <w:rPr>
          <w:rFonts w:ascii="Arial" w:cs="Arial" w:eastAsia="Arial" w:hAnsi="Arial"/>
          <w:sz w:val="18"/>
          <w:szCs w:val="18"/>
          <w:u w:val="single" w:color="auto"/>
          <w:color w:val="auto"/>
        </w:rPr>
        <w:t>Signing Bonus</w:t>
      </w:r>
      <w:r>
        <w:rPr>
          <w:rFonts w:ascii="Arial" w:cs="Arial" w:eastAsia="Arial" w:hAnsi="Arial"/>
          <w:sz w:val="18"/>
          <w:szCs w:val="18"/>
          <w:i w:val="1"/>
          <w:iCs w:val="1"/>
          <w:color w:val="auto"/>
        </w:rPr>
        <w:t>.</w:t>
      </w:r>
      <w:r>
        <w:rPr>
          <w:rFonts w:ascii="Arial" w:cs="Arial" w:eastAsia="Arial" w:hAnsi="Arial"/>
          <w:sz w:val="18"/>
          <w:szCs w:val="18"/>
          <w:color w:val="auto"/>
        </w:rPr>
        <w:t xml:space="preserve"> FibroGen will pay you a sign-on bonus in the amount of $250,000 (subject to applicable payroll taxes and withholdings) to be payable on the first payroll date which occurs after ninety (90) days following the Effective Date of your employment, including to cover all costs associated with your relocation, and any commuting or services prior to relocation to the San Francisco Bay Area.</w:t>
      </w:r>
    </w:p>
    <w:p>
      <w:pPr>
        <w:spacing w:after="0" w:line="181" w:lineRule="exact"/>
        <w:rPr>
          <w:rFonts w:ascii="Arial" w:cs="Arial" w:eastAsia="Arial" w:hAnsi="Arial"/>
          <w:sz w:val="18"/>
          <w:szCs w:val="18"/>
          <w:color w:val="282828"/>
        </w:rPr>
      </w:pPr>
    </w:p>
    <w:p>
      <w:pPr>
        <w:jc w:val="both"/>
        <w:ind w:left="420" w:hanging="412"/>
        <w:spacing w:after="0" w:line="256" w:lineRule="auto"/>
        <w:tabs>
          <w:tab w:leader="none" w:pos="420" w:val="left"/>
        </w:tabs>
        <w:numPr>
          <w:ilvl w:val="0"/>
          <w:numId w:val="125"/>
        </w:numPr>
        <w:rPr>
          <w:rFonts w:ascii="Arial" w:cs="Arial" w:eastAsia="Arial" w:hAnsi="Arial"/>
          <w:sz w:val="18"/>
          <w:szCs w:val="18"/>
          <w:color w:val="282828"/>
        </w:rPr>
      </w:pPr>
      <w:r>
        <w:rPr>
          <w:rFonts w:ascii="Arial" w:cs="Arial" w:eastAsia="Arial" w:hAnsi="Arial"/>
          <w:sz w:val="18"/>
          <w:szCs w:val="18"/>
          <w:u w:val="single" w:color="auto"/>
          <w:color w:val="auto"/>
        </w:rPr>
        <w:t>Stock Options and Restricted Stock Units</w:t>
      </w:r>
      <w:r>
        <w:rPr>
          <w:rFonts w:ascii="Arial" w:cs="Arial" w:eastAsia="Arial" w:hAnsi="Arial"/>
          <w:sz w:val="18"/>
          <w:szCs w:val="18"/>
          <w:color w:val="auto"/>
        </w:rPr>
        <w:t>. Pending approval by the FibroGen Compensation Committee, you will be granted the following equity incentive grant(s) pursuant to the terms and conditions of the Equity Plan effective on the date of acceptance of this letter (the “</w:t>
      </w:r>
      <w:r>
        <w:rPr>
          <w:rFonts w:ascii="Arial" w:cs="Arial" w:eastAsia="Arial" w:hAnsi="Arial"/>
          <w:sz w:val="18"/>
          <w:szCs w:val="18"/>
          <w:b w:val="1"/>
          <w:bCs w:val="1"/>
          <w:color w:val="auto"/>
        </w:rPr>
        <w:t>Equity Plan</w:t>
      </w:r>
      <w:r>
        <w:rPr>
          <w:rFonts w:ascii="Arial" w:cs="Arial" w:eastAsia="Arial" w:hAnsi="Arial"/>
          <w:sz w:val="18"/>
          <w:szCs w:val="18"/>
          <w:color w:val="auto"/>
        </w:rPr>
        <w:t>”), as may be amended or modified from time to time:</w:t>
      </w:r>
    </w:p>
    <w:p>
      <w:pPr>
        <w:ind w:left="1400" w:hanging="406"/>
        <w:spacing w:after="0" w:line="250" w:lineRule="auto"/>
        <w:tabs>
          <w:tab w:leader="none" w:pos="1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stock option to purchase 300,000 shares of FibroGen's Common Stock with an exercise price set at the fair market value on the date of grant (“</w:t>
      </w:r>
      <w:r>
        <w:rPr>
          <w:rFonts w:ascii="Arial" w:cs="Arial" w:eastAsia="Arial" w:hAnsi="Arial"/>
          <w:sz w:val="18"/>
          <w:szCs w:val="18"/>
          <w:b w:val="1"/>
          <w:bCs w:val="1"/>
          <w:color w:val="auto"/>
        </w:rPr>
        <w:t>Stock Options</w:t>
      </w:r>
      <w:r>
        <w:rPr>
          <w:rFonts w:ascii="Arial" w:cs="Arial" w:eastAsia="Arial" w:hAnsi="Arial"/>
          <w:sz w:val="18"/>
          <w:szCs w:val="18"/>
          <w:color w:val="auto"/>
        </w:rPr>
        <w:t>”); and</w:t>
      </w:r>
    </w:p>
    <w:p>
      <w:pPr>
        <w:ind w:left="1400" w:hanging="406"/>
        <w:spacing w:after="0"/>
        <w:tabs>
          <w:tab w:leader="none" w:pos="1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grant of 60,000 restricted stock units relating to shares of FibroGen’s Common Stock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9"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The actual number of shares subject to the grant hereunder may be adjusted, if required, for events such as stock splits, stock dividends, etc. pursuant to the Equity Plan. The Stock Options and RSUs will vest according to the standard schedule set forth in the Grant Notice and Award Notice for such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ind w:left="420" w:right="140" w:hanging="412"/>
        <w:spacing w:after="0" w:line="282" w:lineRule="auto"/>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Bonus Plan</w:t>
      </w:r>
      <w:r>
        <w:rPr>
          <w:rFonts w:ascii="Arial" w:cs="Arial" w:eastAsia="Arial" w:hAnsi="Arial"/>
          <w:sz w:val="18"/>
          <w:szCs w:val="18"/>
          <w:color w:val="auto"/>
        </w:rPr>
        <w:t>. You will be eligible to participate in FibroGen’s Incentive Compensation Plan (the “</w:t>
      </w:r>
      <w:r>
        <w:rPr>
          <w:rFonts w:ascii="Arial" w:cs="Arial" w:eastAsia="Arial" w:hAnsi="Arial"/>
          <w:sz w:val="18"/>
          <w:szCs w:val="18"/>
          <w:b w:val="1"/>
          <w:bCs w:val="1"/>
          <w:color w:val="auto"/>
        </w:rPr>
        <w:t>Bonus Plan</w:t>
      </w:r>
      <w:r>
        <w:rPr>
          <w:rFonts w:ascii="Arial" w:cs="Arial" w:eastAsia="Arial" w:hAnsi="Arial"/>
          <w:sz w:val="18"/>
          <w:szCs w:val="18"/>
          <w:color w:val="auto"/>
        </w:rPr>
        <w:t>”) adopted by FibroGen for its employees on such terms as the Board may determine in its discretion.</w:t>
      </w:r>
    </w:p>
    <w:p>
      <w:pPr>
        <w:spacing w:after="0" w:line="165" w:lineRule="exact"/>
        <w:rPr>
          <w:rFonts w:ascii="Arial" w:cs="Arial" w:eastAsia="Arial" w:hAnsi="Arial"/>
          <w:sz w:val="18"/>
          <w:szCs w:val="18"/>
          <w:color w:val="282828"/>
        </w:rPr>
      </w:pPr>
    </w:p>
    <w:p>
      <w:pPr>
        <w:jc w:val="both"/>
        <w:ind w:left="420"/>
        <w:spacing w:after="0" w:line="279" w:lineRule="auto"/>
        <w:rPr>
          <w:rFonts w:ascii="Arial" w:cs="Arial" w:eastAsia="Arial" w:hAnsi="Arial"/>
          <w:sz w:val="18"/>
          <w:szCs w:val="18"/>
          <w:color w:val="282828"/>
        </w:rPr>
      </w:pPr>
      <w:r>
        <w:rPr>
          <w:rFonts w:ascii="Arial" w:cs="Arial" w:eastAsia="Arial" w:hAnsi="Arial"/>
          <w:sz w:val="17"/>
          <w:szCs w:val="17"/>
          <w:color w:val="auto"/>
        </w:rPr>
        <w:t>The CEO target bonus for level is 75%. Under the terms of the Plan, both corporate and individual performance is assessed annually and subject to final approval by the Board. Employees hired during the course of a year will have a pro-rated bonus provided they commence their employment on or before September 30th of a calendar year. To remain eligible, employees must maintain satisfactory performance and be in an active status on the day of payment. Payments are expected to occur no later than the 15th of March in the year following the performance cycle.</w:t>
      </w:r>
    </w:p>
    <w:p>
      <w:pPr>
        <w:spacing w:after="0" w:line="171" w:lineRule="exact"/>
        <w:rPr>
          <w:rFonts w:ascii="Arial" w:cs="Arial" w:eastAsia="Arial" w:hAnsi="Arial"/>
          <w:sz w:val="18"/>
          <w:szCs w:val="18"/>
          <w:color w:val="282828"/>
        </w:rPr>
      </w:pPr>
    </w:p>
    <w:p>
      <w:pPr>
        <w:jc w:val="both"/>
        <w:ind w:left="420" w:hanging="412"/>
        <w:spacing w:after="0" w:line="264" w:lineRule="auto"/>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Change in Control and Severance Agreement</w:t>
      </w:r>
      <w:r>
        <w:rPr>
          <w:rFonts w:ascii="Arial" w:cs="Arial" w:eastAsia="Arial" w:hAnsi="Arial"/>
          <w:sz w:val="18"/>
          <w:szCs w:val="18"/>
          <w:color w:val="auto"/>
        </w:rPr>
        <w:t>. You will be eligible to enter into the Company’s Change in Control and Severance Agreement approved by the Board that provides for certain severance benefits upon a termination following a Change in Control (as defined therein) and upon certain other terminations.</w:t>
      </w:r>
    </w:p>
    <w:p>
      <w:pPr>
        <w:spacing w:after="0" w:line="181" w:lineRule="exact"/>
        <w:rPr>
          <w:rFonts w:ascii="Arial" w:cs="Arial" w:eastAsia="Arial" w:hAnsi="Arial"/>
          <w:sz w:val="18"/>
          <w:szCs w:val="18"/>
          <w:color w:val="282828"/>
        </w:rPr>
      </w:pPr>
    </w:p>
    <w:p>
      <w:pPr>
        <w:jc w:val="both"/>
        <w:ind w:left="420" w:hanging="412"/>
        <w:spacing w:after="0" w:line="259" w:lineRule="auto"/>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of your employment, you will be eligible to participate in FibroGen’s benefits program, which may include FibroGen's vacation benefits and other employee benefits such as medical, vision and dental health insurance, covering employees and officers. Your vacation benefit will accrue at four weeks per year. These benefits may be modified or subject to change from time to time. A copy of FibroGen's current benefits summary has been provided to you.</w:t>
      </w:r>
    </w:p>
    <w:p>
      <w:pPr>
        <w:spacing w:after="0" w:line="186" w:lineRule="exact"/>
        <w:rPr>
          <w:rFonts w:ascii="Arial" w:cs="Arial" w:eastAsia="Arial" w:hAnsi="Arial"/>
          <w:sz w:val="18"/>
          <w:szCs w:val="18"/>
          <w:color w:val="282828"/>
        </w:rPr>
      </w:pPr>
    </w:p>
    <w:p>
      <w:pPr>
        <w:jc w:val="both"/>
        <w:ind w:left="420" w:hanging="412"/>
        <w:spacing w:after="0" w:line="257" w:lineRule="auto"/>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I-9). (You will need to complete and return Section One of Form I-9 along with your signed Offer Letter). On or prior to your first day of employment, please provide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188" w:lineRule="exact"/>
        <w:rPr>
          <w:rFonts w:ascii="Arial" w:cs="Arial" w:eastAsia="Arial" w:hAnsi="Arial"/>
          <w:sz w:val="18"/>
          <w:szCs w:val="18"/>
          <w:color w:val="282828"/>
        </w:rPr>
      </w:pPr>
    </w:p>
    <w:p>
      <w:pPr>
        <w:jc w:val="both"/>
        <w:ind w:left="420" w:hanging="412"/>
        <w:spacing w:after="0" w:line="259" w:lineRule="auto"/>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186" w:lineRule="exact"/>
        <w:rPr>
          <w:rFonts w:ascii="Arial" w:cs="Arial" w:eastAsia="Arial" w:hAnsi="Arial"/>
          <w:sz w:val="18"/>
          <w:szCs w:val="18"/>
          <w:color w:val="282828"/>
        </w:rPr>
      </w:pPr>
    </w:p>
    <w:p>
      <w:pPr>
        <w:jc w:val="both"/>
        <w:ind w:left="420" w:hanging="412"/>
        <w:spacing w:after="0" w:line="276" w:lineRule="auto"/>
        <w:tabs>
          <w:tab w:leader="none" w:pos="420" w:val="left"/>
        </w:tabs>
        <w:numPr>
          <w:ilvl w:val="0"/>
          <w:numId w:val="126"/>
        </w:numPr>
        <w:rPr>
          <w:rFonts w:ascii="Arial" w:cs="Arial" w:eastAsia="Arial" w:hAnsi="Arial"/>
          <w:sz w:val="17"/>
          <w:szCs w:val="17"/>
          <w:color w:val="282828"/>
        </w:rPr>
      </w:pPr>
      <w:r>
        <w:rPr>
          <w:rFonts w:ascii="Arial" w:cs="Arial" w:eastAsia="Arial" w:hAnsi="Arial"/>
          <w:sz w:val="17"/>
          <w:szCs w:val="17"/>
          <w:u w:val="single" w:color="auto"/>
          <w:color w:val="auto"/>
        </w:rPr>
        <w:t>At Will Employment.</w:t>
      </w:r>
      <w:r>
        <w:rPr>
          <w:rFonts w:ascii="Arial" w:cs="Arial" w:eastAsia="Arial" w:hAnsi="Arial"/>
          <w:sz w:val="17"/>
          <w:szCs w:val="17"/>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you, and a Company officer approved by the Board.</w:t>
      </w:r>
    </w:p>
    <w:p>
      <w:pPr>
        <w:spacing w:after="0" w:line="172" w:lineRule="exact"/>
        <w:rPr>
          <w:rFonts w:ascii="Arial" w:cs="Arial" w:eastAsia="Arial" w:hAnsi="Arial"/>
          <w:sz w:val="17"/>
          <w:szCs w:val="17"/>
          <w:color w:val="282828"/>
        </w:rPr>
      </w:pPr>
    </w:p>
    <w:p>
      <w:pPr>
        <w:ind w:left="420" w:hanging="412"/>
        <w:spacing w:after="0"/>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connection with this Agreement, we request that you execute the enclosed FibroGen Arbitration Agreement.</w:t>
      </w:r>
    </w:p>
    <w:p>
      <w:pPr>
        <w:spacing w:after="0" w:line="225" w:lineRule="exact"/>
        <w:rPr>
          <w:rFonts w:ascii="Arial" w:cs="Arial" w:eastAsia="Arial" w:hAnsi="Arial"/>
          <w:sz w:val="18"/>
          <w:szCs w:val="18"/>
          <w:color w:val="282828"/>
        </w:rPr>
      </w:pPr>
    </w:p>
    <w:p>
      <w:pPr>
        <w:ind w:left="420" w:hanging="412"/>
        <w:spacing w:after="0"/>
        <w:tabs>
          <w:tab w:leader="none" w:pos="420" w:val="left"/>
        </w:tabs>
        <w:numPr>
          <w:ilvl w:val="0"/>
          <w:numId w:val="126"/>
        </w:numPr>
        <w:rPr>
          <w:rFonts w:ascii="Arial" w:cs="Arial" w:eastAsia="Arial" w:hAnsi="Arial"/>
          <w:sz w:val="18"/>
          <w:szCs w:val="18"/>
          <w:color w:val="282828"/>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FibroGen will enter into with you the enclosed Indemnity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notified by FibroGen, this offer of employment is effective until 5:00 p.m. PST on December 20, 2019. However, if you have any questions regarding the above provisions, please do not hesitate to contact us.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FibroGen retains the right to amend its employment policies and practices, compensation plans, policies and programs, and forms of employment related agreements from time to time. In the event of conflict between the terms contained in this Offer Letter and any other document, the terms of this Offer Letter (including any amendment to this letter) shall control. This Offer Letter may only be modified in a written document signed by you and an authorized representative of FibroGen. This Offer Letter will be governed by and enforced under the laws of the State of California, without regard to any conflict of law rules, and will inure to the benefit of, be binding on and be enforceable by, the parties and their respective successors, heirs, agents and assigns. This Offer Letter may be executed in counterparts and by .pdf, facsimile or other electronic means and, when so executed, will have the same force and effect as an original, and constitute a binding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9" w:name="page210"/>
    <w:bookmarkEnd w:id="209"/>
    <w:p>
      <w:pPr>
        <w:ind w:left="10400"/>
        <w:spacing w:after="0"/>
        <w:rPr>
          <w:sz w:val="20"/>
          <w:szCs w:val="20"/>
          <w:color w:val="auto"/>
        </w:rPr>
      </w:pPr>
      <w:r>
        <w:rPr>
          <w:rFonts w:ascii="Arial" w:cs="Arial" w:eastAsia="Arial" w:hAnsi="Arial"/>
          <w:sz w:val="16"/>
          <w:szCs w:val="16"/>
          <w:b w:val="1"/>
          <w:bCs w:val="1"/>
          <w:color w:val="auto"/>
        </w:rPr>
        <w:t>Exhibit 10.34</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Enclosed are two original copies of this Offer Letter. If all of the foregoing terms are satisfactory and acceptable to you, please sign and date each original and</w:t>
      </w:r>
    </w:p>
    <w:p>
      <w:pPr>
        <w:spacing w:after="0" w:line="46" w:lineRule="exact"/>
        <w:rPr>
          <w:sz w:val="20"/>
          <w:szCs w:val="20"/>
          <w:color w:val="auto"/>
        </w:rPr>
      </w:pPr>
    </w:p>
    <w:p>
      <w:pPr>
        <w:ind w:right="20" w:firstLine="8"/>
        <w:spacing w:after="0" w:line="261" w:lineRule="auto"/>
        <w:tabs>
          <w:tab w:leader="none" w:pos="2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return one to me within the time frame set forth above in the enclosed envelope, and (ii) save the other original for yourself. Please also complete the following enclosed forms and mail them back with your countersigned offer letter:</w:t>
      </w:r>
    </w:p>
    <w:p>
      <w:pPr>
        <w:spacing w:after="0" w:line="184" w:lineRule="exact"/>
        <w:rPr>
          <w:sz w:val="20"/>
          <w:szCs w:val="20"/>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FibroGen Employment Application</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Confidential Information, Secrecy And Invention Agreement</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in Control and Severance Agreement</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 9</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FibroGen Arbitration Agreement</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FibroGen Indemnity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joining our team at FibroGen.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Thomas F. Kearns, Jr.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FibroGen, Inc. Board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ind w:left="180"/>
        <w:spacing w:after="0"/>
        <w:tabs>
          <w:tab w:leader="none" w:pos="580" w:val="left"/>
          <w:tab w:leader="none" w:pos="1240" w:val="left"/>
          <w:tab w:leader="none" w:pos="2200" w:val="left"/>
        </w:tabs>
        <w:rPr>
          <w:sz w:val="20"/>
          <w:szCs w:val="20"/>
          <w:color w:val="auto"/>
        </w:rPr>
      </w:pPr>
      <w:r>
        <w:rPr>
          <w:rFonts w:ascii="Arial" w:cs="Arial" w:eastAsia="Arial" w:hAnsi="Arial"/>
          <w:sz w:val="18"/>
          <w:szCs w:val="18"/>
          <w:color w:val="auto"/>
        </w:rPr>
        <w:t>21</w:t>
        <w:tab/>
        <w:t>Day of</w:t>
      </w:r>
      <w:r>
        <w:rPr>
          <w:sz w:val="20"/>
          <w:szCs w:val="20"/>
          <w:color w:val="auto"/>
        </w:rPr>
        <w:tab/>
      </w:r>
      <w:r>
        <w:rPr>
          <w:rFonts w:ascii="Arial" w:cs="Arial" w:eastAsia="Arial" w:hAnsi="Arial"/>
          <w:sz w:val="18"/>
          <w:szCs w:val="18"/>
          <w:u w:val="single" w:color="auto"/>
          <w:color w:val="auto"/>
        </w:rPr>
        <w:t>December,</w:t>
      </w:r>
      <w:r>
        <w:rPr>
          <w:sz w:val="20"/>
          <w:szCs w:val="20"/>
          <w:color w:val="auto"/>
        </w:rPr>
        <w:tab/>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Enrique Conterno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Jan 6, 2020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Intended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02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Benefits Overview</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Duplicate Letter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Arbitration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Change in Control and Severance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Indemnity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Return Envelope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FibroGen Employment Application</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Confidential Information, Secrecy And Invention Agreement</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35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10.35</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of Agreement (CEO Executive)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Change in Control and Severance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____________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 (“</w:t>
      </w:r>
      <w:r>
        <w:rPr>
          <w:rFonts w:ascii="Arial" w:cs="Arial" w:eastAsia="Arial" w:hAnsi="Arial"/>
          <w:sz w:val="17"/>
          <w:szCs w:val="17"/>
          <w:u w:val="single" w:color="auto"/>
          <w:color w:val="auto"/>
        </w:rPr>
        <w:t>Executive</w:t>
      </w:r>
      <w:r>
        <w:rPr>
          <w:rFonts w:ascii="Arial" w:cs="Arial" w:eastAsia="Arial" w:hAnsi="Arial"/>
          <w:sz w:val="17"/>
          <w:szCs w:val="17"/>
          <w:color w:val="auto"/>
        </w:rPr>
        <w:t>”) and FibroGen,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This Agreement is intended to provide Executive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certain benefits described herein upon the occurrence of specific events.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400" w:firstLine="885"/>
        <w:spacing w:after="0" w:line="302" w:lineRule="auto"/>
        <w:tabs>
          <w:tab w:leader="none" w:pos="170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It is expected that the Company from time to time will consider the possibility of a Change in Control.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recognizes that such consideration can be a distraction to Executive and can cause Executive to consider alternative employment opportunities. The Board believes that it is in the best interests of the Company and its stockholders to assure that the Company will have the continued dedication and objectivity of Executive, notwithstanding the possibility, threat or occurrence of a Change in Control (as defined below).</w:t>
      </w:r>
    </w:p>
    <w:p>
      <w:pPr>
        <w:spacing w:after="0" w:line="154" w:lineRule="exact"/>
        <w:rPr>
          <w:rFonts w:ascii="Arial" w:cs="Arial" w:eastAsia="Arial" w:hAnsi="Arial"/>
          <w:sz w:val="16"/>
          <w:szCs w:val="16"/>
          <w:color w:val="auto"/>
        </w:rPr>
      </w:pPr>
    </w:p>
    <w:p>
      <w:pPr>
        <w:ind w:right="740" w:firstLine="885"/>
        <w:spacing w:after="0" w:line="277" w:lineRule="auto"/>
        <w:tabs>
          <w:tab w:leader="none" w:pos="16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Company’s Board believes it is in the best interests of the Company and its shareholders to retain Executive and provide incentives to Executive to continue in the service of the Company.</w:t>
      </w:r>
    </w:p>
    <w:p>
      <w:pPr>
        <w:spacing w:after="0" w:line="170" w:lineRule="exact"/>
        <w:rPr>
          <w:rFonts w:ascii="Arial" w:cs="Arial" w:eastAsia="Arial" w:hAnsi="Arial"/>
          <w:sz w:val="18"/>
          <w:szCs w:val="18"/>
          <w:color w:val="auto"/>
        </w:rPr>
      </w:pPr>
    </w:p>
    <w:p>
      <w:pPr>
        <w:ind w:right="20" w:firstLine="885"/>
        <w:spacing w:after="0" w:line="259" w:lineRule="auto"/>
        <w:tabs>
          <w:tab w:leader="none" w:pos="16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Board further believes that it is imperative to provide Executive with certain benefits upon a qualifying termination of Executive’s employment (whether in connection with a Change in Control or otherwise) which benefits are intended to provide Executive with financial security and provide sufficient income and encouragement to Executive to remain with the Company, notwithstanding the possibility of a Change in Control and/or termination of Executive’s employment with the Company under certain circumstances.</w:t>
      </w:r>
    </w:p>
    <w:p>
      <w:pPr>
        <w:spacing w:after="0" w:line="18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Now therefore, in consideration of the mutual promises, covenants and agreements contained herein, and in consideration of the continuing employment of Executive by the Company, the parties hereto agree as follows:</w:t>
      </w:r>
    </w:p>
    <w:p>
      <w:pPr>
        <w:spacing w:after="0" w:line="170" w:lineRule="exact"/>
        <w:rPr>
          <w:sz w:val="20"/>
          <w:szCs w:val="20"/>
          <w:color w:val="auto"/>
        </w:rPr>
      </w:pPr>
    </w:p>
    <w:p>
      <w:pPr>
        <w:ind w:right="60" w:firstLine="885"/>
        <w:spacing w:after="0" w:line="255" w:lineRule="auto"/>
        <w:tabs>
          <w:tab w:leader="none" w:pos="166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term of the Agreement shall begin on the Effective Date and shall end on the third anniversary of the Effective Date. Executive’s employment is at-will, which means that the Company may terminate Executive’s employment at any time, with or without advance notice, and with or without Cause. Similarly, Executive may resign Executive’s employment at any time, with or without advance notice. Executive shall not receive any compensation of any kind, including, without limitation, Stock Awards (as defined below), or other equity award vesting acceleration and severance benefits, following Executive’s termination of employment with the Company in connection with a Change in Control, except as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1" w:name="page212"/>
    <w:bookmarkEnd w:id="211"/>
    <w:p>
      <w:pPr>
        <w:ind w:left="1660" w:hanging="775"/>
        <w:spacing w:after="0"/>
        <w:tabs>
          <w:tab w:leader="none" w:pos="166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Accrued Wages, Bonus and Vacation, Expenses</w:t>
      </w:r>
      <w:r>
        <w:rPr>
          <w:rFonts w:ascii="Arial" w:cs="Arial" w:eastAsia="Arial" w:hAnsi="Arial"/>
          <w:sz w:val="17"/>
          <w:szCs w:val="17"/>
          <w:color w:val="auto"/>
        </w:rPr>
        <w:t>. Without regard to the reason for, or the timing of, Executive’s termination of</w:t>
      </w:r>
    </w:p>
    <w:p>
      <w:pPr>
        <w:spacing w:after="0" w:line="34" w:lineRule="exact"/>
        <w:rPr>
          <w:rFonts w:ascii="Arial" w:cs="Arial" w:eastAsia="Arial" w:hAnsi="Arial"/>
          <w:sz w:val="17"/>
          <w:szCs w:val="17"/>
          <w:color w:val="auto"/>
        </w:rPr>
      </w:pPr>
    </w:p>
    <w:p>
      <w:pPr>
        <w:ind w:right="20"/>
        <w:spacing w:after="0" w:line="251" w:lineRule="auto"/>
        <w:rPr>
          <w:rFonts w:ascii="Arial" w:cs="Arial" w:eastAsia="Arial" w:hAnsi="Arial"/>
          <w:sz w:val="17"/>
          <w:szCs w:val="17"/>
          <w:color w:val="auto"/>
        </w:rPr>
      </w:pPr>
      <w:r>
        <w:rPr>
          <w:rFonts w:ascii="Arial" w:cs="Arial" w:eastAsia="Arial" w:hAnsi="Arial"/>
          <w:sz w:val="18"/>
          <w:szCs w:val="18"/>
          <w:color w:val="auto"/>
        </w:rPr>
        <w:t>employment: (i) the Company shall pay Executive any unpaid base salary due for periods prior to and including the date of Separation from Service (as defined below); (ii) the Company shall pay Executive all of Executive’s accrued and unused vacation through the date of Separation from Service; (iii) the Company shall pay Executive any earned (as determined and approved by the Board prior to the Separation from Service) but not yet paid incentive bonus from the prior fiscal year, which bonus shall be paid in accordance with the Company’s regular bonus payment process and in any event by no later than March 15 of such subsequent year; and (iv) following submission of proper expense reports by Executive, the Company shall reimburse Executive for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March 15 of the calendar year following the year in which the bonus was earned).</w:t>
      </w:r>
    </w:p>
    <w:p>
      <w:pPr>
        <w:spacing w:after="0" w:line="198" w:lineRule="exact"/>
        <w:rPr>
          <w:rFonts w:ascii="Arial" w:cs="Arial" w:eastAsia="Arial" w:hAnsi="Arial"/>
          <w:sz w:val="17"/>
          <w:szCs w:val="17"/>
          <w:color w:val="auto"/>
        </w:rPr>
      </w:pPr>
    </w:p>
    <w:p>
      <w:pPr>
        <w:ind w:right="40" w:firstLine="885"/>
        <w:spacing w:after="0" w:line="302" w:lineRule="auto"/>
        <w:tabs>
          <w:tab w:leader="none" w:pos="1661"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Executive shall be eligible for severance benefits (“</w:t>
      </w:r>
      <w:r>
        <w:rPr>
          <w:rFonts w:ascii="Arial" w:cs="Arial" w:eastAsia="Arial" w:hAnsi="Arial"/>
          <w:sz w:val="16"/>
          <w:szCs w:val="16"/>
          <w:u w:val="single" w:color="auto"/>
          <w:color w:val="auto"/>
        </w:rPr>
        <w:t>Severance Benefits</w:t>
      </w:r>
      <w:r>
        <w:rPr>
          <w:rFonts w:ascii="Arial" w:cs="Arial" w:eastAsia="Arial" w:hAnsi="Arial"/>
          <w:sz w:val="16"/>
          <w:szCs w:val="16"/>
          <w:color w:val="auto"/>
        </w:rPr>
        <w:t>”) in the amounts and under the conditions set forth in subsections 3(a), 3(b) and 3(c) below. For the avoidance of doubt, Executive shall not receive Severance Benefits under more than one such subsection. Notwithstanding any other provision hereof, no Severance Benefits shall be provided upon termination of employment unless such termination constitutes a “separation from service” (within the meaning of Treasury Regulation Section 1.409A-1(h),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80" w:firstLine="1763"/>
        <w:spacing w:after="0" w:line="257" w:lineRule="auto"/>
        <w:tabs>
          <w:tab w:leader="none" w:pos="2603"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Benefits upon a Termination in Connection with or Following a Change in Control</w:t>
      </w:r>
      <w:r>
        <w:rPr>
          <w:rFonts w:ascii="Arial" w:cs="Arial" w:eastAsia="Arial" w:hAnsi="Arial"/>
          <w:sz w:val="18"/>
          <w:szCs w:val="18"/>
          <w:color w:val="auto"/>
        </w:rPr>
        <w:t>. If Executive’s employment is terminated by the Company without Cause (as defined below), and other than as a result of death or disability, or Executive resigns his or her employment with the Company for Good Reason (as defined below) in connection with or within twelve (12) months following the effective date of a Change in Control, and provided that Executive delivers an effective release of claims as required under Section 4 below, then Executive shall be entitled to the following Severance Benefits:</w:t>
      </w:r>
    </w:p>
    <w:p>
      <w:pPr>
        <w:spacing w:after="0" w:line="188" w:lineRule="exact"/>
        <w:rPr>
          <w:rFonts w:ascii="Arial" w:cs="Arial" w:eastAsia="Arial" w:hAnsi="Arial"/>
          <w:sz w:val="18"/>
          <w:szCs w:val="18"/>
          <w:color w:val="auto"/>
        </w:rPr>
      </w:pPr>
    </w:p>
    <w:p>
      <w:pPr>
        <w:ind w:right="200" w:firstLine="3080"/>
        <w:spacing w:after="0" w:line="302" w:lineRule="auto"/>
        <w:tabs>
          <w:tab w:leader="none" w:pos="389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The Company shall pay Executive an amount equal to the sum of (A) twenty-four (24) months of Executive’s then current base salary and (B) one-and-a-half (1.5) times Executive’s then current target bonus, ignoring any decrease in base salary or target bonus that forms the basis for Good Reason, less all applicable withholdings and deductions, paid over the twenty-four (24) month period immediately following the Separation from Service in accordance with the Company’s regular payroll practices, on the schedule described in Section 4 below.</w:t>
      </w:r>
    </w:p>
    <w:p>
      <w:pPr>
        <w:spacing w:after="0" w:line="154" w:lineRule="exact"/>
        <w:rPr>
          <w:rFonts w:ascii="Arial" w:cs="Arial" w:eastAsia="Arial" w:hAnsi="Arial"/>
          <w:sz w:val="16"/>
          <w:szCs w:val="16"/>
          <w:color w:val="auto"/>
        </w:rPr>
      </w:pPr>
    </w:p>
    <w:p>
      <w:pPr>
        <w:ind w:firstLine="3080"/>
        <w:spacing w:after="0" w:line="287" w:lineRule="auto"/>
        <w:tabs>
          <w:tab w:leader="none" w:pos="394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The Company shall pay Executive’s expenses for continuing his or her health care coverage and the coverage of his or her dependents who are covered at the time of the Executive’s Separation from Service (the “</w:t>
      </w:r>
      <w:r>
        <w:rPr>
          <w:rFonts w:ascii="Arial" w:cs="Arial" w:eastAsia="Arial" w:hAnsi="Arial"/>
          <w:sz w:val="16"/>
          <w:szCs w:val="16"/>
          <w:u w:val="single" w:color="auto"/>
          <w:color w:val="auto"/>
        </w:rPr>
        <w:t>COBRA Premiums</w:t>
      </w:r>
      <w:r>
        <w:rPr>
          <w:rFonts w:ascii="Arial" w:cs="Arial" w:eastAsia="Arial" w:hAnsi="Arial"/>
          <w:sz w:val="16"/>
          <w:szCs w:val="16"/>
          <w:color w:val="auto"/>
        </w:rPr>
        <w:t>”) under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(or another state law equivalent), as applicable, for a period ending on the earlier of the eighteen (18)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family members elect health care continuation coverage (the “</w:t>
      </w:r>
      <w:r>
        <w:rPr>
          <w:rFonts w:ascii="Arial" w:cs="Arial" w:eastAsia="Arial" w:hAnsi="Arial"/>
          <w:sz w:val="16"/>
          <w:szCs w:val="16"/>
          <w:u w:val="single" w:color="auto"/>
          <w:color w:val="auto"/>
        </w:rPr>
        <w:t>Health Care Benefit Payment</w:t>
      </w:r>
      <w:r>
        <w:rPr>
          <w:rFonts w:ascii="Arial" w:cs="Arial" w:eastAsia="Arial" w:hAnsi="Arial"/>
          <w:sz w:val="16"/>
          <w:szCs w:val="16"/>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168" w:lineRule="exact"/>
        <w:rPr>
          <w:rFonts w:ascii="Arial" w:cs="Arial" w:eastAsia="Arial" w:hAnsi="Arial"/>
          <w:sz w:val="16"/>
          <w:szCs w:val="16"/>
          <w:color w:val="auto"/>
        </w:rPr>
      </w:pPr>
    </w:p>
    <w:p>
      <w:pPr>
        <w:ind w:left="4000" w:hanging="920"/>
        <w:spacing w:after="0"/>
        <w:tabs>
          <w:tab w:leader="none" w:pos="400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All outstanding Stock Awards then held by Executive shall become fully vested and exercisable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all of the shares subject thereto effective immediately prior to Executive’s Separation from Service under this Section 3(a).</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Notwithstanding the foregoing, in the event that Executive would be entitled to a greater level of severance benefits under the terms and conditions of a severance plan or policy provided by the Company or its successor to other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2" w:name="page213"/>
    <w:bookmarkEnd w:id="212"/>
    <w:p>
      <w:pPr>
        <w:spacing w:after="0" w:line="264" w:lineRule="auto"/>
        <w:rPr>
          <w:sz w:val="20"/>
          <w:szCs w:val="20"/>
          <w:color w:val="auto"/>
        </w:rPr>
      </w:pPr>
      <w:r>
        <w:rPr>
          <w:rFonts w:ascii="Arial" w:cs="Arial" w:eastAsia="Arial" w:hAnsi="Arial"/>
          <w:sz w:val="18"/>
          <w:szCs w:val="18"/>
          <w:color w:val="auto"/>
        </w:rPr>
        <w:t>Company employees being terminated in connection with or within twelve (12) months following a Change in Control but for the existence of this Agreement (the “</w:t>
      </w:r>
      <w:r>
        <w:rPr>
          <w:rFonts w:ascii="Arial" w:cs="Arial" w:eastAsia="Arial" w:hAnsi="Arial"/>
          <w:sz w:val="18"/>
          <w:szCs w:val="18"/>
          <w:u w:val="single" w:color="auto"/>
          <w:color w:val="auto"/>
        </w:rPr>
        <w:t>Change in Control Benefits</w:t>
      </w:r>
      <w:r>
        <w:rPr>
          <w:rFonts w:ascii="Arial" w:cs="Arial" w:eastAsia="Arial" w:hAnsi="Arial"/>
          <w:sz w:val="18"/>
          <w:szCs w:val="18"/>
          <w:color w:val="auto"/>
        </w:rPr>
        <w:t>”), Executive shall be entitled to receive the greater of the severance benefits under this Section 3(a) or the Change in Control Benefits, subject to the applicable terms and conditions thereof.</w:t>
      </w:r>
    </w:p>
    <w:p>
      <w:pPr>
        <w:spacing w:after="0" w:line="181" w:lineRule="exact"/>
        <w:rPr>
          <w:sz w:val="20"/>
          <w:szCs w:val="20"/>
          <w:color w:val="auto"/>
        </w:rPr>
      </w:pPr>
    </w:p>
    <w:p>
      <w:pPr>
        <w:jc w:val="both"/>
        <w:ind w:right="180" w:firstLine="1763"/>
        <w:spacing w:after="0" w:line="312" w:lineRule="auto"/>
        <w:tabs>
          <w:tab w:leader="none" w:pos="2613"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Benefits Upon Certain Other Terminations</w:t>
      </w:r>
      <w:r>
        <w:rPr>
          <w:rFonts w:ascii="Arial" w:cs="Arial" w:eastAsia="Arial" w:hAnsi="Arial"/>
          <w:sz w:val="16"/>
          <w:szCs w:val="16"/>
          <w:color w:val="auto"/>
        </w:rPr>
        <w:t>. If Executive’s employment is terminated by the Company without Cause, and other than as a result of death or disability, under circumstances other than those set forth in in the foregoing provisions of this Section 3, and provided that Executive delivers an effective release of claims as required under Section 4 below, then Executive shall be entitled to the following severance benefits:</w:t>
      </w:r>
    </w:p>
    <w:p>
      <w:pPr>
        <w:spacing w:after="0" w:line="146" w:lineRule="exact"/>
        <w:rPr>
          <w:rFonts w:ascii="Arial" w:cs="Arial" w:eastAsia="Arial" w:hAnsi="Arial"/>
          <w:sz w:val="16"/>
          <w:szCs w:val="16"/>
          <w:color w:val="auto"/>
        </w:rPr>
      </w:pPr>
    </w:p>
    <w:p>
      <w:pPr>
        <w:jc w:val="both"/>
        <w:ind w:right="60" w:firstLine="3080"/>
        <w:spacing w:after="0" w:line="264" w:lineRule="auto"/>
        <w:tabs>
          <w:tab w:leader="none" w:pos="389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Company shall pay Executive an amount equal to eighteen (18) months of Executive’s then current base salary, less all applicable withholdings and deductions, paid over such eighteen (18) month period immediately following the Separation from Service in accordance with the Company’s regular payroll practices, on the schedule described in Section 4 below.</w:t>
      </w:r>
    </w:p>
    <w:p>
      <w:pPr>
        <w:spacing w:after="0" w:line="181" w:lineRule="exact"/>
        <w:rPr>
          <w:rFonts w:ascii="Arial" w:cs="Arial" w:eastAsia="Arial" w:hAnsi="Arial"/>
          <w:sz w:val="18"/>
          <w:szCs w:val="18"/>
          <w:color w:val="auto"/>
        </w:rPr>
      </w:pPr>
    </w:p>
    <w:p>
      <w:pPr>
        <w:ind w:left="3940" w:hanging="860"/>
        <w:spacing w:after="0"/>
        <w:tabs>
          <w:tab w:leader="none" w:pos="394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The Company shall pay Executive’s COBRA Premiums for a period ending on the earlier of the</w:t>
      </w:r>
    </w:p>
    <w:p>
      <w:pPr>
        <w:spacing w:after="0" w:line="34" w:lineRule="exact"/>
        <w:rPr>
          <w:rFonts w:ascii="Arial" w:cs="Arial" w:eastAsia="Arial" w:hAnsi="Arial"/>
          <w:sz w:val="17"/>
          <w:szCs w:val="17"/>
          <w:color w:val="auto"/>
        </w:rPr>
      </w:pP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eighteen (18)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170" w:lineRule="exact"/>
        <w:rPr>
          <w:rFonts w:ascii="Arial" w:cs="Arial" w:eastAsia="Arial" w:hAnsi="Arial"/>
          <w:sz w:val="17"/>
          <w:szCs w:val="17"/>
          <w:color w:val="auto"/>
        </w:rPr>
      </w:pPr>
    </w:p>
    <w:p>
      <w:pPr>
        <w:ind w:right="20" w:firstLine="885"/>
        <w:spacing w:after="0" w:line="285" w:lineRule="auto"/>
        <w:tabs>
          <w:tab w:leader="none" w:pos="166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Release Prior to Payment of Severance Benefits</w:t>
      </w:r>
      <w:r>
        <w:rPr>
          <w:rFonts w:ascii="Arial" w:cs="Arial" w:eastAsia="Arial" w:hAnsi="Arial"/>
          <w:sz w:val="16"/>
          <w:szCs w:val="16"/>
          <w:color w:val="auto"/>
        </w:rPr>
        <w:t xml:space="preserve">. Prior to the payment of any of the Severance Benefits, Executive shall execute, and allow to become effective, a customary and standard employment release agreement in substantially the form attached hereto as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as applicable, releasing the Company (and its successor) from any and all claims Executive may have against such entities related to or arising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his or her employment and the terms of such employment and termination thereof (the “</w:t>
      </w:r>
      <w:r>
        <w:rPr>
          <w:rFonts w:ascii="Arial" w:cs="Arial" w:eastAsia="Arial" w:hAnsi="Arial"/>
          <w:sz w:val="16"/>
          <w:szCs w:val="16"/>
          <w:u w:val="single" w:color="auto"/>
          <w:color w:val="auto"/>
        </w:rPr>
        <w:t>Release</w:t>
      </w:r>
      <w:r>
        <w:rPr>
          <w:rFonts w:ascii="Arial" w:cs="Arial" w:eastAsia="Arial" w:hAnsi="Arial"/>
          <w:sz w:val="16"/>
          <w:szCs w:val="16"/>
          <w:color w:val="auto"/>
        </w:rPr>
        <w:t>”) within the time frame set forth therein, but not later than sixty (60) days following Executive’s Separation from Service (the “</w:t>
      </w:r>
      <w:r>
        <w:rPr>
          <w:rFonts w:ascii="Arial" w:cs="Arial" w:eastAsia="Arial" w:hAnsi="Arial"/>
          <w:sz w:val="16"/>
          <w:szCs w:val="16"/>
          <w:u w:val="single" w:color="auto"/>
          <w:color w:val="auto"/>
        </w:rPr>
        <w:t>Release Effective Date</w:t>
      </w:r>
      <w:r>
        <w:rPr>
          <w:rFonts w:ascii="Arial" w:cs="Arial" w:eastAsia="Arial" w:hAnsi="Arial"/>
          <w:sz w:val="16"/>
          <w:szCs w:val="16"/>
          <w:color w:val="auto"/>
        </w:rPr>
        <w:t>”).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Severance Benefits will be paid prior to the Release Effective Date. Within five (5) days following the Release Effective Date, the Company will pay Executive the Severance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Severance Benefits constitute “deferred compensation” under Section 409A (defined below), then, solely to the extent necessary to avoid the incurrence of the adverse personal tax consequences under Section 409A, no Severance Benefits will be paid prior to the sixtieth (60th) day following Executive’s Separation from Service. On the sixtieth (60th) day following the date of Separation from Service, the Company will pay to Executive in a lump sum the applicable Severance Benefits that Executive would otherwise have received on or prior to such date, with the balance of the Severance Benefits being paid as originally scheduled.</w:t>
      </w:r>
    </w:p>
    <w:p>
      <w:pPr>
        <w:spacing w:after="0" w:line="177" w:lineRule="exact"/>
        <w:rPr>
          <w:rFonts w:ascii="Arial" w:cs="Arial" w:eastAsia="Arial" w:hAnsi="Arial"/>
          <w:sz w:val="16"/>
          <w:szCs w:val="16"/>
          <w:color w:val="auto"/>
        </w:rPr>
      </w:pPr>
    </w:p>
    <w:p>
      <w:pPr>
        <w:ind w:right="20" w:firstLine="885"/>
        <w:spacing w:after="0" w:line="293" w:lineRule="auto"/>
        <w:tabs>
          <w:tab w:leader="none" w:pos="166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If any payment or benefit (including payments and benefits pursuant to this Agreement) that Executive would receive in connection with a Change in Control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3" w:name="page214"/>
    <w:bookmarkEnd w:id="213"/>
    <w:p>
      <w:pPr>
        <w:ind w:right="20"/>
        <w:spacing w:after="0" w:line="270" w:lineRule="auto"/>
        <w:rPr>
          <w:sz w:val="20"/>
          <w:szCs w:val="20"/>
          <w:color w:val="auto"/>
        </w:rPr>
      </w:pPr>
      <w:r>
        <w:rPr>
          <w:rFonts w:ascii="Arial" w:cs="Arial" w:eastAsia="Arial" w:hAnsi="Arial"/>
          <w:sz w:val="17"/>
          <w:szCs w:val="17"/>
          <w:color w:val="auto"/>
        </w:rPr>
        <w:t>Payment (a “</w:t>
      </w:r>
      <w:r>
        <w:rPr>
          <w:rFonts w:ascii="Arial" w:cs="Arial" w:eastAsia="Arial" w:hAnsi="Arial"/>
          <w:sz w:val="17"/>
          <w:szCs w:val="17"/>
          <w:u w:val="single" w:color="auto"/>
          <w:color w:val="auto"/>
        </w:rPr>
        <w:t>Full Payment</w:t>
      </w:r>
      <w:r>
        <w:rPr>
          <w:rFonts w:ascii="Arial" w:cs="Arial" w:eastAsia="Arial" w:hAnsi="Arial"/>
          <w:sz w:val="17"/>
          <w:szCs w:val="17"/>
          <w:color w:val="auto"/>
        </w:rPr>
        <w:t>”), or (2) payment of only a part of the Transaction Payment so that Executive receives the largest payment possible without the imposition of the Excise Tax (a “</w:t>
      </w:r>
      <w:r>
        <w:rPr>
          <w:rFonts w:ascii="Arial" w:cs="Arial" w:eastAsia="Arial" w:hAnsi="Arial"/>
          <w:sz w:val="17"/>
          <w:szCs w:val="17"/>
          <w:u w:val="single" w:color="auto"/>
          <w:color w:val="auto"/>
        </w:rPr>
        <w:t>Reduced Payment</w:t>
      </w:r>
      <w:r>
        <w:rPr>
          <w:rFonts w:ascii="Arial" w:cs="Arial" w:eastAsia="Arial" w:hAnsi="Arial"/>
          <w:sz w:val="17"/>
          <w:szCs w:val="17"/>
          <w:color w:val="auto"/>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stockholder be liable to Executive for any amounts not paid as a result of the operation of this Section 5.</w:t>
      </w:r>
    </w:p>
    <w:p>
      <w:pPr>
        <w:spacing w:after="0" w:line="178" w:lineRule="exact"/>
        <w:rPr>
          <w:sz w:val="20"/>
          <w:szCs w:val="20"/>
          <w:color w:val="auto"/>
        </w:rPr>
      </w:pPr>
    </w:p>
    <w:p>
      <w:pPr>
        <w:ind w:right="20" w:firstLine="1763"/>
        <w:spacing w:after="0" w:line="257" w:lineRule="auto"/>
        <w:tabs>
          <w:tab w:leader="none" w:pos="260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professional firm engaged by the Company for general tax purposes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8" w:lineRule="exact"/>
        <w:rPr>
          <w:rFonts w:ascii="Arial" w:cs="Arial" w:eastAsia="Arial" w:hAnsi="Arial"/>
          <w:sz w:val="18"/>
          <w:szCs w:val="18"/>
          <w:color w:val="auto"/>
        </w:rPr>
      </w:pPr>
    </w:p>
    <w:p>
      <w:pPr>
        <w:ind w:firstLine="1763"/>
        <w:spacing w:after="0" w:line="293" w:lineRule="auto"/>
        <w:tabs>
          <w:tab w:leader="none" w:pos="261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64" w:lineRule="exact"/>
        <w:rPr>
          <w:rFonts w:ascii="Arial" w:cs="Arial" w:eastAsia="Arial" w:hAnsi="Arial"/>
          <w:sz w:val="16"/>
          <w:szCs w:val="16"/>
          <w:color w:val="auto"/>
        </w:rPr>
      </w:pPr>
    </w:p>
    <w:p>
      <w:pPr>
        <w:ind w:left="1660" w:hanging="775"/>
        <w:spacing w:after="0"/>
        <w:tabs>
          <w:tab w:leader="none" w:pos="16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63"/>
        <w:spacing w:after="0" w:line="276" w:lineRule="auto"/>
        <w:tabs>
          <w:tab w:leader="none" w:pos="2603"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Company’s Successors</w:t>
      </w:r>
      <w:r>
        <w:rPr>
          <w:rFonts w:ascii="Arial" w:cs="Arial" w:eastAsia="Arial" w:hAnsi="Arial"/>
          <w:sz w:val="17"/>
          <w:szCs w:val="17"/>
          <w:color w:val="auto"/>
        </w:rPr>
        <w:t>. Any successor to the Company (whether direct or indirect and whether by 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w:t>
      </w:r>
    </w:p>
    <w:p>
      <w:pPr>
        <w:spacing w:after="0" w:line="172" w:lineRule="exact"/>
        <w:rPr>
          <w:rFonts w:ascii="Arial" w:cs="Arial" w:eastAsia="Arial" w:hAnsi="Arial"/>
          <w:sz w:val="17"/>
          <w:szCs w:val="17"/>
          <w:color w:val="auto"/>
        </w:rPr>
      </w:pPr>
    </w:p>
    <w:p>
      <w:pPr>
        <w:ind w:firstLine="1763"/>
        <w:spacing w:after="0" w:line="259" w:lineRule="auto"/>
        <w:tabs>
          <w:tab w:leader="none" w:pos="2613"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Executive’s Successors</w:t>
      </w:r>
      <w:r>
        <w:rPr>
          <w:rFonts w:ascii="Arial" w:cs="Arial" w:eastAsia="Arial" w:hAnsi="Arial"/>
          <w:sz w:val="18"/>
          <w:szCs w:val="18"/>
          <w:color w:val="auto"/>
        </w:rPr>
        <w:t>. Without the written consent of the Company, Executive shall not assign or transfer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14" w:name="page215"/>
    <w:bookmarkEnd w:id="214"/>
    <w:p>
      <w:pPr>
        <w:ind w:left="1660" w:hanging="775"/>
        <w:spacing w:after="0"/>
        <w:tabs>
          <w:tab w:leader="none" w:pos="166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63"/>
        <w:spacing w:after="0" w:line="302" w:lineRule="auto"/>
        <w:tabs>
          <w:tab w:leader="none" w:pos="2603"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54" w:lineRule="exact"/>
        <w:rPr>
          <w:rFonts w:ascii="Arial" w:cs="Arial" w:eastAsia="Arial" w:hAnsi="Arial"/>
          <w:sz w:val="16"/>
          <w:szCs w:val="16"/>
          <w:color w:val="auto"/>
        </w:rPr>
      </w:pPr>
    </w:p>
    <w:p>
      <w:pPr>
        <w:ind w:right="20" w:firstLine="1763"/>
        <w:spacing w:after="0" w:line="342" w:lineRule="auto"/>
        <w:tabs>
          <w:tab w:leader="none" w:pos="2613"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with or without Cause or by Executive as a result of a voluntary resignation for any reason shall be communicated by a notice of termination to the other party hereto given in accordance with this Agreement.</w:t>
      </w:r>
    </w:p>
    <w:p>
      <w:pPr>
        <w:spacing w:after="0" w:line="123" w:lineRule="exact"/>
        <w:rPr>
          <w:rFonts w:ascii="Arial" w:cs="Arial" w:eastAsia="Arial" w:hAnsi="Arial"/>
          <w:sz w:val="16"/>
          <w:szCs w:val="16"/>
          <w:color w:val="auto"/>
        </w:rPr>
      </w:pPr>
    </w:p>
    <w:p>
      <w:pPr>
        <w:ind w:right="60" w:firstLine="885"/>
        <w:spacing w:after="0" w:line="269" w:lineRule="auto"/>
        <w:tabs>
          <w:tab w:leader="none" w:pos="1661"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Company and Executive shall attempt to settle any disputes arising in connection with this Agreement through good faith consultation. In the event that Executive and the Company are not able to resolve any such disputes within fifteen (15) days after notification in writing to the other, any dispute or claim arising out of or in connection with this Agreement will be finally settled by binding arbitration in San Francisco, California in accordance with the rules of the American Arbitration Association by one arbitrator mutually agreed upon by the parties. The arbitrator will apply California law, without reference to rules of conflicts of law or rules of statutory arbitration, to the resolution of any dispute. Except as set forth in Section 10(h) below, the arbitrator shall not have authority to modify the terms of this Agreement. The Company shall pay the costs of the arbitration proceeding. Each party shall, unless otherwise determined by the arbitrator, bear its or his or her own attorneys’ fees and expenses, provided however that if Executive prevails in an arbitration proceeding, the Company shall reimburse Executive for his or her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spacing w:after="0" w:line="182" w:lineRule="exact"/>
        <w:rPr>
          <w:rFonts w:ascii="Arial" w:cs="Arial" w:eastAsia="Arial" w:hAnsi="Arial"/>
          <w:sz w:val="17"/>
          <w:szCs w:val="17"/>
          <w:color w:val="auto"/>
        </w:rPr>
      </w:pPr>
    </w:p>
    <w:p>
      <w:pPr>
        <w:ind w:left="1660" w:hanging="775"/>
        <w:spacing w:after="0"/>
        <w:tabs>
          <w:tab w:leader="none" w:pos="166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rFonts w:ascii="Arial" w:cs="Arial" w:eastAsia="Arial" w:hAnsi="Arial"/>
          <w:sz w:val="18"/>
          <w:szCs w:val="18"/>
          <w:color w:val="auto"/>
        </w:rPr>
      </w:pPr>
    </w:p>
    <w:p>
      <w:pPr>
        <w:ind w:left="2620" w:hanging="857"/>
        <w:spacing w:after="0"/>
        <w:tabs>
          <w:tab w:leader="none" w:pos="2620"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for termination of Executive’s employment will exist if Executive is terminated by the Company for any</w:t>
      </w:r>
    </w:p>
    <w:p>
      <w:pPr>
        <w:spacing w:after="0" w:line="46"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of the following reasons: (i) Executive’s willful failure substantially to perform his or her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his or her relationship with the Company; or</w:t>
      </w:r>
    </w:p>
    <w:p>
      <w:pPr>
        <w:spacing w:after="0" w:line="2" w:lineRule="exact"/>
        <w:rPr>
          <w:rFonts w:ascii="Arial" w:cs="Arial" w:eastAsia="Arial" w:hAnsi="Arial"/>
          <w:sz w:val="16"/>
          <w:szCs w:val="16"/>
          <w:color w:val="auto"/>
        </w:rPr>
      </w:pPr>
    </w:p>
    <w:p>
      <w:pPr>
        <w:ind w:right="140" w:firstLine="8"/>
        <w:spacing w:after="0" w:line="295" w:lineRule="auto"/>
        <w:tabs>
          <w:tab w:leader="none" w:pos="3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Executive’s willful breach of any of his or her obligations under any written agreement or covenant with the Company. The determination as to whether Executive is being terminated for Cause shall be made in good faith by the Company and shall be final and binding on Executive. The foregoing definition does not in any way limit the Company’s ability to terminate Executive’s employment relationship at any time as provided in Sections 1 and 10(d) of this Agreement, and the term “Company” will be interpreted to include any subsidiary, parent or affiliate of the Company, as appropriate.</w:t>
      </w:r>
    </w:p>
    <w:p>
      <w:pPr>
        <w:spacing w:after="0" w:line="161" w:lineRule="exact"/>
        <w:rPr>
          <w:rFonts w:ascii="Arial" w:cs="Arial" w:eastAsia="Arial" w:hAnsi="Arial"/>
          <w:sz w:val="16"/>
          <w:szCs w:val="16"/>
          <w:color w:val="auto"/>
        </w:rPr>
      </w:pPr>
    </w:p>
    <w:p>
      <w:pPr>
        <w:ind w:right="40" w:firstLine="1763"/>
        <w:spacing w:after="0" w:line="218" w:lineRule="exact"/>
        <w:tabs>
          <w:tab w:leader="none" w:pos="2613" w:val="left"/>
        </w:tabs>
        <w:numPr>
          <w:ilvl w:val="2"/>
          <w:numId w:val="137"/>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first to occur of any of the following transactions that also constitutes a change in the ownership or effective control of the Company, or a change in the ownership of a substantial portion of the Company’s assets, as described in Treasury Regulation Section 1.409A</w:t>
      </w:r>
      <w:r>
        <w:rPr>
          <w:rFonts w:ascii="MS PGothic" w:cs="MS PGothic" w:eastAsia="MS PGothic" w:hAnsi="MS PGothic"/>
          <w:sz w:val="17"/>
          <w:szCs w:val="17"/>
          <w:color w:val="auto"/>
        </w:rPr>
        <w:t>‑</w:t>
      </w:r>
      <w:r>
        <w:rPr>
          <w:rFonts w:ascii="Arial" w:cs="Arial" w:eastAsia="Arial" w:hAnsi="Arial"/>
          <w:sz w:val="17"/>
          <w:szCs w:val="17"/>
          <w:color w:val="auto"/>
        </w:rPr>
        <w:t>3(i)(5): (A) a merger or consolidation in which the Company is not the surviving entity, except for a transaction the principal purpose of which is to change the state in which the Company is incorporated; (B) the sale, transfer or other disposition of all or substantially all of the assets of the Company (including the capital stock of the Company’s subsidiary corporations); (C)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 or (D) an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202" w:lineRule="exact"/>
        <w:rPr>
          <w:rFonts w:ascii="Arial" w:cs="Arial" w:eastAsia="Arial" w:hAnsi="Arial"/>
          <w:sz w:val="17"/>
          <w:szCs w:val="17"/>
          <w:color w:val="auto"/>
        </w:rPr>
      </w:pPr>
    </w:p>
    <w:p>
      <w:pPr>
        <w:ind w:right="20" w:firstLine="1763"/>
        <w:spacing w:after="0" w:line="264" w:lineRule="auto"/>
        <w:tabs>
          <w:tab w:leader="none" w:pos="2603"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u w:val="single" w:color="auto"/>
          <w:color w:val="auto"/>
        </w:rPr>
        <w:t>Good Reason</w:t>
      </w:r>
      <w:r>
        <w:rPr>
          <w:rFonts w:ascii="Arial" w:cs="Arial" w:eastAsia="Arial" w:hAnsi="Arial"/>
          <w:sz w:val="18"/>
          <w:szCs w:val="18"/>
          <w:color w:val="auto"/>
        </w:rPr>
        <w:t>” for Executive's resignation of his or her employment shall exist following the occurrence of any of the following without Executive’s written consent: (i) a material reduction in job duties or responsibilities inconsistent with the Executive’s position with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reduction or change after a Change in Control will not constitute Good Reason if Executive retains reasonably comparable duties, and responsibilities with respect to the Company’s business within the successor entity following a Change of Control; (ii) a material reduction of Executive’s then current base salary or target bonus; (iii) the relocation of Executive’s principal place of employment to a place that increases Executive’s one-way commute by more than forty (40) miles as compared to Executive’s then current principal place of employment immediately prior to such relocation;</w:t>
      </w:r>
    </w:p>
    <w:p>
      <w:pPr>
        <w:spacing w:after="0" w:line="2" w:lineRule="exact"/>
        <w:rPr>
          <w:sz w:val="20"/>
          <w:szCs w:val="20"/>
          <w:color w:val="auto"/>
        </w:rPr>
      </w:pPr>
    </w:p>
    <w:p>
      <w:pPr>
        <w:ind w:right="100" w:firstLine="8"/>
        <w:spacing w:after="0" w:line="252" w:lineRule="auto"/>
        <w:tabs>
          <w:tab w:leader="none" w:pos="3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material breach by the Company of the Plan or any other written agreement between the Company and the Executive; or (v) the failure by any successor to the Company to assume the Plan and any obligations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Executive gives written notice to the Company of the event forming the basis of the termination for Good Reason within sixty (60) days after the date on which the Company gives written notice to the Executive of the Company’s affirmative decision to take an action set forth in clause (i), (ii), (iii), (iv) or (v) above, the Company fails to cure such basis for the Good Reason resignation within thirty (30) days after receipt of Executive’s written notice and Executive terminates his or her employment within thirty (30) days following the expiration of the cure period.</w:t>
      </w:r>
    </w:p>
    <w:p>
      <w:pPr>
        <w:spacing w:after="0" w:line="194" w:lineRule="exact"/>
        <w:rPr>
          <w:rFonts w:ascii="Arial" w:cs="Arial" w:eastAsia="Arial" w:hAnsi="Arial"/>
          <w:sz w:val="18"/>
          <w:szCs w:val="18"/>
          <w:color w:val="auto"/>
        </w:rPr>
      </w:pPr>
    </w:p>
    <w:p>
      <w:pPr>
        <w:ind w:right="40" w:firstLine="1763"/>
        <w:spacing w:after="0" w:line="264" w:lineRule="auto"/>
        <w:tabs>
          <w:tab w:leader="none" w:pos="2613" w:val="left"/>
        </w:tabs>
        <w:numPr>
          <w:ilvl w:val="2"/>
          <w:numId w:val="138"/>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w:t>
      </w:r>
      <w:r>
        <w:rPr>
          <w:rFonts w:ascii="Arial" w:cs="Arial" w:eastAsia="Arial" w:hAnsi="Arial"/>
          <w:sz w:val="18"/>
          <w:szCs w:val="18"/>
          <w:u w:val="single" w:color="auto"/>
          <w:color w:val="auto"/>
        </w:rPr>
        <w:t>Plan</w:t>
      </w:r>
      <w:r>
        <w:rPr>
          <w:rFonts w:ascii="Arial" w:cs="Arial" w:eastAsia="Arial" w:hAnsi="Arial"/>
          <w:sz w:val="18"/>
          <w:szCs w:val="18"/>
          <w:color w:val="auto"/>
        </w:rPr>
        <w:t>” 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spacing w:after="0" w:line="181" w:lineRule="exact"/>
        <w:rPr>
          <w:rFonts w:ascii="Arial" w:cs="Arial" w:eastAsia="Arial" w:hAnsi="Arial"/>
          <w:sz w:val="18"/>
          <w:szCs w:val="18"/>
          <w:color w:val="auto"/>
        </w:rPr>
      </w:pPr>
    </w:p>
    <w:p>
      <w:pPr>
        <w:ind w:right="180" w:firstLine="1763"/>
        <w:spacing w:after="0" w:line="255" w:lineRule="auto"/>
        <w:tabs>
          <w:tab w:leader="none" w:pos="2603" w:val="left"/>
        </w:tabs>
        <w:numPr>
          <w:ilvl w:val="2"/>
          <w:numId w:val="138"/>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w:t>
      </w:r>
      <w:r>
        <w:rPr>
          <w:rFonts w:ascii="Arial" w:cs="Arial" w:eastAsia="Arial" w:hAnsi="Arial"/>
          <w:sz w:val="18"/>
          <w:szCs w:val="18"/>
          <w:u w:val="single" w:color="auto"/>
          <w:color w:val="auto"/>
        </w:rPr>
        <w:t>Stock Award(s)</w:t>
      </w:r>
      <w:r>
        <w:rPr>
          <w:rFonts w:ascii="Arial" w:cs="Arial" w:eastAsia="Arial" w:hAnsi="Arial"/>
          <w:sz w:val="18"/>
          <w:szCs w:val="18"/>
          <w:color w:val="auto"/>
        </w:rPr>
        <w:t xml:space="preserve">” means any right to receive or purchase equity of the Company or other equity based award or compensation as granted under the Plan, including without limitation an Incentive Stock Option, a Nonstatutory Stock Option, a Stock Purchase Award, a Stock Bonus Award, a Restricted Stock Award, a Restricted Stock Unit Award, a Stock Unit Award, a Stock Appreciation Right, a Performance Stock Award or any Other Stock Award, each of the foregoing as defined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Stock Award shall not include any of the foregoing awards to the extent that the grant documentation evidencing such award explicitly provides that the terms of this Agreement shall be superseded by the provisions of such grant documentation.</w:t>
      </w:r>
    </w:p>
    <w:p>
      <w:pPr>
        <w:spacing w:after="0" w:line="193" w:lineRule="exact"/>
        <w:rPr>
          <w:rFonts w:ascii="Arial" w:cs="Arial" w:eastAsia="Arial" w:hAnsi="Arial"/>
          <w:sz w:val="18"/>
          <w:szCs w:val="18"/>
          <w:color w:val="auto"/>
        </w:rPr>
      </w:pPr>
    </w:p>
    <w:p>
      <w:pPr>
        <w:ind w:left="1760" w:hanging="875"/>
        <w:spacing w:after="0"/>
        <w:tabs>
          <w:tab w:leader="none" w:pos="176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763"/>
        <w:spacing w:after="0" w:line="302" w:lineRule="auto"/>
        <w:tabs>
          <w:tab w:leader="none" w:pos="2603" w:val="left"/>
        </w:tabs>
        <w:numPr>
          <w:ilvl w:val="2"/>
          <w:numId w:val="139"/>
        </w:numPr>
        <w:rPr>
          <w:rFonts w:ascii="Arial" w:cs="Arial" w:eastAsia="Arial" w:hAnsi="Arial"/>
          <w:sz w:val="16"/>
          <w:szCs w:val="16"/>
          <w:color w:val="auto"/>
        </w:rPr>
      </w:pPr>
      <w:r>
        <w:rPr>
          <w:rFonts w:ascii="Arial" w:cs="Arial" w:eastAsia="Arial" w:hAnsi="Arial"/>
          <w:sz w:val="16"/>
          <w:szCs w:val="16"/>
          <w:u w:val="single" w:color="auto"/>
          <w:color w:val="auto"/>
        </w:rPr>
        <w:t>Executive Obligations</w:t>
      </w:r>
      <w:r>
        <w:rPr>
          <w:rFonts w:ascii="Arial" w:cs="Arial" w:eastAsia="Arial" w:hAnsi="Arial"/>
          <w:sz w:val="16"/>
          <w:szCs w:val="16"/>
          <w:color w:val="auto"/>
        </w:rPr>
        <w:t>. Notwithstanding anything to the contrary contained herein, payment of any of the Severance Benefits will be conditioned upon (i) Executive continuing to comply with his or her obligations under his or her Confidential Information, Secrecy and Invention Agreement during the period of time in which Executive is receiving the Severance Benefits; and (ii) if Executive is a member of the Board, Executive’s resignation from the Board, to be effective no later than the date of Separation from Service (or such other date as requested by the Board).</w:t>
      </w:r>
    </w:p>
    <w:p>
      <w:pPr>
        <w:spacing w:after="0" w:line="154" w:lineRule="exact"/>
        <w:rPr>
          <w:rFonts w:ascii="Arial" w:cs="Arial" w:eastAsia="Arial" w:hAnsi="Arial"/>
          <w:sz w:val="16"/>
          <w:szCs w:val="16"/>
          <w:color w:val="auto"/>
        </w:rPr>
      </w:pPr>
    </w:p>
    <w:p>
      <w:pPr>
        <w:ind w:right="180" w:firstLine="1763"/>
        <w:spacing w:after="0" w:line="264" w:lineRule="auto"/>
        <w:tabs>
          <w:tab w:leader="none" w:pos="2613" w:val="left"/>
        </w:tabs>
        <w:numPr>
          <w:ilvl w:val="2"/>
          <w:numId w:val="139"/>
        </w:numPr>
        <w:rPr>
          <w:rFonts w:ascii="Arial" w:cs="Arial" w:eastAsia="Arial" w:hAnsi="Arial"/>
          <w:sz w:val="18"/>
          <w:szCs w:val="18"/>
          <w:color w:val="auto"/>
        </w:rPr>
      </w:pPr>
      <w:r>
        <w:rPr>
          <w:rFonts w:ascii="Arial" w:cs="Arial" w:eastAsia="Arial" w:hAnsi="Arial"/>
          <w:sz w:val="18"/>
          <w:szCs w:val="18"/>
          <w:u w:val="single" w:color="auto"/>
          <w:color w:val="auto"/>
        </w:rPr>
        <w:t>Effect of Statutory Benefits</w:t>
      </w:r>
      <w:r>
        <w:rPr>
          <w:rFonts w:ascii="Arial" w:cs="Arial" w:eastAsia="Arial" w:hAnsi="Arial"/>
          <w:sz w:val="18"/>
          <w:szCs w:val="18"/>
          <w:color w:val="auto"/>
        </w:rPr>
        <w:t>. To the extent that any severance benefits are required to be paid to Executive upon termination of employment with the Company as a result of any requirement of law or any governmental entity in any applicable jurisdiction, the aggregate amount of severance benefits payable pursuant to Section 3 hereof shall not be reduced by such amount.</w:t>
      </w:r>
    </w:p>
    <w:p>
      <w:pPr>
        <w:spacing w:after="0" w:line="181" w:lineRule="exact"/>
        <w:rPr>
          <w:rFonts w:ascii="Arial" w:cs="Arial" w:eastAsia="Arial" w:hAnsi="Arial"/>
          <w:sz w:val="18"/>
          <w:szCs w:val="18"/>
          <w:color w:val="auto"/>
        </w:rPr>
      </w:pPr>
    </w:p>
    <w:p>
      <w:pPr>
        <w:ind w:right="580" w:firstLine="1763"/>
        <w:spacing w:after="0" w:line="308" w:lineRule="auto"/>
        <w:tabs>
          <w:tab w:leader="none" w:pos="2603" w:val="left"/>
        </w:tabs>
        <w:numPr>
          <w:ilvl w:val="2"/>
          <w:numId w:val="139"/>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shall not be required to mitigate the amount of any payment contemplated by this Agreement, nor shall any such payment be reduced by any earnings that Executive may receive from any other source.</w:t>
      </w:r>
    </w:p>
    <w:p>
      <w:pPr>
        <w:spacing w:after="0" w:line="146" w:lineRule="exact"/>
        <w:rPr>
          <w:rFonts w:ascii="Arial" w:cs="Arial" w:eastAsia="Arial" w:hAnsi="Arial"/>
          <w:sz w:val="17"/>
          <w:szCs w:val="17"/>
          <w:color w:val="auto"/>
        </w:rPr>
      </w:pPr>
    </w:p>
    <w:p>
      <w:pPr>
        <w:ind w:right="660" w:firstLine="1763"/>
        <w:spacing w:after="0" w:line="277" w:lineRule="auto"/>
        <w:tabs>
          <w:tab w:leader="none" w:pos="2613" w:val="left"/>
        </w:tabs>
        <w:numPr>
          <w:ilvl w:val="2"/>
          <w:numId w:val="139"/>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Nothing in this Agreement modifies Executive’s at-will employment status. Either Executive or the Company can terminate the employment relationship at any time, with or without Cause.</w:t>
      </w:r>
    </w:p>
    <w:p>
      <w:pPr>
        <w:spacing w:after="0" w:line="170" w:lineRule="exact"/>
        <w:rPr>
          <w:rFonts w:ascii="Arial" w:cs="Arial" w:eastAsia="Arial" w:hAnsi="Arial"/>
          <w:sz w:val="18"/>
          <w:szCs w:val="18"/>
          <w:color w:val="auto"/>
        </w:rPr>
      </w:pPr>
    </w:p>
    <w:p>
      <w:pPr>
        <w:ind w:right="220" w:firstLine="1763"/>
        <w:spacing w:after="0" w:line="259" w:lineRule="auto"/>
        <w:tabs>
          <w:tab w:leader="none" w:pos="2603" w:val="left"/>
        </w:tabs>
        <w:numPr>
          <w:ilvl w:val="2"/>
          <w:numId w:val="13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waived or discharged unless the waiver or discharge is agreed to in writing and signed by the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right="20" w:firstLine="1763"/>
        <w:spacing w:after="0" w:line="264" w:lineRule="auto"/>
        <w:tabs>
          <w:tab w:leader="none" w:pos="2583" w:val="left"/>
        </w:tabs>
        <w:numPr>
          <w:ilvl w:val="2"/>
          <w:numId w:val="13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or contemporaneous agreements, whether written or oral, with respect to this Agreement; provided that, for clarification purposes, this Agreement shall not affect any agreements between the Company and Executive regarding intellectual property matters, non-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6" w:name="page217"/>
    <w:bookmarkEnd w:id="216"/>
    <w:p>
      <w:pPr>
        <w:ind w:right="220"/>
        <w:spacing w:after="0" w:line="277" w:lineRule="auto"/>
        <w:rPr>
          <w:sz w:val="20"/>
          <w:szCs w:val="20"/>
          <w:color w:val="auto"/>
        </w:rPr>
      </w:pPr>
      <w:r>
        <w:rPr>
          <w:rFonts w:ascii="Arial" w:cs="Arial" w:eastAsia="Arial" w:hAnsi="Arial"/>
          <w:sz w:val="18"/>
          <w:szCs w:val="18"/>
          <w:color w:val="auto"/>
        </w:rPr>
        <w:t>solicitation or non-competition restrictions or confidential information of the Company. This Agreement expressly supersedes and terminates all Change in Control and Severance Agreements entered into by and between Company and Executive prior to the Effective Date.</w:t>
      </w:r>
    </w:p>
    <w:p>
      <w:pPr>
        <w:spacing w:after="0" w:line="170" w:lineRule="exact"/>
        <w:rPr>
          <w:sz w:val="20"/>
          <w:szCs w:val="20"/>
          <w:color w:val="auto"/>
        </w:rPr>
      </w:pPr>
    </w:p>
    <w:p>
      <w:pPr>
        <w:ind w:right="260" w:firstLine="1763"/>
        <w:spacing w:after="0" w:line="277" w:lineRule="auto"/>
        <w:tabs>
          <w:tab w:leader="none" w:pos="261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shall be governed by the internal substantive laws, but not the conflicts of law rules, of the State of California.</w:t>
      </w:r>
    </w:p>
    <w:p>
      <w:pPr>
        <w:spacing w:after="0" w:line="170" w:lineRule="exact"/>
        <w:rPr>
          <w:rFonts w:ascii="Arial" w:cs="Arial" w:eastAsia="Arial" w:hAnsi="Arial"/>
          <w:sz w:val="18"/>
          <w:szCs w:val="18"/>
          <w:color w:val="auto"/>
        </w:rPr>
      </w:pPr>
    </w:p>
    <w:p>
      <w:pPr>
        <w:ind w:right="400" w:firstLine="1763"/>
        <w:spacing w:after="0" w:line="277" w:lineRule="auto"/>
        <w:tabs>
          <w:tab w:leader="none" w:pos="261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right="80" w:firstLine="1763"/>
        <w:spacing w:after="0" w:line="279" w:lineRule="auto"/>
        <w:tabs>
          <w:tab w:leader="none" w:pos="257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Income and Employment Taxes</w:t>
      </w:r>
      <w:r>
        <w:rPr>
          <w:rFonts w:ascii="Arial" w:cs="Arial" w:eastAsia="Arial" w:hAnsi="Arial"/>
          <w:sz w:val="17"/>
          <w:szCs w:val="17"/>
          <w:color w:val="auto"/>
        </w:rPr>
        <w:t>. Executive is responsible for any applicable taxes of any nature (including any penalties or interest that may apply to such taxes) that the Company reasonably determines apply to any payment made hereunder. Executive’s receipt of any benefit hereunder is conditioned on his or her satisfaction of any applicable withholding or similar obligations that apply to such benefit and any cash payment owed hereunder will be reduced to satisfy any such withholding or similar obligations that may apply.</w:t>
      </w:r>
    </w:p>
    <w:p>
      <w:pPr>
        <w:spacing w:after="0" w:line="171" w:lineRule="exact"/>
        <w:rPr>
          <w:rFonts w:ascii="Arial" w:cs="Arial" w:eastAsia="Arial" w:hAnsi="Arial"/>
          <w:sz w:val="17"/>
          <w:szCs w:val="17"/>
          <w:color w:val="auto"/>
        </w:rPr>
      </w:pPr>
    </w:p>
    <w:p>
      <w:pPr>
        <w:ind w:right="20" w:firstLine="1763"/>
        <w:spacing w:after="0" w:line="268" w:lineRule="auto"/>
        <w:tabs>
          <w:tab w:leader="none" w:pos="257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It is intended that each installment of the payments and benefits provided for in this Agreements constitute a separate “payment”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(Section 409A of the Code, together, with any state law of similar effect, “</w:t>
      </w:r>
      <w:r>
        <w:rPr>
          <w:rFonts w:ascii="Arial" w:cs="Arial" w:eastAsia="Arial" w:hAnsi="Arial"/>
          <w:sz w:val="17"/>
          <w:szCs w:val="17"/>
          <w:u w:val="single" w:color="auto"/>
          <w:color w:val="auto"/>
        </w:rPr>
        <w:t>Section 409A</w:t>
      </w:r>
      <w:r>
        <w:rPr>
          <w:rFonts w:ascii="Arial" w:cs="Arial" w:eastAsia="Arial" w:hAnsi="Arial"/>
          <w:sz w:val="17"/>
          <w:szCs w:val="17"/>
          <w:color w:val="auto"/>
        </w:rPr>
        <w:t>”) provided under Treasury Regulations 1.409A-1(b)(4), 1.409A-1(b)(5) and 1.409A-1(b)(9). However, if the Company (or, if applicable, the successor entity thereto) determines that the severance payments and benefits provided under this Agreement(the “</w:t>
      </w:r>
      <w:r>
        <w:rPr>
          <w:rFonts w:ascii="Arial" w:cs="Arial" w:eastAsia="Arial" w:hAnsi="Arial"/>
          <w:sz w:val="17"/>
          <w:szCs w:val="17"/>
          <w:u w:val="single" w:color="auto"/>
          <w:color w:val="auto"/>
        </w:rPr>
        <w:t>Agreement Payments</w:t>
      </w:r>
      <w:r>
        <w:rPr>
          <w:rFonts w:ascii="Arial" w:cs="Arial" w:eastAsia="Arial" w:hAnsi="Arial"/>
          <w:sz w:val="17"/>
          <w:szCs w:val="17"/>
          <w:color w:val="auto"/>
        </w:rPr>
        <w:t>”) constitute “deferred compensation” under Section 409A and Executive is, on the date of his or her Separation from Service, a “specified employee” of the Company or any successor entity thereto, as such term is defined in Section 409A(a)(2)(B)(i) of the Code (a “</w:t>
      </w:r>
      <w:r>
        <w:rPr>
          <w:rFonts w:ascii="Arial" w:cs="Arial" w:eastAsia="Arial" w:hAnsi="Arial"/>
          <w:sz w:val="17"/>
          <w:szCs w:val="17"/>
          <w:u w:val="single" w:color="auto"/>
          <w:color w:val="auto"/>
        </w:rPr>
        <w:t>Specified Employee</w:t>
      </w:r>
      <w:r>
        <w:rPr>
          <w:rFonts w:ascii="Arial" w:cs="Arial" w:eastAsia="Arial" w:hAnsi="Arial"/>
          <w:sz w:val="17"/>
          <w:szCs w:val="17"/>
          <w:color w:val="auto"/>
        </w:rPr>
        <w:t>”), then, solely to the extent necessary to avoid the incurrence of the adverse personal tax consequences under Section 409A, the timing of the Severance Benefits described in Section 4(b) shall be delayed as follows: on the earlier to occur of (i) the date that is six months and one day after Executive’s Separation from Service or (ii) the date of Executive’s death (such earlier date, the “</w:t>
      </w:r>
      <w:r>
        <w:rPr>
          <w:rFonts w:ascii="Arial" w:cs="Arial" w:eastAsia="Arial" w:hAnsi="Arial"/>
          <w:sz w:val="17"/>
          <w:szCs w:val="17"/>
          <w:u w:val="single" w:color="auto"/>
          <w:color w:val="auto"/>
        </w:rPr>
        <w:t>Delayed 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Date</w:t>
      </w:r>
      <w:r>
        <w:rPr>
          <w:rFonts w:ascii="Arial" w:cs="Arial" w:eastAsia="Arial" w:hAnsi="Arial"/>
          <w:sz w:val="17"/>
          <w:szCs w:val="17"/>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10(j). If a release revocation period spans two calendar years, then amounts will not be paid until the second of the two years to the extent necessary to avoid taxation under Section 409A.</w:t>
      </w:r>
    </w:p>
    <w:p>
      <w:pPr>
        <w:spacing w:after="0" w:line="185" w:lineRule="exact"/>
        <w:rPr>
          <w:rFonts w:ascii="Arial" w:cs="Arial" w:eastAsia="Arial" w:hAnsi="Arial"/>
          <w:sz w:val="17"/>
          <w:szCs w:val="17"/>
          <w:color w:val="auto"/>
        </w:rPr>
      </w:pPr>
    </w:p>
    <w:p>
      <w:pPr>
        <w:ind w:firstLine="1763"/>
        <w:spacing w:after="0" w:line="277" w:lineRule="auto"/>
        <w:tabs>
          <w:tab w:leader="none" w:pos="261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parties shall each bear their own expenses, legal fees and other fees incurred in connection with the execution of this Agreement.</w:t>
      </w:r>
    </w:p>
    <w:p>
      <w:pPr>
        <w:spacing w:after="0" w:line="170" w:lineRule="exact"/>
        <w:rPr>
          <w:rFonts w:ascii="Arial" w:cs="Arial" w:eastAsia="Arial" w:hAnsi="Arial"/>
          <w:sz w:val="18"/>
          <w:szCs w:val="18"/>
          <w:color w:val="auto"/>
        </w:rPr>
      </w:pPr>
    </w:p>
    <w:p>
      <w:pPr>
        <w:ind w:right="360" w:firstLine="1763"/>
        <w:spacing w:after="0" w:line="277" w:lineRule="auto"/>
        <w:tabs>
          <w:tab w:leader="none" w:pos="257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7" w:name="page218"/>
    <w:bookmarkEnd w:id="217"/>
    <w:p>
      <w:pPr>
        <w:ind w:lef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Agreement as of the date first set forth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 NAME]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FIBROGEN,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Michael D. Lowenstein</w:t>
            </w:r>
          </w:p>
        </w:tc>
        <w:tc>
          <w:tcPr>
            <w:tcW w:w="2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Chief Legal Officer</w:t>
            </w:r>
          </w:p>
        </w:tc>
        <w:tc>
          <w:tcPr>
            <w:tcW w:w="20" w:type="dxa"/>
            <w:vAlign w:val="bottom"/>
          </w:tcPr>
          <w:p>
            <w:pPr>
              <w:spacing w:after="0"/>
              <w:rPr>
                <w:sz w:val="24"/>
                <w:szCs w:val="24"/>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48"/>
        </w:trPr>
        <w:tc>
          <w:tcPr>
            <w:tcW w:w="6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For Executive Age 40 or Older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consideration of receiving certain benefits under my Change in Control and Severance Agreement with FibroGen,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_________ (the “</w:t>
      </w:r>
      <w:r>
        <w:rPr>
          <w:rFonts w:ascii="Arial" w:cs="Arial" w:eastAsia="Arial" w:hAnsi="Arial"/>
          <w:sz w:val="17"/>
          <w:szCs w:val="17"/>
          <w:u w:val="single" w:color="auto"/>
          <w:color w:val="auto"/>
        </w:rPr>
        <w:t>Agreement</w:t>
      </w:r>
      <w:r>
        <w:rPr>
          <w:rFonts w:ascii="Arial" w:cs="Arial" w:eastAsia="Arial" w:hAnsi="Arial"/>
          <w:sz w:val="17"/>
          <w:szCs w:val="17"/>
          <w:color w:val="auto"/>
        </w:rPr>
        <w:t>”), I have agreed to sign this Release.  I understand that I am not entitled to benefits under the Agreement unless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w:t>
      </w:r>
    </w:p>
    <w:p>
      <w:pPr>
        <w:spacing w:after="0" w:line="211"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u w:val="single" w:color="auto"/>
          <w:color w:val="auto"/>
        </w:rPr>
        <w:t>ADEA</w:t>
      </w:r>
      <w:r>
        <w:rPr>
          <w:rFonts w:ascii="Arial" w:cs="Arial" w:eastAsia="Arial" w:hAnsi="Arial"/>
          <w:sz w:val="16"/>
          <w:szCs w:val="16"/>
          <w:color w:val="auto"/>
        </w:rPr>
        <w:t>”), the federal Employee Retirement Income Security Act of 1974 (as amended), and the California Fair Employment and Housing Act (as amended)</w:t>
      </w:r>
      <w:r>
        <w:rPr>
          <w:rFonts w:ascii="Arial" w:cs="Arial" w:eastAsia="Arial" w:hAnsi="Arial"/>
          <w:sz w:val="13"/>
          <w:szCs w:val="13"/>
          <w:color w:val="auto"/>
        </w:rPr>
        <w:t>1</w:t>
      </w:r>
      <w:r>
        <w:rPr>
          <w:rFonts w:ascii="Arial" w:cs="Arial" w:eastAsia="Arial" w:hAnsi="Arial"/>
          <w:sz w:val="16"/>
          <w:szCs w:val="16"/>
          <w:color w:val="auto"/>
        </w:rPr>
        <w:t>. Notwithstanding the foregoing, the following are not included in the Released Claims (the “</w:t>
      </w:r>
      <w:r>
        <w:rPr>
          <w:rFonts w:ascii="Arial" w:cs="Arial" w:eastAsia="Arial" w:hAnsi="Arial"/>
          <w:sz w:val="16"/>
          <w:szCs w:val="16"/>
          <w:u w:val="single" w:color="auto"/>
          <w:color w:val="auto"/>
        </w:rPr>
        <w:t>Excluded Claims</w:t>
      </w:r>
      <w:r>
        <w:rPr>
          <w:rFonts w:ascii="Arial" w:cs="Arial" w:eastAsia="Arial" w:hAnsi="Arial"/>
          <w:sz w:val="16"/>
          <w:szCs w:val="16"/>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6725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96" w:lineRule="exact"/>
        <w:rPr>
          <w:sz w:val="20"/>
          <w:szCs w:val="20"/>
          <w:color w:val="auto"/>
        </w:rPr>
      </w:pPr>
    </w:p>
    <w:p>
      <w:pPr>
        <w:ind w:left="440" w:hanging="432"/>
        <w:spacing w:after="0"/>
        <w:tabs>
          <w:tab w:leader="none" w:pos="440" w:val="left"/>
        </w:tabs>
        <w:numPr>
          <w:ilvl w:val="0"/>
          <w:numId w:val="141"/>
        </w:numPr>
        <w:rPr>
          <w:rFonts w:ascii="Arial" w:cs="Arial" w:eastAsia="Arial" w:hAnsi="Arial"/>
          <w:sz w:val="15"/>
          <w:szCs w:val="15"/>
          <w:color w:val="auto"/>
        </w:rPr>
      </w:pPr>
      <w:r>
        <w:rPr>
          <w:rFonts w:ascii="Arial" w:cs="Arial" w:eastAsia="Arial" w:hAnsi="Arial"/>
          <w:sz w:val="18"/>
          <w:szCs w:val="18"/>
          <w:color w:val="auto"/>
        </w:rPr>
        <w:t>Will need to revise for other states, as applicable.</w:t>
      </w:r>
    </w:p>
    <w:p>
      <w:pPr>
        <w:spacing w:after="0" w:line="225"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87"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 seven (7) days following the date I sign this Release to revoke the Release by providing written notice to an officer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ind w:left="9180"/>
        <w:spacing w:after="0"/>
        <w:rPr>
          <w:sz w:val="20"/>
          <w:szCs w:val="20"/>
          <w:color w:val="auto"/>
        </w:rPr>
      </w:pPr>
      <w:r>
        <w:rPr>
          <w:rFonts w:ascii="Arial" w:cs="Arial" w:eastAsia="Arial" w:hAnsi="Arial"/>
          <w:sz w:val="16"/>
          <w:szCs w:val="16"/>
          <w:color w:val="auto"/>
        </w:rPr>
        <w:t>For Executive Age 40 or Older</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(e) the Release will not be effective until the date upon which the revocation period has expired unexercised, which will be the eighth day after I sign this Release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83"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39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forty-five (45)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jc w:val="both"/>
        <w:ind w:firstLine="846"/>
        <w:spacing w:after="0" w:line="264" w:lineRule="auto"/>
        <w:rPr>
          <w:sz w:val="20"/>
          <w:szCs w:val="20"/>
          <w:color w:val="auto"/>
        </w:rPr>
      </w:pPr>
      <w:r>
        <w:rPr>
          <w:rFonts w:ascii="Arial" w:cs="Arial" w:eastAsia="Arial" w:hAnsi="Arial"/>
          <w:sz w:val="18"/>
          <w:szCs w:val="18"/>
          <w:color w:val="auto"/>
        </w:rPr>
        <w:t>In consideration of receiving certain benefits under my Change in Control and Severance Agreement with FibroGen,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____________ (the “</w:t>
      </w:r>
      <w:r>
        <w:rPr>
          <w:rFonts w:ascii="Arial" w:cs="Arial" w:eastAsia="Arial" w:hAnsi="Arial"/>
          <w:sz w:val="18"/>
          <w:szCs w:val="18"/>
          <w:u w:val="single" w:color="auto"/>
          <w:color w:val="auto"/>
        </w:rPr>
        <w:t>Agreement</w:t>
      </w:r>
      <w:r>
        <w:rPr>
          <w:rFonts w:ascii="Arial" w:cs="Arial" w:eastAsia="Arial" w:hAnsi="Arial"/>
          <w:sz w:val="18"/>
          <w:szCs w:val="18"/>
          <w:color w:val="auto"/>
        </w:rPr>
        <w:t>”), I have agreed to sign this Release. I understand that I am not entitled to benefits under the Agreement unless I sign this Release.</w:t>
      </w:r>
    </w:p>
    <w:p>
      <w:pPr>
        <w:spacing w:after="0" w:line="181" w:lineRule="exact"/>
        <w:rPr>
          <w:sz w:val="20"/>
          <w:szCs w:val="20"/>
          <w:color w:val="auto"/>
        </w:rPr>
      </w:pPr>
    </w:p>
    <w:p>
      <w:pPr>
        <w:jc w:val="both"/>
        <w:ind w:firstLine="846"/>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46"/>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w:t>
      </w:r>
    </w:p>
    <w:p>
      <w:pPr>
        <w:spacing w:after="0" w:line="2" w:lineRule="exact"/>
        <w:rPr>
          <w:sz w:val="20"/>
          <w:szCs w:val="20"/>
          <w:color w:val="auto"/>
        </w:rPr>
      </w:pPr>
    </w:p>
    <w:p>
      <w:pPr>
        <w:jc w:val="both"/>
        <w:ind w:firstLine="8"/>
        <w:spacing w:after="0" w:line="284" w:lineRule="auto"/>
        <w:tabs>
          <w:tab w:leader="none" w:pos="26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u w:val="single" w:color="auto"/>
          <w:color w:val="auto"/>
        </w:rPr>
        <w:t>ADEA</w:t>
      </w:r>
      <w:r>
        <w:rPr>
          <w:rFonts w:ascii="Arial" w:cs="Arial" w:eastAsia="Arial" w:hAnsi="Arial"/>
          <w:sz w:val="16"/>
          <w:szCs w:val="16"/>
          <w:color w:val="auto"/>
        </w:rPr>
        <w:t>”),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6"/>
          <w:szCs w:val="16"/>
          <w:u w:val="single" w:color="auto"/>
          <w:color w:val="auto"/>
        </w:rPr>
        <w:t>Excluded Claims</w:t>
      </w:r>
      <w:r>
        <w:rPr>
          <w:rFonts w:ascii="Arial" w:cs="Arial" w:eastAsia="Arial" w:hAnsi="Arial"/>
          <w:sz w:val="16"/>
          <w:szCs w:val="16"/>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76" w:lineRule="exact"/>
        <w:rPr>
          <w:sz w:val="20"/>
          <w:szCs w:val="20"/>
          <w:color w:val="auto"/>
        </w:rPr>
      </w:pPr>
    </w:p>
    <w:p>
      <w:pPr>
        <w:jc w:val="both"/>
        <w:ind w:firstLine="846"/>
        <w:spacing w:after="0" w:line="267" w:lineRule="auto"/>
        <w:rPr>
          <w:sz w:val="20"/>
          <w:szCs w:val="20"/>
          <w:color w:val="auto"/>
        </w:rPr>
      </w:pPr>
      <w:r>
        <w:rPr>
          <w:rFonts w:ascii="Arial" w:cs="Arial" w:eastAsia="Arial" w:hAnsi="Arial"/>
          <w:sz w:val="17"/>
          <w:szCs w:val="17"/>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200" w:lineRule="exact"/>
        <w:rPr>
          <w:sz w:val="20"/>
          <w:szCs w:val="20"/>
          <w:color w:val="auto"/>
        </w:rPr>
      </w:pPr>
    </w:p>
    <w:p>
      <w:pPr>
        <w:spacing w:after="0" w:line="223" w:lineRule="exact"/>
        <w:rPr>
          <w:sz w:val="20"/>
          <w:szCs w:val="20"/>
          <w:color w:val="auto"/>
        </w:rPr>
      </w:pPr>
    </w:p>
    <w:p>
      <w:pPr>
        <w:jc w:val="both"/>
        <w:ind w:firstLine="846"/>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46"/>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46"/>
        <w:spacing w:after="0" w:line="26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twenty-one (21)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jc w:val="both"/>
        <w:ind w:firstLine="846"/>
        <w:spacing w:after="0" w:line="264" w:lineRule="auto"/>
        <w:rPr>
          <w:sz w:val="20"/>
          <w:szCs w:val="20"/>
          <w:color w:val="auto"/>
        </w:rPr>
      </w:pPr>
      <w:r>
        <w:rPr>
          <w:rFonts w:ascii="Arial" w:cs="Arial" w:eastAsia="Arial" w:hAnsi="Arial"/>
          <w:sz w:val="18"/>
          <w:szCs w:val="18"/>
          <w:color w:val="auto"/>
        </w:rPr>
        <w:t>In consideration of receiving certain benefits under my Change in Control and Severance Agreement with FibroGen,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__________ (the “</w:t>
      </w:r>
      <w:r>
        <w:rPr>
          <w:rFonts w:ascii="Arial" w:cs="Arial" w:eastAsia="Arial" w:hAnsi="Arial"/>
          <w:sz w:val="18"/>
          <w:szCs w:val="18"/>
          <w:u w:val="single" w:color="auto"/>
          <w:color w:val="auto"/>
        </w:rPr>
        <w:t>Agreement</w:t>
      </w:r>
      <w:r>
        <w:rPr>
          <w:rFonts w:ascii="Arial" w:cs="Arial" w:eastAsia="Arial" w:hAnsi="Arial"/>
          <w:sz w:val="18"/>
          <w:szCs w:val="18"/>
          <w:color w:val="auto"/>
        </w:rPr>
        <w:t>”), I have agreed to sign this Release. I understand that I am not entitled to benefits under the Agreement unless I sign this Release.</w:t>
      </w:r>
    </w:p>
    <w:p>
      <w:pPr>
        <w:spacing w:after="0" w:line="181" w:lineRule="exact"/>
        <w:rPr>
          <w:sz w:val="20"/>
          <w:szCs w:val="20"/>
          <w:color w:val="auto"/>
        </w:rPr>
      </w:pPr>
    </w:p>
    <w:p>
      <w:pPr>
        <w:jc w:val="both"/>
        <w:ind w:firstLine="846"/>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46"/>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w:t>
      </w:r>
    </w:p>
    <w:p>
      <w:pPr>
        <w:spacing w:after="0" w:line="2" w:lineRule="exact"/>
        <w:rPr>
          <w:sz w:val="20"/>
          <w:szCs w:val="20"/>
          <w:color w:val="auto"/>
        </w:rPr>
      </w:pPr>
    </w:p>
    <w:p>
      <w:pPr>
        <w:jc w:val="both"/>
        <w:ind w:firstLine="8"/>
        <w:spacing w:after="0" w:line="266" w:lineRule="auto"/>
        <w:tabs>
          <w:tab w:leader="none" w:pos="26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7"/>
          <w:szCs w:val="17"/>
          <w:u w:val="single" w:color="auto"/>
          <w:color w:val="auto"/>
        </w:rPr>
        <w:t>Excluded Claims</w:t>
      </w:r>
      <w:r>
        <w:rPr>
          <w:rFonts w:ascii="Arial" w:cs="Arial" w:eastAsia="Arial" w:hAnsi="Arial"/>
          <w:sz w:val="17"/>
          <w:szCs w:val="17"/>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89" w:lineRule="exact"/>
        <w:rPr>
          <w:sz w:val="20"/>
          <w:szCs w:val="20"/>
          <w:color w:val="auto"/>
        </w:rPr>
      </w:pPr>
    </w:p>
    <w:p>
      <w:pPr>
        <w:jc w:val="both"/>
        <w:ind w:firstLine="846"/>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46"/>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46"/>
        <w:spacing w:after="0" w:line="25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200" w:lineRule="exact"/>
        <w:rPr>
          <w:sz w:val="20"/>
          <w:szCs w:val="20"/>
          <w:color w:val="auto"/>
        </w:rPr>
      </w:pPr>
    </w:p>
    <w:p>
      <w:pPr>
        <w:spacing w:after="0" w:line="227" w:lineRule="exact"/>
        <w:rPr>
          <w:sz w:val="20"/>
          <w:szCs w:val="20"/>
          <w:color w:val="auto"/>
        </w:rPr>
      </w:pPr>
    </w:p>
    <w:p>
      <w:pPr>
        <w:jc w:val="both"/>
        <w:ind w:firstLine="846"/>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fourteen (14)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Form of Agreement (Non-CEO Executive)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Change in Control and Severance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_______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 (“</w:t>
      </w:r>
      <w:r>
        <w:rPr>
          <w:rFonts w:ascii="Arial" w:cs="Arial" w:eastAsia="Arial" w:hAnsi="Arial"/>
          <w:sz w:val="17"/>
          <w:szCs w:val="17"/>
          <w:u w:val="single" w:color="auto"/>
          <w:color w:val="auto"/>
        </w:rPr>
        <w:t>Executive</w:t>
      </w:r>
      <w:r>
        <w:rPr>
          <w:rFonts w:ascii="Arial" w:cs="Arial" w:eastAsia="Arial" w:hAnsi="Arial"/>
          <w:sz w:val="17"/>
          <w:szCs w:val="17"/>
          <w:color w:val="auto"/>
        </w:rPr>
        <w:t>”) and FibroGen,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This Agreement is intended to provide Executive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certain benefits described herein upon the occurrence of specific events.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400" w:firstLine="885"/>
        <w:spacing w:after="0" w:line="302" w:lineRule="auto"/>
        <w:tabs>
          <w:tab w:leader="none" w:pos="170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It is expected that the Company from time to time will consider the possibility of a Change in Control.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recognizes that such consideration can be a distraction to Executive and can cause Executive to consider alternative employment opportunities. The Board believes that it is in the best interests of the Company and its stockholders to assure that the Company will have the continued dedication and objectivity of Executive, notwithstanding the possibility, threat or occurrence of a Change in Control (as defined below).</w:t>
      </w:r>
    </w:p>
    <w:p>
      <w:pPr>
        <w:spacing w:after="0" w:line="154" w:lineRule="exact"/>
        <w:rPr>
          <w:rFonts w:ascii="Arial" w:cs="Arial" w:eastAsia="Arial" w:hAnsi="Arial"/>
          <w:sz w:val="16"/>
          <w:szCs w:val="16"/>
          <w:color w:val="auto"/>
        </w:rPr>
      </w:pPr>
    </w:p>
    <w:p>
      <w:pPr>
        <w:ind w:right="740" w:firstLine="885"/>
        <w:spacing w:after="0" w:line="277" w:lineRule="auto"/>
        <w:tabs>
          <w:tab w:leader="none" w:pos="16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Company’s Board believes it is in the best interests of the Company and its shareholders to retain Executive and provide incentives to Executive to continue in the service of the Company.</w:t>
      </w:r>
    </w:p>
    <w:p>
      <w:pPr>
        <w:spacing w:after="0" w:line="170" w:lineRule="exact"/>
        <w:rPr>
          <w:rFonts w:ascii="Arial" w:cs="Arial" w:eastAsia="Arial" w:hAnsi="Arial"/>
          <w:sz w:val="18"/>
          <w:szCs w:val="18"/>
          <w:color w:val="auto"/>
        </w:rPr>
      </w:pPr>
    </w:p>
    <w:p>
      <w:pPr>
        <w:ind w:right="20" w:firstLine="885"/>
        <w:spacing w:after="0" w:line="259" w:lineRule="auto"/>
        <w:tabs>
          <w:tab w:leader="none" w:pos="16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Board further believes that it is imperative to provide Executive with certain benefits upon a qualifying termination of Executive’s employment (whether in connection with a Change in Control or otherwise) which benefits are intended to provide Executive with financial security and provide sufficient income and encouragement to Executive to remain with the Company, notwithstanding the possibility of a Change in Control and/or termination of Executive’s employment with the Company under certain circumstances.</w:t>
      </w:r>
    </w:p>
    <w:p>
      <w:pPr>
        <w:spacing w:after="0" w:line="18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Now therefore, in consideration of the mutual promises, covenants and agreements contained herein, and in consideration of the continuing employment of Executive by the Company, the parties hereto agree as follows:</w:t>
      </w:r>
    </w:p>
    <w:p>
      <w:pPr>
        <w:spacing w:after="0" w:line="170" w:lineRule="exact"/>
        <w:rPr>
          <w:sz w:val="20"/>
          <w:szCs w:val="20"/>
          <w:color w:val="auto"/>
        </w:rPr>
      </w:pPr>
    </w:p>
    <w:p>
      <w:pPr>
        <w:ind w:right="60" w:firstLine="885"/>
        <w:spacing w:after="0" w:line="255" w:lineRule="auto"/>
        <w:tabs>
          <w:tab w:leader="none" w:pos="1744"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term of the Agreement shall begin on the Effective Date and shall end on the third anniversary of the Effective Date. Executive’s employment is at-will, which means that the Company may terminate Executive’s employment at any time, with or without advance notice, and with or without Cause. Similarly, Executive may resign Executive’s employment at any time, with or without advance notice. Executive shall not receive any compensation of any kind, including, without limitation, Stock Awards (as defined below), or other equity award vesting acceleration and severance benefits, following Executive’s termination of employment with the Company in connection with a Change in Control, except as expressly provided herein.</w:t>
      </w:r>
    </w:p>
    <w:p>
      <w:pPr>
        <w:spacing w:after="0" w:line="193" w:lineRule="exact"/>
        <w:rPr>
          <w:rFonts w:ascii="Arial" w:cs="Arial" w:eastAsia="Arial" w:hAnsi="Arial"/>
          <w:sz w:val="18"/>
          <w:szCs w:val="18"/>
          <w:color w:val="auto"/>
        </w:rPr>
      </w:pPr>
    </w:p>
    <w:p>
      <w:pPr>
        <w:ind w:left="1760" w:hanging="875"/>
        <w:spacing w:after="0"/>
        <w:tabs>
          <w:tab w:leader="none" w:pos="176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Accrued Wages, Bonus and Vacation, Expenses</w:t>
      </w:r>
      <w:r>
        <w:rPr>
          <w:rFonts w:ascii="Arial" w:cs="Arial" w:eastAsia="Arial" w:hAnsi="Arial"/>
          <w:sz w:val="17"/>
          <w:szCs w:val="17"/>
          <w:color w:val="auto"/>
        </w:rPr>
        <w:t>. Without regard to the reason for, or the timing of, Executive’s termination of</w:t>
      </w:r>
    </w:p>
    <w:p>
      <w:pPr>
        <w:spacing w:after="0" w:line="34" w:lineRule="exact"/>
        <w:rPr>
          <w:rFonts w:ascii="Arial" w:cs="Arial" w:eastAsia="Arial" w:hAnsi="Arial"/>
          <w:sz w:val="17"/>
          <w:szCs w:val="17"/>
          <w:color w:val="auto"/>
        </w:rPr>
      </w:pPr>
    </w:p>
    <w:p>
      <w:pPr>
        <w:ind w:right="60"/>
        <w:spacing w:after="0" w:line="251" w:lineRule="auto"/>
        <w:rPr>
          <w:rFonts w:ascii="Arial" w:cs="Arial" w:eastAsia="Arial" w:hAnsi="Arial"/>
          <w:sz w:val="17"/>
          <w:szCs w:val="17"/>
          <w:color w:val="auto"/>
        </w:rPr>
      </w:pPr>
      <w:r>
        <w:rPr>
          <w:rFonts w:ascii="Arial" w:cs="Arial" w:eastAsia="Arial" w:hAnsi="Arial"/>
          <w:sz w:val="18"/>
          <w:szCs w:val="18"/>
          <w:color w:val="auto"/>
        </w:rPr>
        <w:t>employment: (i) the Company shall pay Executive any unpaid base salary due for periods prior to and including the date of Separation from Service (as defined below); (ii) the Company shall pay Executive all of Executive’s accrued and unused vacation through the date of Separation from Service; (iii) the Company shall pay Executive any earned (as determined and approved by the Board prior to the Separation from Service) but not yet paid incentive bonus from the prior fiscal year, which bonus shall be paid in accordance with the Company’s regular bonus payment process and in any event by no later than March 15 of such subsequent year; and (iv) following submission of proper expense reports by Executive, the Company shall reimburse Executive for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March 15 of the calendar year following the year in which the bonus was earned).</w:t>
      </w:r>
    </w:p>
    <w:p>
      <w:pPr>
        <w:spacing w:after="0" w:line="198" w:lineRule="exact"/>
        <w:rPr>
          <w:rFonts w:ascii="Arial" w:cs="Arial" w:eastAsia="Arial" w:hAnsi="Arial"/>
          <w:sz w:val="17"/>
          <w:szCs w:val="17"/>
          <w:color w:val="auto"/>
        </w:rPr>
      </w:pPr>
    </w:p>
    <w:p>
      <w:pPr>
        <w:ind w:right="780" w:firstLine="885"/>
        <w:spacing w:after="0" w:line="277" w:lineRule="auto"/>
        <w:tabs>
          <w:tab w:leader="none" w:pos="175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Executive shall be eligible for severance benefits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amounts and under the conditions set forth in subsections 3(a), 3(b) and 3(c) below. For the avoidance of doubt,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6" w:name="page227"/>
    <w:bookmarkEnd w:id="226"/>
    <w:p>
      <w:pPr>
        <w:spacing w:after="0" w:line="264" w:lineRule="auto"/>
        <w:rPr>
          <w:sz w:val="20"/>
          <w:szCs w:val="20"/>
          <w:color w:val="auto"/>
        </w:rPr>
      </w:pPr>
      <w:r>
        <w:rPr>
          <w:rFonts w:ascii="Arial" w:cs="Arial" w:eastAsia="Arial" w:hAnsi="Arial"/>
          <w:sz w:val="18"/>
          <w:szCs w:val="18"/>
          <w:color w:val="auto"/>
        </w:rPr>
        <w:t>Executive shall not receive Severance Benefits under more than one such subsection. Notwithstanding any other provision hereof, no Severance Benefits shall be provided upon termination of employment unless such termination constitutes a “separation from service” (within the meaning of Treasury Regulation Section 1.409A-1(h),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81" w:lineRule="exact"/>
        <w:rPr>
          <w:sz w:val="20"/>
          <w:szCs w:val="20"/>
          <w:color w:val="auto"/>
        </w:rPr>
      </w:pPr>
    </w:p>
    <w:p>
      <w:pPr>
        <w:ind w:right="120" w:firstLine="1763"/>
        <w:spacing w:after="0" w:line="257" w:lineRule="auto"/>
        <w:tabs>
          <w:tab w:leader="none" w:pos="260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Benefits upon a Termination in Connection with or Following a Change in Control</w:t>
      </w:r>
      <w:r>
        <w:rPr>
          <w:rFonts w:ascii="Arial" w:cs="Arial" w:eastAsia="Arial" w:hAnsi="Arial"/>
          <w:sz w:val="18"/>
          <w:szCs w:val="18"/>
          <w:color w:val="auto"/>
        </w:rPr>
        <w:t>. If Executive’s employment is terminated by the Company without Cause (as defined below), and other than as a result of death or disability, or Executive resigns his or her employment with the Company for Good Reason (as defined below) in connection with or within twelve (12) months following the effective date of a Change in Control, and provided that Executive delivers an effective release of claims as required under Section 4 below, then Executive shall be entitled to the following Severance Benefits:</w:t>
      </w:r>
    </w:p>
    <w:p>
      <w:pPr>
        <w:spacing w:after="0" w:line="188" w:lineRule="exact"/>
        <w:rPr>
          <w:rFonts w:ascii="Arial" w:cs="Arial" w:eastAsia="Arial" w:hAnsi="Arial"/>
          <w:sz w:val="18"/>
          <w:szCs w:val="18"/>
          <w:color w:val="auto"/>
        </w:rPr>
      </w:pPr>
    </w:p>
    <w:p>
      <w:pPr>
        <w:ind w:right="260" w:firstLine="3080"/>
        <w:spacing w:after="0" w:line="279" w:lineRule="auto"/>
        <w:tabs>
          <w:tab w:leader="none" w:pos="389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Company shall pay Executive an amount equal to the sum of (A) eighteen (18) months of Executive’s then current base salary and (B) one (1.0) times Executive’s then current target bonus, ignoring any decrease in base salary or target bonus that forms the basis for Good Reason, less all applicable withholdings and deductions, paid over the eighteen (18) month period immediately following the Separation from Service in accordance with the Company’s regular payroll practices, on the schedule described in Section 4 below.</w:t>
      </w:r>
    </w:p>
    <w:p>
      <w:pPr>
        <w:spacing w:after="0" w:line="171" w:lineRule="exact"/>
        <w:rPr>
          <w:rFonts w:ascii="Arial" w:cs="Arial" w:eastAsia="Arial" w:hAnsi="Arial"/>
          <w:sz w:val="17"/>
          <w:szCs w:val="17"/>
          <w:color w:val="auto"/>
        </w:rPr>
      </w:pPr>
    </w:p>
    <w:p>
      <w:pPr>
        <w:ind w:right="40" w:firstLine="3080"/>
        <w:spacing w:after="0" w:line="287" w:lineRule="auto"/>
        <w:tabs>
          <w:tab w:leader="none" w:pos="39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Company shall pay Executive’s expenses for continuing his or her health care coverage and the coverage of his or her dependents who are covered at the time of the Executive’s Separation from Service (the “</w:t>
      </w:r>
      <w:r>
        <w:rPr>
          <w:rFonts w:ascii="Arial" w:cs="Arial" w:eastAsia="Arial" w:hAnsi="Arial"/>
          <w:sz w:val="16"/>
          <w:szCs w:val="16"/>
          <w:u w:val="single" w:color="auto"/>
          <w:color w:val="auto"/>
        </w:rPr>
        <w:t>COBRA Premiums</w:t>
      </w:r>
      <w:r>
        <w:rPr>
          <w:rFonts w:ascii="Arial" w:cs="Arial" w:eastAsia="Arial" w:hAnsi="Arial"/>
          <w:sz w:val="16"/>
          <w:szCs w:val="16"/>
          <w:color w:val="auto"/>
        </w:rPr>
        <w:t>”) under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(or another state law equivalent), as applicable, for a period ending on the earlier of the eighteen (18)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family members elect health care continuation coverage (the “</w:t>
      </w:r>
      <w:r>
        <w:rPr>
          <w:rFonts w:ascii="Arial" w:cs="Arial" w:eastAsia="Arial" w:hAnsi="Arial"/>
          <w:sz w:val="16"/>
          <w:szCs w:val="16"/>
          <w:u w:val="single" w:color="auto"/>
          <w:color w:val="auto"/>
        </w:rPr>
        <w:t>Health Care Benefit Payment</w:t>
      </w:r>
      <w:r>
        <w:rPr>
          <w:rFonts w:ascii="Arial" w:cs="Arial" w:eastAsia="Arial" w:hAnsi="Arial"/>
          <w:sz w:val="16"/>
          <w:szCs w:val="16"/>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168" w:lineRule="exact"/>
        <w:rPr>
          <w:rFonts w:ascii="Arial" w:cs="Arial" w:eastAsia="Arial" w:hAnsi="Arial"/>
          <w:sz w:val="16"/>
          <w:szCs w:val="16"/>
          <w:color w:val="auto"/>
        </w:rPr>
      </w:pPr>
    </w:p>
    <w:p>
      <w:pPr>
        <w:ind w:left="4000" w:hanging="920"/>
        <w:spacing w:after="0"/>
        <w:tabs>
          <w:tab w:leader="none" w:pos="40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outstanding Stock Awards then held by Executive shall become fully vested and exercisable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all of the shares subject thereto effective immediately prior to Executive’s Separation from Service under this Section 3(a).</w:t>
      </w:r>
    </w:p>
    <w:p>
      <w:pPr>
        <w:spacing w:after="0" w:line="21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Notwithstanding the foregoing, in the event that Executive would be entitled to a greater level of severance benefits under the terms and conditions of a severance plan or policy provided by the Company or its successor to other Company employees being terminated in connection with or within twelve (12) months following a Change in Control but for the existence of this Agreement (the “</w:t>
      </w:r>
      <w:r>
        <w:rPr>
          <w:rFonts w:ascii="Arial" w:cs="Arial" w:eastAsia="Arial" w:hAnsi="Arial"/>
          <w:sz w:val="16"/>
          <w:szCs w:val="16"/>
          <w:u w:val="single" w:color="auto"/>
          <w:color w:val="auto"/>
        </w:rPr>
        <w:t>Change in Control Benefits</w:t>
      </w:r>
      <w:r>
        <w:rPr>
          <w:rFonts w:ascii="Arial" w:cs="Arial" w:eastAsia="Arial" w:hAnsi="Arial"/>
          <w:sz w:val="16"/>
          <w:szCs w:val="16"/>
          <w:color w:val="auto"/>
        </w:rPr>
        <w:t>”), Executive shall be entitled to receive the greater of the severance benefits under this Section 3(a) or the Change in Control Benefits, subject to the applicable terms and conditions thereof.</w:t>
      </w:r>
    </w:p>
    <w:p>
      <w:pPr>
        <w:spacing w:after="0" w:line="154" w:lineRule="exact"/>
        <w:rPr>
          <w:sz w:val="20"/>
          <w:szCs w:val="20"/>
          <w:color w:val="auto"/>
        </w:rPr>
      </w:pPr>
    </w:p>
    <w:p>
      <w:pPr>
        <w:ind w:right="20" w:firstLine="1763"/>
        <w:spacing w:after="0" w:line="257" w:lineRule="auto"/>
        <w:tabs>
          <w:tab w:leader="none" w:pos="261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Benefits upon a Termination in Connection with Change in Chief Executive Officer</w:t>
      </w:r>
      <w:r>
        <w:rPr>
          <w:rFonts w:ascii="Arial" w:cs="Arial" w:eastAsia="Arial" w:hAnsi="Arial"/>
          <w:sz w:val="18"/>
          <w:szCs w:val="18"/>
          <w:color w:val="auto"/>
        </w:rPr>
        <w:t>. If Executive’s employment is terminated by the Company without Cause, and other than as a result of death or disability, or Executive resigns his or her employment with the Company for Good Reason within twelve (12) months following the start date of a non-interim Chief Executive Officer of the Company who is not Chief Executive Officer of the Company as of the Effective Date, and provided that Executive delivers an effective release of claims as required under Section 4 below, then Executive shall be entitled to the following severance benefits:</w:t>
      </w:r>
    </w:p>
    <w:p>
      <w:pPr>
        <w:spacing w:after="0" w:line="188" w:lineRule="exact"/>
        <w:rPr>
          <w:rFonts w:ascii="Arial" w:cs="Arial" w:eastAsia="Arial" w:hAnsi="Arial"/>
          <w:sz w:val="18"/>
          <w:szCs w:val="18"/>
          <w:color w:val="auto"/>
        </w:rPr>
      </w:pPr>
    </w:p>
    <w:p>
      <w:pPr>
        <w:ind w:right="60" w:firstLine="3080"/>
        <w:spacing w:after="0" w:line="254" w:lineRule="auto"/>
        <w:tabs>
          <w:tab w:leader="none" w:pos="389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shall pay Executive an amount equal to the sum of (A) twelve (12) months of Executive’s then current base salary and (B) a pro rata portion of Executive’s then current target bonus (based on the number of days during the year in which the Separation from Service occurred that Executive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7" w:name="page228"/>
    <w:bookmarkEnd w:id="227"/>
    <w:p>
      <w:pPr>
        <w:ind w:right="160"/>
        <w:spacing w:after="0" w:line="264" w:lineRule="auto"/>
        <w:rPr>
          <w:sz w:val="20"/>
          <w:szCs w:val="20"/>
          <w:color w:val="auto"/>
        </w:rPr>
      </w:pPr>
      <w:r>
        <w:rPr>
          <w:rFonts w:ascii="Arial" w:cs="Arial" w:eastAsia="Arial" w:hAnsi="Arial"/>
          <w:sz w:val="18"/>
          <w:szCs w:val="18"/>
          <w:color w:val="auto"/>
        </w:rPr>
        <w:t>was employed by the Company), ignoring any decrease in base salary or target bonus that forms the basis for Good Reason, less all applicable withholdings and deductions, over the twelve (12) month period immediately following the Separation from Service in accordance with the Company’s regular payroll practices, on the schedule described in Section 4 below.</w:t>
      </w:r>
    </w:p>
    <w:p>
      <w:pPr>
        <w:spacing w:after="0" w:line="181" w:lineRule="exact"/>
        <w:rPr>
          <w:sz w:val="20"/>
          <w:szCs w:val="20"/>
          <w:color w:val="auto"/>
        </w:rPr>
      </w:pPr>
    </w:p>
    <w:p>
      <w:pPr>
        <w:ind w:left="3940" w:hanging="860"/>
        <w:spacing w:after="0"/>
        <w:tabs>
          <w:tab w:leader="none" w:pos="394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The Company shall pay Executive’s COBRA Premiums for a period ending on the earlier of the twelve</w:t>
      </w:r>
    </w:p>
    <w:p>
      <w:pPr>
        <w:spacing w:after="0" w:line="46" w:lineRule="exact"/>
        <w:rPr>
          <w:rFonts w:ascii="Arial" w:cs="Arial" w:eastAsia="Arial" w:hAnsi="Arial"/>
          <w:sz w:val="16"/>
          <w:szCs w:val="16"/>
          <w:color w:val="auto"/>
        </w:rPr>
      </w:pPr>
    </w:p>
    <w:p>
      <w:pPr>
        <w:ind w:firstLine="8"/>
        <w:spacing w:after="0" w:line="287" w:lineRule="auto"/>
        <w:tabs>
          <w:tab w:leader="none" w:pos="3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170" w:lineRule="exact"/>
        <w:rPr>
          <w:rFonts w:ascii="Arial" w:cs="Arial" w:eastAsia="Arial" w:hAnsi="Arial"/>
          <w:sz w:val="16"/>
          <w:szCs w:val="16"/>
          <w:color w:val="auto"/>
        </w:rPr>
      </w:pPr>
    </w:p>
    <w:p>
      <w:pPr>
        <w:ind w:left="4000" w:hanging="920"/>
        <w:spacing w:after="0"/>
        <w:tabs>
          <w:tab w:leader="none" w:pos="400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All outstanding Stock Awards then held by Executive shall become vested and exercisable effective</w:t>
      </w:r>
    </w:p>
    <w:p>
      <w:pPr>
        <w:spacing w:after="0" w:line="46" w:lineRule="exact"/>
        <w:rPr>
          <w:rFonts w:ascii="Arial" w:cs="Arial" w:eastAsia="Arial" w:hAnsi="Arial"/>
          <w:sz w:val="16"/>
          <w:szCs w:val="16"/>
          <w:color w:val="auto"/>
        </w:rPr>
      </w:pPr>
    </w:p>
    <w:p>
      <w:pPr>
        <w:ind w:right="300"/>
        <w:spacing w:after="0" w:line="255" w:lineRule="auto"/>
        <w:rPr>
          <w:rFonts w:ascii="Arial" w:cs="Arial" w:eastAsia="Arial" w:hAnsi="Arial"/>
          <w:sz w:val="16"/>
          <w:szCs w:val="16"/>
          <w:color w:val="auto"/>
        </w:rPr>
      </w:pPr>
      <w:r>
        <w:rPr>
          <w:rFonts w:ascii="Arial" w:cs="Arial" w:eastAsia="Arial" w:hAnsi="Arial"/>
          <w:sz w:val="18"/>
          <w:szCs w:val="18"/>
          <w:color w:val="auto"/>
        </w:rPr>
        <w:t>immediately prior to Executive’s Separation from Service under this Section 3(b) with respect to the portion of the shares subject thereto that would have vested during the twelve (12) month period following Executive’s termination of employment, had Executive remained employed by the Company during such period.</w:t>
      </w:r>
    </w:p>
    <w:p>
      <w:pPr>
        <w:spacing w:after="0" w:line="190" w:lineRule="exact"/>
        <w:rPr>
          <w:rFonts w:ascii="Arial" w:cs="Arial" w:eastAsia="Arial" w:hAnsi="Arial"/>
          <w:sz w:val="16"/>
          <w:szCs w:val="16"/>
          <w:color w:val="auto"/>
        </w:rPr>
      </w:pPr>
    </w:p>
    <w:p>
      <w:pPr>
        <w:jc w:val="both"/>
        <w:ind w:right="160" w:firstLine="1763"/>
        <w:spacing w:after="0" w:line="312" w:lineRule="auto"/>
        <w:tabs>
          <w:tab w:leader="none" w:pos="2603"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Benefits Upon Certain Other Terminations</w:t>
      </w:r>
      <w:r>
        <w:rPr>
          <w:rFonts w:ascii="Arial" w:cs="Arial" w:eastAsia="Arial" w:hAnsi="Arial"/>
          <w:sz w:val="16"/>
          <w:szCs w:val="16"/>
          <w:color w:val="auto"/>
        </w:rPr>
        <w:t>. If Executive’s employment is terminated by the Company without Cause, and other than as a result of death or disability, under circumstances other than those set forth in in the foregoing provisions of this Section 3, and provided that Executive delivers an effective release of claims as required under Section 4 below, then Executive shall be entitled to the following severance benefits:</w:t>
      </w:r>
    </w:p>
    <w:p>
      <w:pPr>
        <w:spacing w:after="0" w:line="146" w:lineRule="exact"/>
        <w:rPr>
          <w:rFonts w:ascii="Arial" w:cs="Arial" w:eastAsia="Arial" w:hAnsi="Arial"/>
          <w:sz w:val="16"/>
          <w:szCs w:val="16"/>
          <w:color w:val="auto"/>
        </w:rPr>
      </w:pPr>
    </w:p>
    <w:p>
      <w:pPr>
        <w:jc w:val="both"/>
        <w:ind w:right="120" w:firstLine="3080"/>
        <w:spacing w:after="0" w:line="264" w:lineRule="auto"/>
        <w:tabs>
          <w:tab w:leader="none" w:pos="389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Company shall pay Executive an amount equal to twelve (12) months of Executive’s then current base salary, less all applicable withholdings and deductions, paid over such twelve (12) month period immediately following the Separation from Service in accordance with the Company’s regular payroll practices, on the schedule described in Section 4 below.</w:t>
      </w:r>
    </w:p>
    <w:p>
      <w:pPr>
        <w:spacing w:after="0" w:line="181" w:lineRule="exact"/>
        <w:rPr>
          <w:sz w:val="20"/>
          <w:szCs w:val="20"/>
          <w:color w:val="auto"/>
        </w:rPr>
      </w:pPr>
    </w:p>
    <w:p>
      <w:pPr>
        <w:ind w:left="3940" w:hanging="860"/>
        <w:spacing w:after="0"/>
        <w:tabs>
          <w:tab w:leader="none" w:pos="39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Company shall pay Executive’s COBRA Premiums for a period ending on the earlier of the twelve</w:t>
      </w:r>
    </w:p>
    <w:p>
      <w:pPr>
        <w:spacing w:after="0" w:line="46" w:lineRule="exact"/>
        <w:rPr>
          <w:rFonts w:ascii="Arial" w:cs="Arial" w:eastAsia="Arial" w:hAnsi="Arial"/>
          <w:sz w:val="16"/>
          <w:szCs w:val="16"/>
          <w:color w:val="auto"/>
        </w:rPr>
      </w:pPr>
    </w:p>
    <w:p>
      <w:pPr>
        <w:ind w:firstLine="8"/>
        <w:spacing w:after="0" w:line="281" w:lineRule="auto"/>
        <w:tabs>
          <w:tab w:leader="none" w:pos="34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28" w:name="page229"/>
    <w:bookmarkEnd w:id="228"/>
    <w:p>
      <w:pPr>
        <w:ind w:left="-20" w:firstLine="885"/>
        <w:spacing w:after="0" w:line="285" w:lineRule="auto"/>
        <w:tabs>
          <w:tab w:leader="none" w:pos="173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Release Prior to Payment of Severance Benefits</w:t>
      </w:r>
      <w:r>
        <w:rPr>
          <w:rFonts w:ascii="Arial" w:cs="Arial" w:eastAsia="Arial" w:hAnsi="Arial"/>
          <w:sz w:val="16"/>
          <w:szCs w:val="16"/>
          <w:color w:val="auto"/>
        </w:rPr>
        <w:t xml:space="preserve">. Prior to the payment of any of the Severance Benefits, Executive shall execute, and allow to become effective, a customary and standard employment release agreement in substantially the form attached hereto as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E</w:t>
      </w:r>
      <w:r>
        <w:rPr>
          <w:rFonts w:ascii="Arial" w:cs="Arial" w:eastAsia="Arial" w:hAnsi="Arial"/>
          <w:sz w:val="11"/>
          <w:szCs w:val="11"/>
          <w:b w:val="1"/>
          <w:bCs w:val="1"/>
          <w:u w:val="single" w:color="auto"/>
          <w:color w:val="auto"/>
        </w:rPr>
        <w:t>XHIBIT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as applicable, releasing the Company (and its successor) from any and all claims Executive may have against such entities related to or arising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his or her employment and the terms of such employment and termination thereof (the “</w:t>
      </w:r>
      <w:r>
        <w:rPr>
          <w:rFonts w:ascii="Arial" w:cs="Arial" w:eastAsia="Arial" w:hAnsi="Arial"/>
          <w:sz w:val="16"/>
          <w:szCs w:val="16"/>
          <w:u w:val="single" w:color="auto"/>
          <w:color w:val="auto"/>
        </w:rPr>
        <w:t>Release</w:t>
      </w:r>
      <w:r>
        <w:rPr>
          <w:rFonts w:ascii="Arial" w:cs="Arial" w:eastAsia="Arial" w:hAnsi="Arial"/>
          <w:sz w:val="16"/>
          <w:szCs w:val="16"/>
          <w:color w:val="auto"/>
        </w:rPr>
        <w:t>”) within the time frame set forth therein, but not later than sixty (60) days following Executive’s Separation from Service (the “</w:t>
      </w:r>
      <w:r>
        <w:rPr>
          <w:rFonts w:ascii="Arial" w:cs="Arial" w:eastAsia="Arial" w:hAnsi="Arial"/>
          <w:sz w:val="16"/>
          <w:szCs w:val="16"/>
          <w:u w:val="single" w:color="auto"/>
          <w:color w:val="auto"/>
        </w:rPr>
        <w:t>Release Effective Date</w:t>
      </w:r>
      <w:r>
        <w:rPr>
          <w:rFonts w:ascii="Arial" w:cs="Arial" w:eastAsia="Arial" w:hAnsi="Arial"/>
          <w:sz w:val="16"/>
          <w:szCs w:val="16"/>
          <w:color w:val="auto"/>
        </w:rPr>
        <w:t>”). Such Release shall specifically relate to all of Executive’s rights and claims in existence at the time of such execution and shall confirm Executive’s continuing obligations to the Company (including but not limited to obligations under any confidentiality and/or non-solicitation agreement with the Company). No Severance Benefits will be paid prior to the Release Effective Date. Within five (5) days following the Release Effective Date, the Company will pay Executive the Severance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Severance Benefits constitute “deferred compensation” under Section 409A (defined below), then, solely to the extent necessary to avoid the incurrence of the adverse personal tax consequences under Section 409A, no Severance Benefits will be paid prior to the sixtieth (60th) day following Executive’s Separation from Service. On the sixtieth (60th) day following the date of Separation from Service, the Company will pay to Executive in a lump sum the applicable Severance Benefits that Executive would otherwise have received on or prior to such date, with the balance of the Severance Benefits being paid as originally scheduled.</w:t>
      </w:r>
    </w:p>
    <w:p>
      <w:pPr>
        <w:spacing w:after="0" w:line="177" w:lineRule="exact"/>
        <w:rPr>
          <w:rFonts w:ascii="Arial" w:cs="Arial" w:eastAsia="Arial" w:hAnsi="Arial"/>
          <w:sz w:val="16"/>
          <w:szCs w:val="16"/>
          <w:color w:val="auto"/>
        </w:rPr>
      </w:pPr>
    </w:p>
    <w:p>
      <w:pPr>
        <w:ind w:left="-20" w:firstLine="885"/>
        <w:spacing w:after="0" w:line="286" w:lineRule="auto"/>
        <w:tabs>
          <w:tab w:leader="none" w:pos="1731"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If any payment or benefit (including payments and benefits pursuant to this Agreement) that Executive would receive in connection with a Change in Control from the Company or otherwise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u w:val="single" w:color="auto"/>
          <w:color w:val="auto"/>
        </w:rPr>
        <w:t>Full</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or (2) payment of only a part of the Transaction Payment so that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stockholder be liable to Executive for any amounts not paid as a result of the operation of this Section 5.</w:t>
      </w:r>
    </w:p>
    <w:p>
      <w:pPr>
        <w:spacing w:after="0" w:line="168" w:lineRule="exact"/>
        <w:rPr>
          <w:rFonts w:ascii="Arial" w:cs="Arial" w:eastAsia="Arial" w:hAnsi="Arial"/>
          <w:sz w:val="16"/>
          <w:szCs w:val="16"/>
          <w:color w:val="auto"/>
        </w:rPr>
      </w:pPr>
    </w:p>
    <w:p>
      <w:pPr>
        <w:ind w:left="-20" w:right="80" w:firstLine="1763"/>
        <w:spacing w:after="0" w:line="257" w:lineRule="auto"/>
        <w:tabs>
          <w:tab w:leader="none" w:pos="258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professional firm engaged by the Company for general tax purposes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8" w:lineRule="exact"/>
        <w:rPr>
          <w:rFonts w:ascii="Arial" w:cs="Arial" w:eastAsia="Arial" w:hAnsi="Arial"/>
          <w:sz w:val="18"/>
          <w:szCs w:val="18"/>
          <w:color w:val="auto"/>
        </w:rPr>
      </w:pPr>
    </w:p>
    <w:p>
      <w:pPr>
        <w:ind w:left="-20" w:right="60" w:firstLine="1763"/>
        <w:spacing w:after="0" w:line="284" w:lineRule="auto"/>
        <w:tabs>
          <w:tab w:leader="none" w:pos="259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8" w:right="259" w:bottom="1440" w:gutter="0" w:footer="0" w:header="0"/>
        </w:sectPr>
      </w:pPr>
    </w:p>
    <w:bookmarkStart w:id="229" w:name="page230"/>
    <w:bookmarkEnd w:id="229"/>
    <w:p>
      <w:pPr>
        <w:ind w:left="1760" w:hanging="875"/>
        <w:spacing w:after="0"/>
        <w:tabs>
          <w:tab w:leader="none" w:pos="176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763"/>
        <w:spacing w:after="0" w:line="276" w:lineRule="auto"/>
        <w:tabs>
          <w:tab w:leader="none" w:pos="2603" w:val="left"/>
        </w:tabs>
        <w:numPr>
          <w:ilvl w:val="2"/>
          <w:numId w:val="154"/>
        </w:numPr>
        <w:rPr>
          <w:rFonts w:ascii="Arial" w:cs="Arial" w:eastAsia="Arial" w:hAnsi="Arial"/>
          <w:sz w:val="17"/>
          <w:szCs w:val="17"/>
          <w:color w:val="auto"/>
        </w:rPr>
      </w:pPr>
      <w:r>
        <w:rPr>
          <w:rFonts w:ascii="Arial" w:cs="Arial" w:eastAsia="Arial" w:hAnsi="Arial"/>
          <w:sz w:val="17"/>
          <w:szCs w:val="17"/>
          <w:u w:val="single" w:color="auto"/>
          <w:color w:val="auto"/>
        </w:rPr>
        <w:t>Company’s Successors</w:t>
      </w:r>
      <w:r>
        <w:rPr>
          <w:rFonts w:ascii="Arial" w:cs="Arial" w:eastAsia="Arial" w:hAnsi="Arial"/>
          <w:sz w:val="17"/>
          <w:szCs w:val="17"/>
          <w:color w:val="auto"/>
        </w:rPr>
        <w:t>. Any successor to the Company (whether direct or indirect and whether by 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w:t>
      </w:r>
    </w:p>
    <w:p>
      <w:pPr>
        <w:spacing w:after="0" w:line="172" w:lineRule="exact"/>
        <w:rPr>
          <w:rFonts w:ascii="Arial" w:cs="Arial" w:eastAsia="Arial" w:hAnsi="Arial"/>
          <w:sz w:val="17"/>
          <w:szCs w:val="17"/>
          <w:color w:val="auto"/>
        </w:rPr>
      </w:pPr>
    </w:p>
    <w:p>
      <w:pPr>
        <w:ind w:right="80" w:firstLine="1763"/>
        <w:spacing w:after="0" w:line="259" w:lineRule="auto"/>
        <w:tabs>
          <w:tab w:leader="none" w:pos="2613" w:val="left"/>
        </w:tabs>
        <w:numPr>
          <w:ilvl w:val="2"/>
          <w:numId w:val="154"/>
        </w:numPr>
        <w:rPr>
          <w:rFonts w:ascii="Arial" w:cs="Arial" w:eastAsia="Arial" w:hAnsi="Arial"/>
          <w:sz w:val="18"/>
          <w:szCs w:val="18"/>
          <w:color w:val="auto"/>
        </w:rPr>
      </w:pPr>
      <w:r>
        <w:rPr>
          <w:rFonts w:ascii="Arial" w:cs="Arial" w:eastAsia="Arial" w:hAnsi="Arial"/>
          <w:sz w:val="18"/>
          <w:szCs w:val="18"/>
          <w:u w:val="single" w:color="auto"/>
          <w:color w:val="auto"/>
        </w:rPr>
        <w:t>Executive’s Successors</w:t>
      </w:r>
      <w:r>
        <w:rPr>
          <w:rFonts w:ascii="Arial" w:cs="Arial" w:eastAsia="Arial" w:hAnsi="Arial"/>
          <w:sz w:val="18"/>
          <w:szCs w:val="18"/>
          <w:color w:val="auto"/>
        </w:rPr>
        <w:t>. Without the written consent of the Company, Executive shall not assign or transfer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rFonts w:ascii="Arial" w:cs="Arial" w:eastAsia="Arial" w:hAnsi="Arial"/>
          <w:sz w:val="18"/>
          <w:szCs w:val="18"/>
          <w:color w:val="auto"/>
        </w:rPr>
      </w:pPr>
    </w:p>
    <w:p>
      <w:pPr>
        <w:ind w:left="1760" w:hanging="875"/>
        <w:spacing w:after="0"/>
        <w:tabs>
          <w:tab w:leader="none" w:pos="176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63"/>
        <w:spacing w:after="0" w:line="302" w:lineRule="auto"/>
        <w:tabs>
          <w:tab w:leader="none" w:pos="2603" w:val="left"/>
        </w:tabs>
        <w:numPr>
          <w:ilvl w:val="2"/>
          <w:numId w:val="15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54" w:lineRule="exact"/>
        <w:rPr>
          <w:rFonts w:ascii="Arial" w:cs="Arial" w:eastAsia="Arial" w:hAnsi="Arial"/>
          <w:sz w:val="16"/>
          <w:szCs w:val="16"/>
          <w:color w:val="auto"/>
        </w:rPr>
      </w:pPr>
    </w:p>
    <w:p>
      <w:pPr>
        <w:ind w:right="20" w:firstLine="1763"/>
        <w:spacing w:after="0" w:line="342" w:lineRule="auto"/>
        <w:tabs>
          <w:tab w:leader="none" w:pos="2613" w:val="left"/>
        </w:tabs>
        <w:numPr>
          <w:ilvl w:val="2"/>
          <w:numId w:val="154"/>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with or without Cause or by Executive as a result of a voluntary resignation for any reason shall be communicated by a notice of termination to the other party hereto given in accordance with this Agreement.</w:t>
      </w:r>
    </w:p>
    <w:p>
      <w:pPr>
        <w:spacing w:after="0" w:line="123" w:lineRule="exact"/>
        <w:rPr>
          <w:rFonts w:ascii="Arial" w:cs="Arial" w:eastAsia="Arial" w:hAnsi="Arial"/>
          <w:sz w:val="16"/>
          <w:szCs w:val="16"/>
          <w:color w:val="auto"/>
        </w:rPr>
      </w:pPr>
    </w:p>
    <w:p>
      <w:pPr>
        <w:ind w:right="40" w:firstLine="885"/>
        <w:spacing w:after="0" w:line="284" w:lineRule="auto"/>
        <w:tabs>
          <w:tab w:leader="none" w:pos="1751"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The Company and Executive shall attempt to settle any disputes arising in connection with this Agreement through good faith consultation. In the event that Executive and the Company are not able to resolve any such disputes within fifteen (15) days after notification in writing to the other, any dispute or claim arising out of or in connection with this Agreement will be finally settled by binding arbitration in San Francisco, California in accordance with the rules of the American Arbitration Association by one arbitrator mutually agreed upon by the parties. The arbitrator will apply California law, without reference to rules of conflicts of law or rules of statutory arbitration, to the resolution of any dispute. Except as set forth in Section 10(h) below, the arbitrator shall not have authority to modify the terms of this Agreement. The Company shall pay the costs of the arbitration</w:t>
      </w:r>
    </w:p>
    <w:p>
      <w:pPr>
        <w:spacing w:after="0" w:line="4"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proceeding. Each party shall, unless otherwise determined by the arbitrator, bear its or his or her own attorneys’ fees and expenses, provided however that if Executive prevails in an arbitration proceeding, the Company shall reimburse Executive for his or her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spacing w:after="0" w:line="191" w:lineRule="exact"/>
        <w:rPr>
          <w:rFonts w:ascii="Arial" w:cs="Arial" w:eastAsia="Arial" w:hAnsi="Arial"/>
          <w:sz w:val="16"/>
          <w:szCs w:val="16"/>
          <w:color w:val="auto"/>
        </w:rPr>
      </w:pPr>
    </w:p>
    <w:p>
      <w:pPr>
        <w:ind w:left="1760" w:hanging="875"/>
        <w:spacing w:after="0"/>
        <w:tabs>
          <w:tab w:leader="none" w:pos="176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shall have the following meanings:</w:t>
      </w:r>
    </w:p>
    <w:p>
      <w:pPr>
        <w:spacing w:after="0" w:line="225" w:lineRule="exact"/>
        <w:rPr>
          <w:rFonts w:ascii="Arial" w:cs="Arial" w:eastAsia="Arial" w:hAnsi="Arial"/>
          <w:sz w:val="18"/>
          <w:szCs w:val="18"/>
          <w:color w:val="auto"/>
        </w:rPr>
      </w:pPr>
    </w:p>
    <w:p>
      <w:pPr>
        <w:ind w:left="2620" w:hanging="857"/>
        <w:spacing w:after="0"/>
        <w:tabs>
          <w:tab w:leader="none" w:pos="2620" w:val="left"/>
        </w:tabs>
        <w:numPr>
          <w:ilvl w:val="2"/>
          <w:numId w:val="15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for termination of Executive’s employment will exist if Executive is terminated by the Company for any</w:t>
      </w:r>
    </w:p>
    <w:p>
      <w:pPr>
        <w:spacing w:after="0" w:line="46"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of the following reasons: (i) Executive’s willful failure substantially to perform his or her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his or her relationship with the Company; or</w:t>
      </w:r>
    </w:p>
    <w:p>
      <w:pPr>
        <w:spacing w:after="0" w:line="2" w:lineRule="exact"/>
        <w:rPr>
          <w:rFonts w:ascii="Arial" w:cs="Arial" w:eastAsia="Arial" w:hAnsi="Arial"/>
          <w:sz w:val="16"/>
          <w:szCs w:val="16"/>
          <w:color w:val="auto"/>
        </w:rPr>
      </w:pPr>
    </w:p>
    <w:p>
      <w:pPr>
        <w:ind w:right="140" w:firstLine="8"/>
        <w:spacing w:after="0" w:line="248" w:lineRule="auto"/>
        <w:tabs>
          <w:tab w:leader="none" w:pos="3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Executive’s willful breach of any of his or her obligations under any written agreement or covenant with the Company. The determination as to whether Executive is being terminated for Cause shall be made in good faith by the Company and shall be final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0" w:name="page231"/>
    <w:bookmarkEnd w:id="230"/>
    <w:p>
      <w:pPr>
        <w:ind w:right="20"/>
        <w:spacing w:after="0" w:line="264" w:lineRule="auto"/>
        <w:rPr>
          <w:sz w:val="20"/>
          <w:szCs w:val="20"/>
          <w:color w:val="auto"/>
        </w:rPr>
      </w:pPr>
      <w:r>
        <w:rPr>
          <w:rFonts w:ascii="Arial" w:cs="Arial" w:eastAsia="Arial" w:hAnsi="Arial"/>
          <w:sz w:val="18"/>
          <w:szCs w:val="18"/>
          <w:color w:val="auto"/>
        </w:rPr>
        <w:t>and binding on Executive. The foregoing definition does not in any way limit the Company’s ability to terminate Executive’s employment relationship at any time as provided in Sections 1 and 10(d) of this Agreement, and the term “Company” will be interpreted to include any subsidiary, parent or affiliate of the Company, as appropriate.</w:t>
      </w:r>
    </w:p>
    <w:p>
      <w:pPr>
        <w:spacing w:after="0" w:line="181" w:lineRule="exact"/>
        <w:rPr>
          <w:sz w:val="20"/>
          <w:szCs w:val="20"/>
          <w:color w:val="auto"/>
        </w:rPr>
      </w:pPr>
    </w:p>
    <w:p>
      <w:pPr>
        <w:ind w:right="20" w:firstLine="1763"/>
        <w:spacing w:after="0" w:line="218" w:lineRule="exact"/>
        <w:tabs>
          <w:tab w:leader="none" w:pos="2613"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first to occur of any of the following transactions that also constitutes a change in the ownership or effective control of the Company, or a change in the ownership of a substantial portion of the Company’s assets, as described in Treasury Regulation Section 1.409A</w:t>
      </w:r>
      <w:r>
        <w:rPr>
          <w:rFonts w:ascii="MS PGothic" w:cs="MS PGothic" w:eastAsia="MS PGothic" w:hAnsi="MS PGothic"/>
          <w:sz w:val="17"/>
          <w:szCs w:val="17"/>
          <w:color w:val="auto"/>
        </w:rPr>
        <w:t>‑</w:t>
      </w:r>
      <w:r>
        <w:rPr>
          <w:rFonts w:ascii="Arial" w:cs="Arial" w:eastAsia="Arial" w:hAnsi="Arial"/>
          <w:sz w:val="17"/>
          <w:szCs w:val="17"/>
          <w:color w:val="auto"/>
        </w:rPr>
        <w:t>3(i)(5): (A) a merger or consolidation in which the Company is not the surviving entity, except for a transaction the principal purpose of which is to change the state in which the Company is incorporated; (B) the sale, transfer or other disposition of all or substantially all of the assets of the Company (including the capital stock of the Company’s subsidiary corporations); (C)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 or (D) an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202" w:lineRule="exact"/>
        <w:rPr>
          <w:rFonts w:ascii="Arial" w:cs="Arial" w:eastAsia="Arial" w:hAnsi="Arial"/>
          <w:sz w:val="17"/>
          <w:szCs w:val="17"/>
          <w:color w:val="auto"/>
        </w:rPr>
      </w:pPr>
    </w:p>
    <w:p>
      <w:pPr>
        <w:ind w:firstLine="1763"/>
        <w:spacing w:after="0" w:line="269" w:lineRule="auto"/>
        <w:tabs>
          <w:tab w:leader="none" w:pos="2603"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for Executive's resignation of his or her employment shall exist following the occurrence of any of the following without Executive’s written consent: (i) a material reduction in job duties or responsibilities inconsistent with the Executive’s position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reduction or change after a Change in Control will not constitute Good Reason if Executive retains reasonably comparable duties, and responsibilities with respect to the Company’s business within the successor entity following a Change of Control; (ii) a material reduction of Executive’s then current base salary or target bonus; (iii) the relocation of Executive’s principal place of employment to a place that increases Executive’s one-way commute by more than forty (40) miles as compared to Executive’s then current principal place of employment immediately prior to such relocation; (iv) any material breach by the Company of the Plan or any other written agreement between the Company and the Executive; or (v) the failure by any successor to the Company to assume the Plan and any obligations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that the Executive gives written notice to the Company of the event forming the basis of the termination for Good Reason within sixty (60) days after the date on which the Company gives written notice to the Executive of the Company’s affirmative decision to take an action set forth in clause (i), (ii), (iii), (iv) or (v) above, the Company fails to cure such basis for the Good Reason resignation within thirty (30) days after receipt of Executive’s written notice and Executive terminates his or her employment within thirty (30) days following the expiration of the cure period.</w:t>
      </w:r>
    </w:p>
    <w:p>
      <w:pPr>
        <w:spacing w:after="0" w:line="179" w:lineRule="exact"/>
        <w:rPr>
          <w:rFonts w:ascii="Arial" w:cs="Arial" w:eastAsia="Arial" w:hAnsi="Arial"/>
          <w:sz w:val="17"/>
          <w:szCs w:val="17"/>
          <w:color w:val="auto"/>
        </w:rPr>
      </w:pPr>
    </w:p>
    <w:p>
      <w:pPr>
        <w:ind w:right="40" w:firstLine="1763"/>
        <w:spacing w:after="0" w:line="264" w:lineRule="auto"/>
        <w:tabs>
          <w:tab w:leader="none" w:pos="261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w:t>
      </w:r>
      <w:r>
        <w:rPr>
          <w:rFonts w:ascii="Arial" w:cs="Arial" w:eastAsia="Arial" w:hAnsi="Arial"/>
          <w:sz w:val="18"/>
          <w:szCs w:val="18"/>
          <w:u w:val="single" w:color="auto"/>
          <w:color w:val="auto"/>
        </w:rPr>
        <w:t>Plan</w:t>
      </w:r>
      <w:r>
        <w:rPr>
          <w:rFonts w:ascii="Arial" w:cs="Arial" w:eastAsia="Arial" w:hAnsi="Arial"/>
          <w:sz w:val="18"/>
          <w:szCs w:val="18"/>
          <w:color w:val="auto"/>
        </w:rPr>
        <w:t>” 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spacing w:after="0" w:line="181" w:lineRule="exact"/>
        <w:rPr>
          <w:rFonts w:ascii="Arial" w:cs="Arial" w:eastAsia="Arial" w:hAnsi="Arial"/>
          <w:sz w:val="18"/>
          <w:szCs w:val="18"/>
          <w:color w:val="auto"/>
        </w:rPr>
      </w:pPr>
    </w:p>
    <w:p>
      <w:pPr>
        <w:ind w:right="180" w:firstLine="1763"/>
        <w:spacing w:after="0" w:line="255" w:lineRule="auto"/>
        <w:tabs>
          <w:tab w:leader="none" w:pos="260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w:t>
      </w:r>
      <w:r>
        <w:rPr>
          <w:rFonts w:ascii="Arial" w:cs="Arial" w:eastAsia="Arial" w:hAnsi="Arial"/>
          <w:sz w:val="18"/>
          <w:szCs w:val="18"/>
          <w:u w:val="single" w:color="auto"/>
          <w:color w:val="auto"/>
        </w:rPr>
        <w:t>Stock Award(s)</w:t>
      </w:r>
      <w:r>
        <w:rPr>
          <w:rFonts w:ascii="Arial" w:cs="Arial" w:eastAsia="Arial" w:hAnsi="Arial"/>
          <w:sz w:val="18"/>
          <w:szCs w:val="18"/>
          <w:color w:val="auto"/>
        </w:rPr>
        <w:t xml:space="preserve">” means any right to receive or purchase equity of the Company or other equity based award or compensation as granted under the Plan, including without limitation an Incentive Stock Option, a Nonstatutory Stock Option, a Stock Purchase Award, a Stock Bonus Award, a Restricted Stock Award, a Restricted Stock Unit Award, a Stock Unit Award, a Stock Appreciation Right, a Performance Stock Award or any Other Stock Award, each of the foregoing as defined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Stock Award shall not include any of the foregoing awards to the extent that the grant documentation evidencing such award explicitly provides that the terms of this Agreement shall be superseded by the provisions of such grant documentation.</w:t>
      </w:r>
    </w:p>
    <w:p>
      <w:pPr>
        <w:spacing w:after="0" w:line="193" w:lineRule="exact"/>
        <w:rPr>
          <w:rFonts w:ascii="Arial" w:cs="Arial" w:eastAsia="Arial" w:hAnsi="Arial"/>
          <w:sz w:val="18"/>
          <w:szCs w:val="18"/>
          <w:color w:val="auto"/>
        </w:rPr>
      </w:pPr>
    </w:p>
    <w:p>
      <w:pPr>
        <w:ind w:left="1760" w:hanging="875"/>
        <w:spacing w:after="0"/>
        <w:tabs>
          <w:tab w:leader="none" w:pos="17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763"/>
        <w:spacing w:after="0" w:line="285" w:lineRule="auto"/>
        <w:tabs>
          <w:tab w:leader="none" w:pos="2603"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Executive Obligations</w:t>
      </w:r>
      <w:r>
        <w:rPr>
          <w:rFonts w:ascii="Arial" w:cs="Arial" w:eastAsia="Arial" w:hAnsi="Arial"/>
          <w:sz w:val="16"/>
          <w:szCs w:val="16"/>
          <w:color w:val="auto"/>
        </w:rPr>
        <w:t>. Notwithstanding anything to the contrary contained herein, payment of any of the Severance Benefits will be conditioned upon (i) Executive continuing to comply with his or her obligations under his or her Confidential Information, Secrecy and Invention Agreement during the period of time in which Executive is receiving the Severance Benefits; and (ii) if Executive is a member of the Board, Executive’s resignation from the Board, to be effective no later than the date of Separation from Service (or such other date as requested by the Board).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31" w:name="page232"/>
    <w:bookmarkEnd w:id="231"/>
    <w:p>
      <w:pPr>
        <w:ind w:left="-40" w:right="160" w:firstLine="1763"/>
        <w:spacing w:after="0" w:line="264" w:lineRule="auto"/>
        <w:tabs>
          <w:tab w:leader="none" w:pos="257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Effect of Statutory Benefits</w:t>
      </w:r>
      <w:r>
        <w:rPr>
          <w:rFonts w:ascii="Arial" w:cs="Arial" w:eastAsia="Arial" w:hAnsi="Arial"/>
          <w:sz w:val="18"/>
          <w:szCs w:val="18"/>
          <w:color w:val="auto"/>
        </w:rPr>
        <w:t>. To the extent that any severance benefits are required to be paid to Executive upon termination of employment with the Company as a result of any requirement of law or any governmental entity in any applicable jurisdiction, the aggregate amount of severance benefits payable pursuant to Section 3 hereof shall not be reduced by such amount.</w:t>
      </w:r>
    </w:p>
    <w:p>
      <w:pPr>
        <w:spacing w:after="0" w:line="181" w:lineRule="exact"/>
        <w:rPr>
          <w:rFonts w:ascii="Arial" w:cs="Arial" w:eastAsia="Arial" w:hAnsi="Arial"/>
          <w:sz w:val="18"/>
          <w:szCs w:val="18"/>
          <w:color w:val="auto"/>
        </w:rPr>
      </w:pPr>
    </w:p>
    <w:p>
      <w:pPr>
        <w:ind w:left="-40" w:right="560" w:firstLine="1763"/>
        <w:spacing w:after="0" w:line="308" w:lineRule="auto"/>
        <w:tabs>
          <w:tab w:leader="none" w:pos="256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shall not be required to mitigate the amount of any payment contemplated by this Agreement, nor shall any such payment be reduced by any earnings that Executive may receive from any other source.</w:t>
      </w:r>
    </w:p>
    <w:p>
      <w:pPr>
        <w:spacing w:after="0" w:line="146" w:lineRule="exact"/>
        <w:rPr>
          <w:rFonts w:ascii="Arial" w:cs="Arial" w:eastAsia="Arial" w:hAnsi="Arial"/>
          <w:sz w:val="17"/>
          <w:szCs w:val="17"/>
          <w:color w:val="auto"/>
        </w:rPr>
      </w:pPr>
    </w:p>
    <w:p>
      <w:pPr>
        <w:ind w:left="-40" w:right="640" w:firstLine="1763"/>
        <w:spacing w:after="0" w:line="277" w:lineRule="auto"/>
        <w:tabs>
          <w:tab w:leader="none" w:pos="257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Nothing in this Agreement modifies Executive’s at-will employment status. Either Executive or the Company can terminate the employment relationship at any time, with or without Cause.</w:t>
      </w:r>
    </w:p>
    <w:p>
      <w:pPr>
        <w:spacing w:after="0" w:line="170" w:lineRule="exact"/>
        <w:rPr>
          <w:rFonts w:ascii="Arial" w:cs="Arial" w:eastAsia="Arial" w:hAnsi="Arial"/>
          <w:sz w:val="18"/>
          <w:szCs w:val="18"/>
          <w:color w:val="auto"/>
        </w:rPr>
      </w:pPr>
    </w:p>
    <w:p>
      <w:pPr>
        <w:ind w:left="-40" w:right="200" w:firstLine="1763"/>
        <w:spacing w:after="0" w:line="259" w:lineRule="auto"/>
        <w:tabs>
          <w:tab w:leader="none" w:pos="256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may be waived or discharged unless the waiver or discharge is agreed to in writing and signed by the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40" w:firstLine="1763"/>
        <w:spacing w:after="0" w:line="302" w:lineRule="auto"/>
        <w:tabs>
          <w:tab w:leader="none" w:pos="2543"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supersedes all prior or contemporaneous agreements, whether written or oral, with respect to this Agreement; provided that, for clarification purposes, this Agreement shall not affect any agreements between the Company and Executive regarding intellectual property matters, non-solicitation or non-competition restrictions or confidential information of the Company. This Agreement expressly supersedes and terminates all Change in Control and Severance Agreements entered into by and between Company and Executive prior to the Effective Date.</w:t>
      </w:r>
    </w:p>
    <w:p>
      <w:pPr>
        <w:spacing w:after="0" w:line="154" w:lineRule="exact"/>
        <w:rPr>
          <w:rFonts w:ascii="Arial" w:cs="Arial" w:eastAsia="Arial" w:hAnsi="Arial"/>
          <w:sz w:val="16"/>
          <w:szCs w:val="16"/>
          <w:color w:val="auto"/>
        </w:rPr>
      </w:pPr>
    </w:p>
    <w:p>
      <w:pPr>
        <w:ind w:left="-40" w:right="240" w:firstLine="1763"/>
        <w:spacing w:after="0" w:line="277" w:lineRule="auto"/>
        <w:tabs>
          <w:tab w:leader="none" w:pos="257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shall be governed by the internal substantive laws, but not the conflicts of law rules, of the State of California.</w:t>
      </w:r>
    </w:p>
    <w:p>
      <w:pPr>
        <w:spacing w:after="0" w:line="170" w:lineRule="exact"/>
        <w:rPr>
          <w:rFonts w:ascii="Arial" w:cs="Arial" w:eastAsia="Arial" w:hAnsi="Arial"/>
          <w:sz w:val="18"/>
          <w:szCs w:val="18"/>
          <w:color w:val="auto"/>
        </w:rPr>
      </w:pPr>
    </w:p>
    <w:p>
      <w:pPr>
        <w:ind w:left="-40" w:right="380" w:firstLine="1763"/>
        <w:spacing w:after="0" w:line="277" w:lineRule="auto"/>
        <w:tabs>
          <w:tab w:leader="none" w:pos="257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left="-40" w:right="60" w:firstLine="1763"/>
        <w:spacing w:after="0" w:line="279" w:lineRule="auto"/>
        <w:tabs>
          <w:tab w:leader="none" w:pos="253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Income and Employment Taxes</w:t>
      </w:r>
      <w:r>
        <w:rPr>
          <w:rFonts w:ascii="Arial" w:cs="Arial" w:eastAsia="Arial" w:hAnsi="Arial"/>
          <w:sz w:val="17"/>
          <w:szCs w:val="17"/>
          <w:color w:val="auto"/>
        </w:rPr>
        <w:t>. Executive is responsible for any applicable taxes of any nature (including any penalties or interest that may apply to such taxes) that the Company reasonably determines apply to any payment made hereunder. Executive’s receipt of any benefit hereunder is conditioned on his or her satisfaction of any applicable withholding or similar obligations that apply to such benefit and any cash payment owed hereunder will be reduced to satisfy any such withholding or similar obligations that may apply.</w:t>
      </w:r>
    </w:p>
    <w:p>
      <w:pPr>
        <w:spacing w:after="0" w:line="171" w:lineRule="exact"/>
        <w:rPr>
          <w:rFonts w:ascii="Arial" w:cs="Arial" w:eastAsia="Arial" w:hAnsi="Arial"/>
          <w:sz w:val="17"/>
          <w:szCs w:val="17"/>
          <w:color w:val="auto"/>
        </w:rPr>
      </w:pPr>
    </w:p>
    <w:p>
      <w:pPr>
        <w:ind w:left="-40" w:firstLine="1763"/>
        <w:spacing w:after="0" w:line="266" w:lineRule="auto"/>
        <w:tabs>
          <w:tab w:leader="none" w:pos="253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It is intended that each installment of the payments and benefits provided for in this Agreements constitute a separate “payment”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(Section 409A of the Code, together, with any state law of similar effect, “</w:t>
      </w:r>
      <w:r>
        <w:rPr>
          <w:rFonts w:ascii="Arial" w:cs="Arial" w:eastAsia="Arial" w:hAnsi="Arial"/>
          <w:sz w:val="17"/>
          <w:szCs w:val="17"/>
          <w:u w:val="single" w:color="auto"/>
          <w:color w:val="auto"/>
        </w:rPr>
        <w:t>Section 409A</w:t>
      </w:r>
      <w:r>
        <w:rPr>
          <w:rFonts w:ascii="Arial" w:cs="Arial" w:eastAsia="Arial" w:hAnsi="Arial"/>
          <w:sz w:val="17"/>
          <w:szCs w:val="17"/>
          <w:color w:val="auto"/>
        </w:rPr>
        <w:t>”) provided under Treasury Regulations 1.409A-1(b)(4), 1.409A-1(b)(5) and 1.409A-1(b)(9). However, if the Company (or, if applicable, the successor entity thereto) determines that the severance payments and benefits provided under this Agreement(the “</w:t>
      </w:r>
      <w:r>
        <w:rPr>
          <w:rFonts w:ascii="Arial" w:cs="Arial" w:eastAsia="Arial" w:hAnsi="Arial"/>
          <w:sz w:val="17"/>
          <w:szCs w:val="17"/>
          <w:u w:val="single" w:color="auto"/>
          <w:color w:val="auto"/>
        </w:rPr>
        <w:t>Agreement Payments</w:t>
      </w:r>
      <w:r>
        <w:rPr>
          <w:rFonts w:ascii="Arial" w:cs="Arial" w:eastAsia="Arial" w:hAnsi="Arial"/>
          <w:sz w:val="17"/>
          <w:szCs w:val="17"/>
          <w:color w:val="auto"/>
        </w:rPr>
        <w:t>”) constitute “deferred compensation” under Section 409A and Executive is, on the date of his or her Separation from Service, a “specified employee” of the Company or any successor entity thereto, as such term is defined in Section 409A(a)(2)(B)(i) of the Code (a “</w:t>
      </w:r>
      <w:r>
        <w:rPr>
          <w:rFonts w:ascii="Arial" w:cs="Arial" w:eastAsia="Arial" w:hAnsi="Arial"/>
          <w:sz w:val="17"/>
          <w:szCs w:val="17"/>
          <w:u w:val="single" w:color="auto"/>
          <w:color w:val="auto"/>
        </w:rPr>
        <w:t>Specified Employee</w:t>
      </w:r>
      <w:r>
        <w:rPr>
          <w:rFonts w:ascii="Arial" w:cs="Arial" w:eastAsia="Arial" w:hAnsi="Arial"/>
          <w:sz w:val="17"/>
          <w:szCs w:val="17"/>
          <w:color w:val="auto"/>
        </w:rPr>
        <w:t>”), then, solely to the extent necessary to avoid the incurrence of the adverse personal tax consequences under Section 409A, the timing of the Severance Benefits described in Section 4(b) shall be delayed as follows: on the earlier to occur of (i) the date that is six months and one day after Executive’s Separation from Service or (ii) the date of Executive’s death (such earlier date, the “</w:t>
      </w:r>
      <w:r>
        <w:rPr>
          <w:rFonts w:ascii="Arial" w:cs="Arial" w:eastAsia="Arial" w:hAnsi="Arial"/>
          <w:sz w:val="17"/>
          <w:szCs w:val="17"/>
          <w:u w:val="single" w:color="auto"/>
          <w:color w:val="auto"/>
        </w:rPr>
        <w:t>Delayed 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Date</w:t>
      </w:r>
      <w:r>
        <w:rPr>
          <w:rFonts w:ascii="Arial" w:cs="Arial" w:eastAsia="Arial" w:hAnsi="Arial"/>
          <w:sz w:val="17"/>
          <w:szCs w:val="17"/>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10(j). If a release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557" w:right="279" w:bottom="1440" w:gutter="0" w:footer="0" w:header="0"/>
        </w:sectPr>
      </w:pPr>
    </w:p>
    <w:bookmarkStart w:id="232" w:name="page233"/>
    <w:bookmarkEnd w:id="232"/>
    <w:p>
      <w:pPr>
        <w:ind w:right="300"/>
        <w:spacing w:after="0" w:line="277" w:lineRule="auto"/>
        <w:rPr>
          <w:sz w:val="20"/>
          <w:szCs w:val="20"/>
          <w:color w:val="auto"/>
        </w:rPr>
      </w:pPr>
      <w:r>
        <w:rPr>
          <w:rFonts w:ascii="Arial" w:cs="Arial" w:eastAsia="Arial" w:hAnsi="Arial"/>
          <w:sz w:val="18"/>
          <w:szCs w:val="18"/>
          <w:color w:val="auto"/>
        </w:rPr>
        <w:t>revocation period spans two calendar years, then amounts will not be paid until the second of the two years to the extent necessary to avoid taxation under Section 409A.</w:t>
      </w:r>
    </w:p>
    <w:p>
      <w:pPr>
        <w:spacing w:after="0" w:line="170" w:lineRule="exact"/>
        <w:rPr>
          <w:sz w:val="20"/>
          <w:szCs w:val="20"/>
          <w:color w:val="auto"/>
        </w:rPr>
      </w:pPr>
    </w:p>
    <w:p>
      <w:pPr>
        <w:ind w:firstLine="1763"/>
        <w:spacing w:after="0" w:line="277" w:lineRule="auto"/>
        <w:tabs>
          <w:tab w:leader="none" w:pos="261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parties shall each bear their own expenses, legal fees and other fees incurred in connection with the execution of this Agreement.</w:t>
      </w:r>
    </w:p>
    <w:p>
      <w:pPr>
        <w:spacing w:after="0" w:line="170" w:lineRule="exact"/>
        <w:rPr>
          <w:rFonts w:ascii="Arial" w:cs="Arial" w:eastAsia="Arial" w:hAnsi="Arial"/>
          <w:sz w:val="18"/>
          <w:szCs w:val="18"/>
          <w:color w:val="auto"/>
        </w:rPr>
      </w:pPr>
    </w:p>
    <w:p>
      <w:pPr>
        <w:ind w:right="360" w:firstLine="1763"/>
        <w:spacing w:after="0" w:line="277" w:lineRule="auto"/>
        <w:tabs>
          <w:tab w:leader="none" w:pos="2573"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3" w:name="page234"/>
    <w:bookmarkEnd w:id="233"/>
    <w:p>
      <w:pPr>
        <w:ind w:left="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Agreement as of the date first set forth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 NAME]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FIBROGEN,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14605</wp:posOffset>
            </wp:positionV>
            <wp:extent cx="29927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Michael D. Lowenstein</w:t>
            </w:r>
          </w:p>
        </w:tc>
        <w:tc>
          <w:tcPr>
            <w:tcW w:w="2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ind w:left="240"/>
              <w:spacing w:after="0"/>
              <w:rPr>
                <w:sz w:val="20"/>
                <w:szCs w:val="20"/>
                <w:color w:val="auto"/>
              </w:rPr>
            </w:pPr>
            <w:r>
              <w:rPr>
                <w:rFonts w:ascii="Arial" w:cs="Arial" w:eastAsia="Arial" w:hAnsi="Arial"/>
                <w:sz w:val="18"/>
                <w:szCs w:val="18"/>
                <w:color w:val="auto"/>
              </w:rPr>
              <w:t>Chief Legal Officer</w:t>
            </w:r>
          </w:p>
        </w:tc>
        <w:tc>
          <w:tcPr>
            <w:tcW w:w="20" w:type="dxa"/>
            <w:vAlign w:val="bottom"/>
          </w:tcPr>
          <w:p>
            <w:pPr>
              <w:spacing w:after="0"/>
              <w:rPr>
                <w:sz w:val="24"/>
                <w:szCs w:val="24"/>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89"/>
        </w:trPr>
        <w:tc>
          <w:tcPr>
            <w:tcW w:w="6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For Executive Age 40 or Older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 Termination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consideration of receiving certain benefits under my Change in Control and Severance Agreement with FibroGen,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 (the “</w:t>
      </w:r>
      <w:r>
        <w:rPr>
          <w:rFonts w:ascii="Arial" w:cs="Arial" w:eastAsia="Arial" w:hAnsi="Arial"/>
          <w:sz w:val="16"/>
          <w:szCs w:val="16"/>
          <w:u w:val="single" w:color="auto"/>
          <w:color w:val="auto"/>
        </w:rPr>
        <w:t>Agreement</w:t>
      </w:r>
      <w:r>
        <w:rPr>
          <w:rFonts w:ascii="Arial" w:cs="Arial" w:eastAsia="Arial" w:hAnsi="Arial"/>
          <w:sz w:val="16"/>
          <w:szCs w:val="16"/>
          <w:color w:val="auto"/>
        </w:rPr>
        <w:t>”), I have agreed to sign this Release. I understand that I am not entitled to benefits under the Agreement unless I sign this Release.</w:t>
      </w:r>
    </w:p>
    <w:p>
      <w:pPr>
        <w:spacing w:after="0" w:line="234"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77"/>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u w:val="single" w:color="auto"/>
          <w:color w:val="auto"/>
        </w:rPr>
        <w:t>ADEA</w:t>
      </w:r>
      <w:r>
        <w:rPr>
          <w:rFonts w:ascii="Arial" w:cs="Arial" w:eastAsia="Arial" w:hAnsi="Arial"/>
          <w:sz w:val="16"/>
          <w:szCs w:val="16"/>
          <w:color w:val="auto"/>
        </w:rPr>
        <w:t>”), the federal Employee Retirement Income Security Act of 1974 (as amended), and the California Fair Employment and Housing Act (as amended)</w:t>
      </w:r>
      <w:r>
        <w:rPr>
          <w:rFonts w:ascii="Arial" w:cs="Arial" w:eastAsia="Arial" w:hAnsi="Arial"/>
          <w:sz w:val="13"/>
          <w:szCs w:val="13"/>
          <w:color w:val="auto"/>
        </w:rPr>
        <w:t>2</w:t>
      </w:r>
      <w:r>
        <w:rPr>
          <w:rFonts w:ascii="Arial" w:cs="Arial" w:eastAsia="Arial" w:hAnsi="Arial"/>
          <w:sz w:val="16"/>
          <w:szCs w:val="16"/>
          <w:color w:val="auto"/>
        </w:rPr>
        <w:t>. Notwithstanding the foregoing, the following are not included in the Released Claims (the “</w:t>
      </w:r>
      <w:r>
        <w:rPr>
          <w:rFonts w:ascii="Arial" w:cs="Arial" w:eastAsia="Arial" w:hAnsi="Arial"/>
          <w:sz w:val="16"/>
          <w:szCs w:val="16"/>
          <w:u w:val="single" w:color="auto"/>
          <w:color w:val="auto"/>
        </w:rPr>
        <w:t>Excluded Claims</w:t>
      </w:r>
      <w:r>
        <w:rPr>
          <w:rFonts w:ascii="Arial" w:cs="Arial" w:eastAsia="Arial" w:hAnsi="Arial"/>
          <w:sz w:val="16"/>
          <w:szCs w:val="16"/>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725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Will need to revise for other states, as applicable.</w:t>
      </w:r>
    </w:p>
    <w:p>
      <w:pPr>
        <w:spacing w:after="0" w:line="225"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5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w:t>
      </w: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For Executive Age 40 or Older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 Termination</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81"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83"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77"/>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181"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forty-five (45)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6" w:name="page237"/>
    <w:bookmarkEnd w:id="236"/>
    <w:p>
      <w:pPr>
        <w:ind w:left="9340"/>
        <w:spacing w:after="0"/>
        <w:rPr>
          <w:sz w:val="20"/>
          <w:szCs w:val="20"/>
          <w:color w:val="auto"/>
        </w:rPr>
      </w:pPr>
      <w:r>
        <w:rPr>
          <w:rFonts w:ascii="Arial" w:cs="Arial" w:eastAsia="Arial" w:hAnsi="Arial"/>
          <w:sz w:val="16"/>
          <w:szCs w:val="16"/>
          <w:color w:val="auto"/>
        </w:rPr>
        <w:t>For Executive Under Age 40</w:t>
      </w:r>
    </w:p>
    <w:p>
      <w:pPr>
        <w:spacing w:after="0" w:line="46"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Individual and Group Termination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jc w:val="both"/>
        <w:ind w:firstLine="846"/>
        <w:spacing w:after="0" w:line="264" w:lineRule="auto"/>
        <w:rPr>
          <w:sz w:val="20"/>
          <w:szCs w:val="20"/>
          <w:color w:val="auto"/>
        </w:rPr>
      </w:pPr>
      <w:r>
        <w:rPr>
          <w:rFonts w:ascii="Arial" w:cs="Arial" w:eastAsia="Arial" w:hAnsi="Arial"/>
          <w:sz w:val="18"/>
          <w:szCs w:val="18"/>
          <w:color w:val="auto"/>
        </w:rPr>
        <w:t>In consideration of receiving certain benefits under my Change in Control and Severance Agreement with FibroGen,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___________ (the “</w:t>
      </w:r>
      <w:r>
        <w:rPr>
          <w:rFonts w:ascii="Arial" w:cs="Arial" w:eastAsia="Arial" w:hAnsi="Arial"/>
          <w:sz w:val="18"/>
          <w:szCs w:val="18"/>
          <w:u w:val="single" w:color="auto"/>
          <w:color w:val="auto"/>
        </w:rPr>
        <w:t>Agreement</w:t>
      </w:r>
      <w:r>
        <w:rPr>
          <w:rFonts w:ascii="Arial" w:cs="Arial" w:eastAsia="Arial" w:hAnsi="Arial"/>
          <w:sz w:val="18"/>
          <w:szCs w:val="18"/>
          <w:color w:val="auto"/>
        </w:rPr>
        <w:t>”), I have agreed to sign this Release. I understand that I am not entitled to benefits under the Agreement unless I sign this Release.</w:t>
      </w:r>
    </w:p>
    <w:p>
      <w:pPr>
        <w:spacing w:after="0" w:line="181" w:lineRule="exact"/>
        <w:rPr>
          <w:sz w:val="20"/>
          <w:szCs w:val="20"/>
          <w:color w:val="auto"/>
        </w:rPr>
      </w:pPr>
    </w:p>
    <w:p>
      <w:pPr>
        <w:jc w:val="both"/>
        <w:ind w:firstLine="846"/>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46"/>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w:t>
      </w:r>
    </w:p>
    <w:p>
      <w:pPr>
        <w:spacing w:after="0" w:line="2" w:lineRule="exact"/>
        <w:rPr>
          <w:sz w:val="20"/>
          <w:szCs w:val="20"/>
          <w:color w:val="auto"/>
        </w:rPr>
      </w:pPr>
    </w:p>
    <w:p>
      <w:pPr>
        <w:jc w:val="both"/>
        <w:ind w:firstLine="8"/>
        <w:spacing w:after="0" w:line="284" w:lineRule="auto"/>
        <w:tabs>
          <w:tab w:leader="none" w:pos="26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u w:val="single" w:color="auto"/>
          <w:color w:val="auto"/>
        </w:rPr>
        <w:t>ADEA</w:t>
      </w:r>
      <w:r>
        <w:rPr>
          <w:rFonts w:ascii="Arial" w:cs="Arial" w:eastAsia="Arial" w:hAnsi="Arial"/>
          <w:sz w:val="16"/>
          <w:szCs w:val="16"/>
          <w:color w:val="auto"/>
        </w:rPr>
        <w:t>”),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6"/>
          <w:szCs w:val="16"/>
          <w:u w:val="single" w:color="auto"/>
          <w:color w:val="auto"/>
        </w:rPr>
        <w:t>Excluded Claims</w:t>
      </w:r>
      <w:r>
        <w:rPr>
          <w:rFonts w:ascii="Arial" w:cs="Arial" w:eastAsia="Arial" w:hAnsi="Arial"/>
          <w:sz w:val="16"/>
          <w:szCs w:val="16"/>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76" w:lineRule="exact"/>
        <w:rPr>
          <w:sz w:val="20"/>
          <w:szCs w:val="20"/>
          <w:color w:val="auto"/>
        </w:rPr>
      </w:pPr>
    </w:p>
    <w:p>
      <w:pPr>
        <w:jc w:val="both"/>
        <w:ind w:firstLine="846"/>
        <w:spacing w:after="0" w:line="267" w:lineRule="auto"/>
        <w:rPr>
          <w:sz w:val="20"/>
          <w:szCs w:val="20"/>
          <w:color w:val="auto"/>
        </w:rPr>
      </w:pPr>
      <w:r>
        <w:rPr>
          <w:rFonts w:ascii="Arial" w:cs="Arial" w:eastAsia="Arial" w:hAnsi="Arial"/>
          <w:sz w:val="17"/>
          <w:szCs w:val="17"/>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and Group Termination</w:t>
      </w:r>
    </w:p>
    <w:p>
      <w:pPr>
        <w:spacing w:after="0" w:line="200" w:lineRule="exact"/>
        <w:rPr>
          <w:sz w:val="20"/>
          <w:szCs w:val="20"/>
          <w:color w:val="auto"/>
        </w:rPr>
      </w:pPr>
    </w:p>
    <w:p>
      <w:pPr>
        <w:spacing w:after="0" w:line="223" w:lineRule="exact"/>
        <w:rPr>
          <w:sz w:val="20"/>
          <w:szCs w:val="20"/>
          <w:color w:val="auto"/>
        </w:rPr>
      </w:pPr>
    </w:p>
    <w:p>
      <w:pPr>
        <w:jc w:val="both"/>
        <w:ind w:firstLine="846"/>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46"/>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46"/>
        <w:spacing w:after="0" w:line="25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and Group Termination</w:t>
      </w:r>
    </w:p>
    <w:p>
      <w:pPr>
        <w:spacing w:after="0" w:line="200" w:lineRule="exact"/>
        <w:rPr>
          <w:sz w:val="20"/>
          <w:szCs w:val="20"/>
          <w:color w:val="auto"/>
        </w:rPr>
      </w:pPr>
    </w:p>
    <w:p>
      <w:pPr>
        <w:spacing w:after="0" w:line="227" w:lineRule="exact"/>
        <w:rPr>
          <w:sz w:val="20"/>
          <w:szCs w:val="20"/>
          <w:color w:val="auto"/>
        </w:rPr>
      </w:pPr>
    </w:p>
    <w:p>
      <w:pPr>
        <w:jc w:val="both"/>
        <w:ind w:right="20" w:firstLine="846"/>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twenty-one (21)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9" w:name="page240"/>
    <w:bookmarkEnd w:id="239"/>
    <w:p>
      <w:pPr>
        <w:ind w:left="9340"/>
        <w:spacing w:after="0"/>
        <w:rPr>
          <w:sz w:val="20"/>
          <w:szCs w:val="20"/>
          <w:color w:val="auto"/>
        </w:rPr>
      </w:pPr>
      <w:r>
        <w:rPr>
          <w:rFonts w:ascii="Arial" w:cs="Arial" w:eastAsia="Arial" w:hAnsi="Arial"/>
          <w:sz w:val="16"/>
          <w:szCs w:val="16"/>
          <w:color w:val="auto"/>
        </w:rPr>
        <w:t>For Executive Under Age 40</w:t>
      </w:r>
    </w:p>
    <w:p>
      <w:pPr>
        <w:spacing w:after="0" w:line="46"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Individual and Group Termination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jc w:val="both"/>
        <w:ind w:firstLine="846"/>
        <w:spacing w:after="0" w:line="264" w:lineRule="auto"/>
        <w:rPr>
          <w:sz w:val="20"/>
          <w:szCs w:val="20"/>
          <w:color w:val="auto"/>
        </w:rPr>
      </w:pPr>
      <w:r>
        <w:rPr>
          <w:rFonts w:ascii="Arial" w:cs="Arial" w:eastAsia="Arial" w:hAnsi="Arial"/>
          <w:sz w:val="18"/>
          <w:szCs w:val="18"/>
          <w:color w:val="auto"/>
        </w:rPr>
        <w:t>In consideration of receiving certain benefits under my Change in Control and Severance Agreement with FibroGen,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___________ (the “</w:t>
      </w:r>
      <w:r>
        <w:rPr>
          <w:rFonts w:ascii="Arial" w:cs="Arial" w:eastAsia="Arial" w:hAnsi="Arial"/>
          <w:sz w:val="18"/>
          <w:szCs w:val="18"/>
          <w:u w:val="single" w:color="auto"/>
          <w:color w:val="auto"/>
        </w:rPr>
        <w:t>Agreement</w:t>
      </w:r>
      <w:r>
        <w:rPr>
          <w:rFonts w:ascii="Arial" w:cs="Arial" w:eastAsia="Arial" w:hAnsi="Arial"/>
          <w:sz w:val="18"/>
          <w:szCs w:val="18"/>
          <w:color w:val="auto"/>
        </w:rPr>
        <w:t>”), I have agreed to sign this Release. I understand that I am not entitled to benefits under the Agreement unless I sign this Release.</w:t>
      </w:r>
    </w:p>
    <w:p>
      <w:pPr>
        <w:spacing w:after="0" w:line="181" w:lineRule="exact"/>
        <w:rPr>
          <w:sz w:val="20"/>
          <w:szCs w:val="20"/>
          <w:color w:val="auto"/>
        </w:rPr>
      </w:pPr>
    </w:p>
    <w:p>
      <w:pPr>
        <w:jc w:val="both"/>
        <w:ind w:firstLine="846"/>
        <w:spacing w:after="0" w:line="286" w:lineRule="auto"/>
        <w:rPr>
          <w:sz w:val="20"/>
          <w:szCs w:val="20"/>
          <w:color w:val="auto"/>
        </w:rPr>
      </w:pPr>
      <w:r>
        <w:rPr>
          <w:rFonts w:ascii="Arial" w:cs="Arial" w:eastAsia="Arial" w:hAnsi="Arial"/>
          <w:sz w:val="17"/>
          <w:szCs w:val="17"/>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hereby confirm my obligations under my Confidential Information, Secrecy and Invention Agreement with the Company.</w:t>
      </w:r>
    </w:p>
    <w:p>
      <w:pPr>
        <w:spacing w:after="0" w:line="225" w:lineRule="exact"/>
        <w:rPr>
          <w:sz w:val="20"/>
          <w:szCs w:val="20"/>
          <w:color w:val="auto"/>
        </w:rPr>
      </w:pPr>
    </w:p>
    <w:p>
      <w:pPr>
        <w:jc w:val="both"/>
        <w:ind w:firstLine="846"/>
        <w:spacing w:after="0" w:line="285"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w:t>
      </w:r>
    </w:p>
    <w:p>
      <w:pPr>
        <w:spacing w:after="0" w:line="2" w:lineRule="exact"/>
        <w:rPr>
          <w:sz w:val="20"/>
          <w:szCs w:val="20"/>
          <w:color w:val="auto"/>
        </w:rPr>
      </w:pPr>
    </w:p>
    <w:p>
      <w:pPr>
        <w:jc w:val="both"/>
        <w:ind w:firstLine="8"/>
        <w:spacing w:after="0" w:line="266" w:lineRule="auto"/>
        <w:tabs>
          <w:tab w:leader="none" w:pos="26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7"/>
          <w:szCs w:val="17"/>
          <w:u w:val="single" w:color="auto"/>
          <w:color w:val="auto"/>
        </w:rPr>
        <w:t>Excluded Claims</w:t>
      </w:r>
      <w:r>
        <w:rPr>
          <w:rFonts w:ascii="Arial" w:cs="Arial" w:eastAsia="Arial" w:hAnsi="Arial"/>
          <w:sz w:val="17"/>
          <w:szCs w:val="17"/>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89" w:lineRule="exact"/>
        <w:rPr>
          <w:sz w:val="20"/>
          <w:szCs w:val="20"/>
          <w:color w:val="auto"/>
        </w:rPr>
      </w:pPr>
    </w:p>
    <w:p>
      <w:pPr>
        <w:jc w:val="both"/>
        <w:ind w:firstLine="846"/>
        <w:spacing w:after="0" w:line="281" w:lineRule="auto"/>
        <w:rPr>
          <w:sz w:val="20"/>
          <w:szCs w:val="20"/>
          <w:color w:val="auto"/>
        </w:rPr>
      </w:pPr>
      <w:r>
        <w:rPr>
          <w:rFonts w:ascii="Arial" w:cs="Arial" w:eastAsia="Arial" w:hAnsi="Arial"/>
          <w:sz w:val="17"/>
          <w:szCs w:val="17"/>
          <w:color w:val="auto"/>
        </w:rPr>
        <w:t xml:space="preserve">I acknowledge that I have read and understand Section 1542 of the California Civil Code which reads as follows: </w:t>
      </w:r>
      <w:r>
        <w:rPr>
          <w:rFonts w:ascii="Arial" w:cs="Arial" w:eastAsia="Arial" w:hAnsi="Arial"/>
          <w:sz w:val="17"/>
          <w:szCs w:val="17"/>
          <w:b w:val="1"/>
          <w:bCs w:val="1"/>
          <w:color w:val="auto"/>
        </w:rPr>
        <w:t>“A general release does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7"/>
          <w:szCs w:val="17"/>
          <w:color w:val="auto"/>
        </w:rPr>
        <w:t>I hereby expressly waive and relinquish all rights and benefits 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and any law of any jurisdiction of similar effect with respect to my release of any claims hereunder.</w:t>
      </w:r>
    </w:p>
    <w:p>
      <w:pPr>
        <w:spacing w:after="0" w:line="169" w:lineRule="exact"/>
        <w:rPr>
          <w:sz w:val="20"/>
          <w:szCs w:val="20"/>
          <w:color w:val="auto"/>
        </w:rPr>
      </w:pPr>
    </w:p>
    <w:p>
      <w:pPr>
        <w:jc w:val="both"/>
        <w:ind w:firstLine="846"/>
        <w:spacing w:after="0" w:line="308" w:lineRule="auto"/>
        <w:rPr>
          <w:sz w:val="20"/>
          <w:szCs w:val="20"/>
          <w:color w:val="auto"/>
        </w:rPr>
      </w:pPr>
      <w:r>
        <w:rPr>
          <w:rFonts w:ascii="Arial" w:cs="Arial" w:eastAsia="Arial" w:hAnsi="Arial"/>
          <w:sz w:val="17"/>
          <w:szCs w:val="17"/>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147" w:lineRule="exact"/>
        <w:rPr>
          <w:sz w:val="20"/>
          <w:szCs w:val="20"/>
          <w:color w:val="auto"/>
        </w:rPr>
      </w:pPr>
    </w:p>
    <w:p>
      <w:pPr>
        <w:jc w:val="both"/>
        <w:ind w:firstLine="846"/>
        <w:spacing w:after="0" w:line="254"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t>For Executive Under Age 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and Group Termination</w:t>
      </w:r>
    </w:p>
    <w:p>
      <w:pPr>
        <w:spacing w:after="0" w:line="200" w:lineRule="exact"/>
        <w:rPr>
          <w:sz w:val="20"/>
          <w:szCs w:val="20"/>
          <w:color w:val="auto"/>
        </w:rPr>
      </w:pPr>
    </w:p>
    <w:p>
      <w:pPr>
        <w:spacing w:after="0" w:line="227" w:lineRule="exact"/>
        <w:rPr>
          <w:sz w:val="20"/>
          <w:szCs w:val="20"/>
          <w:color w:val="auto"/>
        </w:rPr>
      </w:pPr>
    </w:p>
    <w:p>
      <w:pPr>
        <w:jc w:val="both"/>
        <w:ind w:firstLine="846"/>
        <w:spacing w:after="0" w:line="277"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fourteen (14) days following the date it is provided to me, and I must not revoke it thereafter.</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613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333-200348, No. 333-213816, No. 333-216369, and No. 333-233204) of FibroGen, Inc. of our report dated March 2, 2020 relating to the financial statements, financial statement schedule and the effectiveness of internal control over financial reporting,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121"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225" w:lineRule="exact"/>
        <w:rPr>
          <w:sz w:val="20"/>
          <w:szCs w:val="20"/>
          <w:color w:val="auto"/>
        </w:rPr>
      </w:pPr>
    </w:p>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Enrique Conterno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6"/>
          <w:szCs w:val="16"/>
          <w:color w:val="auto"/>
        </w:rPr>
        <w:t>/s/ Pat Cotroneo</w:t>
      </w:r>
    </w:p>
    <w:p>
      <w:pPr>
        <w:spacing w:after="0" w:line="3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Finance and Chief Financial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420"/>
          </w:cols>
          <w:pgMar w:left="240" w:top="121"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73" w:lineRule="exact"/>
        <w:rPr>
          <w:sz w:val="20"/>
          <w:szCs w:val="20"/>
          <w:color w:val="auto"/>
        </w:rPr>
      </w:pPr>
    </w:p>
    <w:p>
      <w:pPr>
        <w:ind w:left="520" w:right="120" w:hanging="512"/>
        <w:spacing w:after="0" w:line="277" w:lineRule="auto"/>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(the “Annual Report”), to which this Certification is attached as Exhibit 32.1,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660" w:hanging="512"/>
        <w:spacing w:after="0" w:line="277" w:lineRule="auto"/>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gridSpan w:val="3"/>
          </w:tcPr>
          <w:p>
            <w:pPr>
              <w:spacing w:after="0"/>
              <w:rPr>
                <w:sz w:val="20"/>
                <w:szCs w:val="20"/>
                <w:color w:val="auto"/>
              </w:rPr>
            </w:pPr>
            <w:r>
              <w:rPr>
                <w:rFonts w:ascii="Arial" w:cs="Arial" w:eastAsia="Arial" w:hAnsi="Arial"/>
                <w:sz w:val="18"/>
                <w:szCs w:val="18"/>
                <w:color w:val="auto"/>
              </w:rPr>
              <w:t>/s/ Enrique Conterno</w:t>
            </w:r>
          </w:p>
        </w:tc>
        <w:tc>
          <w:tcPr>
            <w:tcW w:w="560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bl>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1)"/>
      <w:numFmt w:val="lowerRoman"/>
      <w:start w:val="2"/>
    </w:lvl>
  </w:abstractNum>
  <w:abstractNum w:abstractNumId="7">
    <w:nsid w:val="885E1B"/>
    <w:multiLevelType w:val="hybridMultilevel"/>
    <w:lvl w:ilvl="0">
      <w:lvlJc w:val="left"/>
      <w:lvlText w:val="(%1)"/>
      <w:numFmt w:val="decimal"/>
      <w:start w:val="415"/>
    </w:lvl>
  </w:abstractNum>
  <w:abstractNum w:abstractNumId="8">
    <w:nsid w:val="76272110"/>
    <w:multiLevelType w:val="hybridMultilevel"/>
    <w:lvl w:ilvl="0">
      <w:lvlJc w:val="left"/>
      <w:lvlText w:val="%1)"/>
      <w:numFmt w:val="decimal"/>
      <w:start w:val="5"/>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emdash "/>
      <w:numFmt w:val="bullet"/>
      <w:start w:val="1"/>
    </w:lvl>
  </w:abstractNum>
  <w:abstractNum w:abstractNumId="38">
    <w:nsid w:val="7DE67713"/>
    <w:multiLevelType w:val="hybridMultilevel"/>
    <w:lvl w:ilvl="0">
      <w:lvlJc w:val="left"/>
      <w:lvlText w:val="(%1)"/>
      <w:numFmt w:val="decimal"/>
      <w:start w:val="1"/>
    </w:lvl>
  </w:abstractNum>
  <w:abstractNum w:abstractNumId="39">
    <w:nsid w:val="555C55B5"/>
    <w:multiLevelType w:val="hybridMultilevel"/>
    <w:lvl w:ilvl="0">
      <w:lvlJc w:val="left"/>
      <w:lvlText w:val="(%1)"/>
      <w:numFmt w:val="decimal"/>
      <w:start w:val="2"/>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1."/>
      <w:numFmt w:val="decimal"/>
      <w:start w:val="1"/>
    </w:lvl>
  </w:abstractNum>
  <w:abstractNum w:abstractNumId="43">
    <w:nsid w:val="71C91298"/>
    <w:multiLevelType w:val="hybridMultilevel"/>
    <w:lvl w:ilvl="0">
      <w:lvlJc w:val="left"/>
      <w:lvlText w:val="%1."/>
      <w:numFmt w:val="decimal"/>
      <w:start w:val="2"/>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1."/>
      <w:numFmt w:val="decimal"/>
      <w:start w:val="3"/>
    </w:lvl>
  </w:abstractNum>
  <w:abstractNum w:abstractNumId="46">
    <w:nsid w:val="1FBFE8E0"/>
    <w:multiLevelType w:val="hybridMultilevel"/>
    <w:lvl w:ilvl="0">
      <w:lvlJc w:val="left"/>
      <w:lvlText w:val="(%1)"/>
      <w:numFmt w:val="lowerRoman"/>
      <w:start w:val="2"/>
    </w:lvl>
  </w:abstractNum>
  <w:abstractNum w:abstractNumId="47">
    <w:nsid w:val="5092CA79"/>
    <w:multiLevelType w:val="hybridMultilevel"/>
    <w:lvl w:ilvl="0">
      <w:lvlJc w:val="left"/>
      <w:lvlText w:val="(%1)"/>
      <w:numFmt w:val="decimal"/>
      <w:start w:val="1"/>
    </w:lvl>
  </w:abstractNum>
  <w:abstractNum w:abstractNumId="48">
    <w:nsid w:val="1D545C4D"/>
    <w:multiLevelType w:val="hybridMultilevel"/>
    <w:lvl w:ilvl="0">
      <w:lvlJc w:val="left"/>
      <w:lvlText w:val="(%1)"/>
      <w:numFmt w:val="decimal"/>
      <w:start w:val="2"/>
    </w:lvl>
  </w:abstractNum>
  <w:abstractNum w:abstractNumId="49">
    <w:nsid w:val="59ADEA3D"/>
    <w:multiLevelType w:val="hybridMultilevel"/>
    <w:lvl w:ilvl="0">
      <w:lvlJc w:val="left"/>
      <w:lvlText w:val="%1."/>
      <w:numFmt w:val="decimal"/>
      <w:start w:val="1"/>
    </w:lvl>
  </w:abstractNum>
  <w:abstractNum w:abstractNumId="50">
    <w:nsid w:val="288F1A34"/>
    <w:multiLevelType w:val="hybridMultilevel"/>
    <w:lvl w:ilvl="0">
      <w:lvlJc w:val="left"/>
      <w:lvlText w:val="(%1)"/>
      <w:numFmt w:val="decimal"/>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1."/>
      <w:numFmt w:val="decimal"/>
      <w:start w:val="4"/>
    </w:lvl>
  </w:abstractNum>
  <w:abstractNum w:abstractNumId="55">
    <w:nsid w:val="1CA0C5FA"/>
    <w:multiLevelType w:val="hybridMultilevel"/>
    <w:lvl w:ilvl="0">
      <w:lvlJc w:val="left"/>
      <w:lvlText w:val="%1."/>
      <w:numFmt w:val="decimal"/>
      <w:start w:val="5"/>
    </w:lvl>
  </w:abstractNum>
  <w:abstractNum w:abstractNumId="56">
    <w:nsid w:val="53584BCB"/>
    <w:multiLevelType w:val="hybridMultilevel"/>
    <w:lvl w:ilvl="0">
      <w:lvlJc w:val="left"/>
      <w:lvlText w:val="%1."/>
      <w:numFmt w:val="decimal"/>
      <w:start w:val="6"/>
    </w:lvl>
  </w:abstractNum>
  <w:abstractNum w:abstractNumId="57">
    <w:nsid w:val="415E286C"/>
    <w:multiLevelType w:val="hybridMultilevel"/>
    <w:lvl w:ilvl="0">
      <w:lvlJc w:val="left"/>
      <w:lvlText w:val="(%1)"/>
      <w:numFmt w:val="lowerRoman"/>
      <w:start w:val="2"/>
    </w:lvl>
  </w:abstractNum>
  <w:abstractNum w:abstractNumId="58">
    <w:nsid w:val="7C58FD05"/>
    <w:multiLevelType w:val="hybridMultilevel"/>
    <w:lvl w:ilvl="0">
      <w:lvlJc w:val="left"/>
      <w:lvlText w:val="%1."/>
      <w:numFmt w:val="decimal"/>
      <w:start w:val="7"/>
    </w:lvl>
  </w:abstractNum>
  <w:abstractNum w:abstractNumId="59">
    <w:nsid w:val="23D86AAC"/>
    <w:multiLevelType w:val="hybridMultilevel"/>
    <w:lvl w:ilvl="0">
      <w:lvlJc w:val="left"/>
      <w:lvlText w:val="%1."/>
      <w:numFmt w:val="decimal"/>
      <w:start w:val="8"/>
    </w:lvl>
  </w:abstractNum>
  <w:abstractNum w:abstractNumId="60">
    <w:nsid w:val="45E6D486"/>
    <w:multiLevelType w:val="hybridMultilevel"/>
    <w:lvl w:ilvl="0">
      <w:lvlJc w:val="left"/>
      <w:lvlText w:val="%1."/>
      <w:numFmt w:val="decimal"/>
      <w:start w:val="9"/>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Letter"/>
      <w:start w:val="1"/>
    </w:lvl>
    <w:lvl w:ilvl="1">
      <w:lvlJc w:val="left"/>
      <w:lvlText w:val="%2."/>
      <w:numFmt w:val="decimal"/>
      <w:start w:val="1"/>
    </w:lvl>
  </w:abstractNum>
  <w:abstractNum w:abstractNumId="64">
    <w:nsid w:val="4BD8591A"/>
    <w:multiLevelType w:val="hybridMultilevel"/>
    <w:lvl w:ilvl="0">
      <w:lvlJc w:val="left"/>
      <w:lvlText w:val="(%1)"/>
      <w:numFmt w:val="lowerLetter"/>
      <w:start w:val="2"/>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1)"/>
      <w:numFmt w:val="decimal"/>
      <w:start w:val="1"/>
    </w:lvl>
  </w:abstractNum>
  <w:abstractNum w:abstractNumId="69">
    <w:nsid w:val="379E21B5"/>
    <w:multiLevelType w:val="hybridMultilevel"/>
    <w:lvl w:ilvl="0">
      <w:lvlJc w:val="left"/>
      <w:lvlText w:val="(%1)"/>
      <w:numFmt w:val="lowerLetter"/>
      <w:start w:val="3"/>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upperLetter"/>
      <w:start w:val="1"/>
    </w:lvl>
  </w:abstractNum>
  <w:abstractNum w:abstractNumId="72">
    <w:nsid w:val="4C9B0904"/>
    <w:multiLevelType w:val="hybridMultilevel"/>
    <w:lvl w:ilvl="0">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1)"/>
      <w:numFmt w:val="lowerLetter"/>
      <w:start w:val="1"/>
    </w:lvl>
  </w:abstractNum>
  <w:abstractNum w:abstractNumId="82">
    <w:nsid w:val="53B0A9E"/>
    <w:multiLevelType w:val="hybridMultilevel"/>
    <w:lvl w:ilvl="0">
      <w:lvlJc w:val="left"/>
      <w:lvlText w:val="(%1)"/>
      <w:numFmt w:val="lowerLetter"/>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1)"/>
      <w:numFmt w:val="lowerLetter"/>
      <w:start w:val="2"/>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
      <w:numFmt w:val="bullet"/>
      <w:start w:val="1"/>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abstractNum>
  <w:abstractNum w:abstractNumId="96">
    <w:nsid w:val="57A61A29"/>
    <w:multiLevelType w:val="hybridMultilevel"/>
    <w:lvl w:ilvl="0">
      <w:lvlJc w:val="left"/>
      <w:lvlText w:val="(%1)"/>
      <w:numFmt w:val="lowerLetter"/>
      <w:start w:val="3"/>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
      <w:numFmt w:val="bullet"/>
      <w:start w:val="1"/>
    </w:lvl>
  </w:abstractNum>
  <w:abstractNum w:abstractNumId="101">
    <w:nsid w:val="2157F6BC"/>
    <w:multiLevelType w:val="hybridMultilevel"/>
    <w:lvl w:ilvl="0">
      <w:lvlJc w:val="left"/>
      <w:lvlText w:val="(%1)"/>
      <w:numFmt w:val="lowerLetter"/>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1)"/>
      <w:numFmt w:val="upperLetter"/>
      <w:start w:val="2"/>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1)"/>
      <w:numFmt w:val="upperLetter"/>
      <w:start w:val="2"/>
    </w:lvl>
  </w:abstractNum>
  <w:abstractNum w:abstractNumId="106">
    <w:nsid w:val="2E48F044"/>
    <w:multiLevelType w:val="hybridMultilevel"/>
    <w:lvl w:ilvl="0">
      <w:lvlJc w:val="left"/>
      <w:lvlText w:val="[*]"/>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1)"/>
      <w:numFmt w:val="lowerLetter"/>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
      <w:numFmt w:val="bullet"/>
      <w:start w:val="1"/>
    </w:lvl>
  </w:abstractNum>
  <w:abstractNum w:abstractNumId="113">
    <w:nsid w:val="2A31B62D"/>
    <w:multiLevelType w:val="hybridMultilevel"/>
    <w:lvl w:ilvl="0">
      <w:lvlJc w:val="left"/>
      <w:lvlText w:val="[*]"/>
      <w:numFmt w:val="bullet"/>
      <w:start w:val="1"/>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
      <w:numFmt w:val="bullet"/>
      <w:start w:val="1"/>
    </w:lvl>
  </w:abstractNum>
  <w:abstractNum w:abstractNumId="121">
    <w:nsid w:val="7AB49DAF"/>
    <w:multiLevelType w:val="hybridMultilevel"/>
    <w:lvl w:ilvl="0">
      <w:lvlJc w:val="left"/>
      <w:lvlText w:val="•"/>
      <w:numFmt w:val="bullet"/>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1."/>
      <w:numFmt w:val="decimal"/>
      <w:start w:val="1"/>
    </w:lvl>
    <w:lvl w:ilvl="1">
      <w:lvlJc w:val="left"/>
      <w:lvlText w:val="•"/>
      <w:numFmt w:val="bullet"/>
      <w:start w:val="1"/>
    </w:lvl>
  </w:abstractNum>
  <w:abstractNum w:abstractNumId="125">
    <w:nsid w:val="F819E7F"/>
    <w:multiLevelType w:val="hybridMultilevel"/>
    <w:lvl w:ilvl="0">
      <w:lvlJc w:val="left"/>
      <w:lvlText w:val="%1."/>
      <w:numFmt w:val="decimal"/>
      <w:start w:val="5"/>
    </w:lvl>
  </w:abstractNum>
  <w:abstractNum w:abstractNumId="126">
    <w:nsid w:val="57C7D42D"/>
    <w:multiLevelType w:val="hybridMultilevel"/>
    <w:lvl w:ilvl="0">
      <w:lvlJc w:val="left"/>
      <w:lvlText w:val="(%1)"/>
      <w:numFmt w:val="lowerRoman"/>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1."/>
      <w:numFmt w:val="upperLetter"/>
      <w:start w:val="1"/>
    </w:lvl>
  </w:abstractNum>
  <w:abstractNum w:abstractNumId="129">
    <w:nsid w:val="78B5E776"/>
    <w:multiLevelType w:val="hybridMultilevel"/>
    <w:lvl w:ilvl="0">
      <w:lvlJc w:val="left"/>
      <w:lvlText w:val="%1."/>
      <w:numFmt w:val="decimal"/>
      <w:start w:val="1"/>
    </w:lvl>
  </w:abstractNum>
  <w:abstractNum w:abstractNumId="130">
    <w:nsid w:val="75486E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1">
    <w:nsid w:val="6E534CD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2">
    <w:nsid w:val="1A0DDE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3">
    <w:nsid w:val="65968C1C"/>
    <w:multiLevelType w:val="hybridMultilevel"/>
    <w:lvl w:ilvl="0">
      <w:lvlJc w:val="left"/>
      <w:lvlText w:val="%1"/>
      <w:numFmt w:val="decimal"/>
      <w:start w:val="1"/>
    </w:lvl>
    <w:lvl w:ilvl="1">
      <w:lvlJc w:val="left"/>
      <w:lvlText w:val="(%2)"/>
      <w:numFmt w:val="lowerLetter"/>
      <w:start w:val="1"/>
    </w:lvl>
  </w:abstractNum>
  <w:abstractNum w:abstractNumId="134">
    <w:nsid w:val="46263DEC"/>
    <w:multiLevelType w:val="hybridMultilevel"/>
    <w:lvl w:ilvl="0">
      <w:lvlJc w:val="left"/>
      <w:lvlText w:val="%1."/>
      <w:numFmt w:val="decimal"/>
      <w:start w:val="6"/>
    </w:lvl>
    <w:lvl w:ilvl="1">
      <w:lvlJc w:val="left"/>
      <w:lvlText w:val="(%2)"/>
      <w:numFmt w:val="lowerLetter"/>
      <w:start w:val="1"/>
    </w:lvl>
  </w:abstractNum>
  <w:abstractNum w:abstractNumId="135">
    <w:nsid w:val="260D8C4A"/>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36">
    <w:nsid w:val="73D4D3C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137">
    <w:nsid w:val="746F2E30"/>
    <w:multiLevelType w:val="hybridMultilevel"/>
    <w:lvl w:ilvl="0">
      <w:lvlJc w:val="left"/>
      <w:lvlText w:val="(%1)"/>
      <w:numFmt w:val="lowerRoman"/>
      <w:start w:val="4"/>
    </w:lvl>
    <w:lvl w:ilvl="1">
      <w:lvlJc w:val="left"/>
      <w:lvlText w:val="%2."/>
      <w:numFmt w:val="decimal"/>
      <w:start w:val="9"/>
    </w:lvl>
    <w:lvl w:ilvl="2">
      <w:lvlJc w:val="left"/>
      <w:lvlText w:val="(%3)"/>
      <w:numFmt w:val="lowerLetter"/>
      <w:start w:val="4"/>
    </w:lvl>
  </w:abstractNum>
  <w:abstractNum w:abstractNumId="138">
    <w:nsid w:val="6FDE8AF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39">
    <w:nsid w:val="3FC32E20"/>
    <w:multiLevelType w:val="hybridMultilevel"/>
    <w:lvl w:ilvl="0">
      <w:lvlJc w:val="left"/>
      <w:lvlText w:val="(%1)"/>
      <w:numFmt w:val="lowerLetter"/>
      <w:start w:val="7"/>
    </w:lvl>
  </w:abstractNum>
  <w:abstractNum w:abstractNumId="140">
    <w:nsid w:val="49C0E823"/>
    <w:multiLevelType w:val="hybridMultilevel"/>
    <w:lvl w:ilvl="0">
      <w:lvlJc w:val="left"/>
      <w:lvlText w:val="1"/>
      <w:numFmt w:val="bullet"/>
      <w:start w:val="1"/>
    </w:lvl>
  </w:abstractNum>
  <w:abstractNum w:abstractNumId="141">
    <w:nsid w:val="14D53685"/>
    <w:multiLevelType w:val="hybridMultilevel"/>
    <w:lvl w:ilvl="0">
      <w:lvlJc w:val="left"/>
      <w:lvlText w:val="(%1)"/>
      <w:numFmt w:val="decimal"/>
      <w:start w:val="2"/>
    </w:lvl>
  </w:abstractNum>
  <w:abstractNum w:abstractNumId="142">
    <w:nsid w:val="230F856C"/>
    <w:multiLevelType w:val="hybridMultilevel"/>
    <w:lvl w:ilvl="0">
      <w:lvlJc w:val="left"/>
      <w:lvlText w:val="(%1)"/>
      <w:numFmt w:val="decimal"/>
      <w:start w:val="2"/>
    </w:lvl>
  </w:abstractNum>
  <w:abstractNum w:abstractNumId="143">
    <w:nsid w:val="6EAA85FB"/>
    <w:multiLevelType w:val="hybridMultilevel"/>
    <w:lvl w:ilvl="0">
      <w:lvlJc w:val="left"/>
      <w:lvlText w:val="%1."/>
      <w:numFmt w:val="upperLetter"/>
      <w:start w:val="1"/>
    </w:lvl>
  </w:abstractNum>
  <w:abstractNum w:abstractNumId="144">
    <w:nsid w:val="3F06ECB2"/>
    <w:multiLevelType w:val="hybridMultilevel"/>
    <w:lvl w:ilvl="0">
      <w:lvlJc w:val="left"/>
      <w:lvlText w:val="%1."/>
      <w:numFmt w:val="decimal"/>
      <w:start w:val="11"/>
    </w:lvl>
  </w:abstractNum>
  <w:abstractNum w:abstractNumId="145">
    <w:nsid w:val="3B594807"/>
    <w:multiLevelType w:val="hybridMultilevel"/>
    <w:lvl w:ilvl="0">
      <w:lvlJc w:val="left"/>
      <w:lvlText w:val="(%1)"/>
      <w:numFmt w:val="lowerLetter"/>
      <w:start w:val="1"/>
    </w:lvl>
    <w:lvl w:ilvl="1">
      <w:lvlJc w:val="left"/>
      <w:lvlText w:val="(%2)"/>
      <w:numFmt w:val="lowerRoman"/>
      <w:start w:val="1"/>
    </w:lvl>
  </w:abstractNum>
  <w:abstractNum w:abstractNumId="146">
    <w:nsid w:val="6CAA2304"/>
    <w:multiLevelType w:val="hybridMultilevel"/>
    <w:lvl w:ilvl="0">
      <w:lvlJc w:val="left"/>
      <w:lvlText w:val="(%1)"/>
      <w:numFmt w:val="lowerLetter"/>
      <w:start w:val="2"/>
    </w:lvl>
    <w:lvl w:ilvl="1">
      <w:lvlJc w:val="left"/>
      <w:lvlText w:val="(%2)"/>
      <w:numFmt w:val="lowerLetter"/>
      <w:start w:val="9"/>
    </w:lvl>
  </w:abstractNum>
  <w:abstractNum w:abstractNumId="147">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8">
    <w:nsid w:val="25413BEC"/>
    <w:multiLevelType w:val="hybridMultilevel"/>
    <w:lvl w:ilvl="0">
      <w:lvlJc w:val="left"/>
      <w:lvlText w:val="(%1)"/>
      <w:numFmt w:val="decimal"/>
      <w:start w:val="12"/>
    </w:lvl>
    <w:lvl w:ilvl="1">
      <w:lvlJc w:val="left"/>
      <w:lvlText w:val="(%2)"/>
      <w:numFmt w:val="lowerLetter"/>
      <w:start w:val="2"/>
    </w:lvl>
    <w:lvl w:ilvl="2">
      <w:lvlJc w:val="left"/>
      <w:lvlText w:val="(%3)"/>
      <w:numFmt w:val="lowerLetter"/>
      <w:start w:val="61"/>
    </w:lvl>
  </w:abstractNum>
  <w:abstractNum w:abstractNumId="149">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0">
    <w:nsid w:val="579328B9"/>
    <w:multiLevelType w:val="hybridMultilevel"/>
    <w:lvl w:ilvl="0">
      <w:lvlJc w:val="left"/>
      <w:lvlText w:val="%1"/>
      <w:numFmt w:val="decimal"/>
      <w:start w:val="1"/>
    </w:lvl>
    <w:lvl w:ilvl="1">
      <w:lvlJc w:val="left"/>
      <w:lvlText w:val="(%2)"/>
      <w:numFmt w:val="lowerRoman"/>
      <w:start w:val="2"/>
    </w:lvl>
  </w:abstractNum>
  <w:abstractNum w:abstractNumId="151">
    <w:nsid w:val="5D205E20"/>
    <w:multiLevelType w:val="hybridMultilevel"/>
    <w:lvl w:ilvl="0">
      <w:lvlJc w:val="left"/>
      <w:lvlText w:val="(%1)"/>
      <w:numFmt w:val="decimal"/>
      <w:start w:val="12"/>
    </w:lvl>
    <w:lvl w:ilvl="1">
      <w:lvlJc w:val="left"/>
      <w:lvlText w:val="%2"/>
      <w:numFmt w:val="lowerRoman"/>
      <w:start w:val="1"/>
    </w:lvl>
  </w:abstractNum>
  <w:abstractNum w:abstractNumId="152">
    <w:nsid w:val="11CCA8BA"/>
    <w:multiLevelType w:val="hybridMultilevel"/>
    <w:lvl w:ilvl="0">
      <w:lvlJc w:val="left"/>
      <w:lvlText w:val="%1."/>
      <w:numFmt w:val="decimal"/>
      <w:start w:val="14"/>
    </w:lvl>
    <w:lvl w:ilvl="1">
      <w:lvlJc w:val="left"/>
      <w:lvlText w:val="(%2)"/>
      <w:numFmt w:val="lowerLetter"/>
      <w:start w:val="1"/>
    </w:lvl>
  </w:abstractNum>
  <w:abstractNum w:abstractNumId="153">
    <w:nsid w:val="4D32AB86"/>
    <w:multiLevelType w:val="hybridMultilevel"/>
    <w:lvl w:ilvl="0">
      <w:lvlJc w:val="left"/>
      <w:lvlText w:val="%1"/>
      <w:numFmt w:val="lowerRoman"/>
      <w:start w:val="1"/>
    </w:lvl>
    <w:lvl w:ilvl="1">
      <w:lvlJc w:val="left"/>
      <w:lvlText w:val="%2."/>
      <w:numFmt w:val="decimal"/>
      <w:start w:val="16"/>
    </w:lvl>
    <w:lvl w:ilvl="2">
      <w:lvlJc w:val="left"/>
      <w:lvlText w:val="(%3)"/>
      <w:numFmt w:val="lowerLetter"/>
      <w:start w:val="1"/>
    </w:lvl>
  </w:abstractNum>
  <w:abstractNum w:abstractNumId="154">
    <w:nsid w:val="3F07ACC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55">
    <w:nsid w:val="6B47F63E"/>
    <w:multiLevelType w:val="hybridMultilevel"/>
    <w:lvl w:ilvl="0">
      <w:lvlJc w:val="left"/>
      <w:lvlText w:val="%1"/>
      <w:numFmt w:val="decimal"/>
      <w:start w:val="1"/>
    </w:lvl>
    <w:lvl w:ilvl="1">
      <w:lvlJc w:val="left"/>
      <w:lvlText w:val="(%2)"/>
      <w:numFmt w:val="lowerLetter"/>
      <w:start w:val="2"/>
    </w:lvl>
  </w:abstractNum>
  <w:abstractNum w:abstractNumId="156">
    <w:nsid w:val="5CB44A05"/>
    <w:multiLevelType w:val="hybridMultilevel"/>
    <w:lvl w:ilvl="0">
      <w:lvlJc w:val="left"/>
      <w:lvlText w:val="%1."/>
      <w:numFmt w:val="decimal"/>
      <w:start w:val="20"/>
    </w:lvl>
    <w:lvl w:ilvl="1">
      <w:lvlJc w:val="left"/>
      <w:lvlText w:val="(%2)"/>
      <w:numFmt w:val="lowerLetter"/>
      <w:start w:val="1"/>
    </w:lvl>
  </w:abstractNum>
  <w:abstractNum w:abstractNumId="157">
    <w:nsid w:val="16CF80F1"/>
    <w:multiLevelType w:val="hybridMultilevel"/>
    <w:lvl w:ilvl="0">
      <w:lvlJc w:val="left"/>
      <w:lvlText w:val="(%1)"/>
      <w:numFmt w:val="lowerLetter"/>
      <w:start w:val="2"/>
    </w:lvl>
  </w:abstractNum>
  <w:abstractNum w:abstractNumId="158">
    <w:nsid w:val="1C695DEC"/>
    <w:multiLevelType w:val="hybridMultilevel"/>
    <w:lvl w:ilvl="0">
      <w:lvlJc w:val="left"/>
      <w:lvlText w:val="(%1)"/>
      <w:numFmt w:val="lowerLetter"/>
      <w:start w:val="11"/>
    </w:lvl>
  </w:abstractNum>
  <w:abstractNum w:abstractNumId="159">
    <w:nsid w:val="3FCFAED9"/>
    <w:multiLevelType w:val="hybridMultilevel"/>
    <w:lvl w:ilvl="0">
      <w:lvlJc w:val="left"/>
      <w:lvlText w:val="2"/>
      <w:numFmt w:val="bullet"/>
      <w:start w:val="1"/>
    </w:lvl>
  </w:abstractNum>
  <w:abstractNum w:abstractNumId="160">
    <w:nsid w:val="F856867"/>
    <w:multiLevelType w:val="hybridMultilevel"/>
    <w:lvl w:ilvl="0">
      <w:lvlJc w:val="left"/>
      <w:lvlText w:val="(%1)"/>
      <w:numFmt w:val="decimal"/>
      <w:start w:val="2"/>
    </w:lvl>
  </w:abstractNum>
  <w:abstractNum w:abstractNumId="161">
    <w:nsid w:val="11B1CC33"/>
    <w:multiLevelType w:val="hybridMultilevel"/>
    <w:lvl w:ilvl="0">
      <w:lvlJc w:val="left"/>
      <w:lvlText w:val="(%1)"/>
      <w:numFmt w:val="decimal"/>
      <w:start w:val="2"/>
    </w:lvl>
  </w:abstractNum>
  <w:abstractNum w:abstractNumId="162">
    <w:nsid w:val="2E22FBB7"/>
    <w:multiLevelType w:val="hybridMultilevel"/>
    <w:lvl w:ilvl="0">
      <w:lvlJc w:val="left"/>
      <w:lvlText w:val="%1."/>
      <w:numFmt w:val="decimal"/>
      <w:start w:val="1"/>
    </w:lvl>
    <w:lvl w:ilvl="1">
      <w:lvlJc w:val="left"/>
      <w:lvlText w:val="(%2)"/>
      <w:numFmt w:val="lowerLetter"/>
      <w:start w:val="1"/>
    </w:lvl>
  </w:abstractNum>
  <w:abstractNum w:abstractNumId="163">
    <w:nsid w:val="29934699"/>
    <w:multiLevelType w:val="hybridMultilevel"/>
    <w:lvl w:ilvl="0">
      <w:lvlJc w:val="left"/>
      <w:lvlText w:val="%1."/>
      <w:numFmt w:val="decimal"/>
      <w:start w:val="1"/>
    </w:lvl>
    <w:lvl w:ilvl="1">
      <w:lvlJc w:val="left"/>
      <w:lvlText w:val="(%2)"/>
      <w:numFmt w:val="lowerLetter"/>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4" Type="http://schemas.openxmlformats.org/officeDocument/2006/relationships/image" Target="media/image188.png"/><Relationship Id="rId216" Type="http://schemas.openxmlformats.org/officeDocument/2006/relationships/image" Target="media/image189.png"/><Relationship Id="rId230" Type="http://schemas.openxmlformats.org/officeDocument/2006/relationships/image" Target="media/image190.png"/><Relationship Id="rId244" Type="http://schemas.openxmlformats.org/officeDocument/2006/relationships/image" Target="media/image191.png"/><Relationship Id="rId257" Type="http://schemas.openxmlformats.org/officeDocument/2006/relationships/image" Target="media/image192.png"/><Relationship Id="rId268"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304" Type="http://schemas.openxmlformats.org/officeDocument/2006/relationships/image" Target="media/image221.png"/><Relationship Id="rId305" Type="http://schemas.openxmlformats.org/officeDocument/2006/relationships/image" Target="media/image222.png"/><Relationship Id="rId306" Type="http://schemas.openxmlformats.org/officeDocument/2006/relationships/image" Target="media/image223.png"/><Relationship Id="rId307" Type="http://schemas.openxmlformats.org/officeDocument/2006/relationships/image" Target="media/image224.png"/><Relationship Id="rId308" Type="http://schemas.openxmlformats.org/officeDocument/2006/relationships/image" Target="media/image225.png"/><Relationship Id="rId309" Type="http://schemas.openxmlformats.org/officeDocument/2006/relationships/image" Target="media/image226.png"/><Relationship Id="rId310" Type="http://schemas.openxmlformats.org/officeDocument/2006/relationships/image" Target="media/image227.png"/><Relationship Id="rId311" Type="http://schemas.openxmlformats.org/officeDocument/2006/relationships/image" Target="media/image228.png"/><Relationship Id="rId312" Type="http://schemas.openxmlformats.org/officeDocument/2006/relationships/image" Target="media/image229.png"/><Relationship Id="rId313" Type="http://schemas.openxmlformats.org/officeDocument/2006/relationships/image" Target="media/image230.png"/><Relationship Id="rId314" Type="http://schemas.openxmlformats.org/officeDocument/2006/relationships/image" Target="media/image231.png"/><Relationship Id="rId315" Type="http://schemas.openxmlformats.org/officeDocument/2006/relationships/image" Target="media/image232.png"/><Relationship Id="rId316" Type="http://schemas.openxmlformats.org/officeDocument/2006/relationships/image" Target="media/image233.png"/><Relationship Id="rId317" Type="http://schemas.openxmlformats.org/officeDocument/2006/relationships/image" Target="media/image234.png"/><Relationship Id="rId318"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png"/><Relationship Id="rId321" Type="http://schemas.openxmlformats.org/officeDocument/2006/relationships/image" Target="media/image238.png"/><Relationship Id="rId322" Type="http://schemas.openxmlformats.org/officeDocument/2006/relationships/image" Target="media/image239.png"/><Relationship Id="rId323" Type="http://schemas.openxmlformats.org/officeDocument/2006/relationships/image" Target="media/image240.png"/><Relationship Id="rId324" Type="http://schemas.openxmlformats.org/officeDocument/2006/relationships/image" Target="media/image241.png"/><Relationship Id="rId325" Type="http://schemas.openxmlformats.org/officeDocument/2006/relationships/image" Target="media/image242.png"/><Relationship Id="rId326" Type="http://schemas.openxmlformats.org/officeDocument/2006/relationships/image" Target="media/image243.png"/><Relationship Id="rId327" Type="http://schemas.openxmlformats.org/officeDocument/2006/relationships/image" Target="media/image244.png"/><Relationship Id="rId328" Type="http://schemas.openxmlformats.org/officeDocument/2006/relationships/image" Target="media/image245.png"/><Relationship Id="rId329" Type="http://schemas.openxmlformats.org/officeDocument/2006/relationships/image" Target="media/image246.png"/><Relationship Id="rId330" Type="http://schemas.openxmlformats.org/officeDocument/2006/relationships/image" Target="media/image247.png"/><Relationship Id="rId331" Type="http://schemas.openxmlformats.org/officeDocument/2006/relationships/image" Target="media/image248.png"/><Relationship Id="rId332" Type="http://schemas.openxmlformats.org/officeDocument/2006/relationships/image" Target="media/image249.png"/><Relationship Id="rId333" Type="http://schemas.openxmlformats.org/officeDocument/2006/relationships/image" Target="media/image250.png"/><Relationship Id="rId334" Type="http://schemas.openxmlformats.org/officeDocument/2006/relationships/image" Target="media/image251.png"/><Relationship Id="rId335" Type="http://schemas.openxmlformats.org/officeDocument/2006/relationships/image" Target="media/image252.png"/><Relationship Id="rId336" Type="http://schemas.openxmlformats.org/officeDocument/2006/relationships/image" Target="media/image253.png"/><Relationship Id="rId337" Type="http://schemas.openxmlformats.org/officeDocument/2006/relationships/image" Target="media/image254.png"/><Relationship Id="rId338" Type="http://schemas.openxmlformats.org/officeDocument/2006/relationships/image" Target="media/image255.png"/><Relationship Id="rId339" Type="http://schemas.openxmlformats.org/officeDocument/2006/relationships/image" Target="media/image256.png"/><Relationship Id="rId340" Type="http://schemas.openxmlformats.org/officeDocument/2006/relationships/image" Target="media/image257.png"/><Relationship Id="rId341" Type="http://schemas.openxmlformats.org/officeDocument/2006/relationships/image" Target="media/image258.png"/><Relationship Id="rId342" Type="http://schemas.openxmlformats.org/officeDocument/2006/relationships/image" Target="media/image259.png"/><Relationship Id="rId343" Type="http://schemas.openxmlformats.org/officeDocument/2006/relationships/image" Target="media/image260.png"/><Relationship Id="rId344" Type="http://schemas.openxmlformats.org/officeDocument/2006/relationships/image" Target="media/image261.png"/><Relationship Id="rId345" Type="http://schemas.openxmlformats.org/officeDocument/2006/relationships/image" Target="media/image262.png"/><Relationship Id="rId346" Type="http://schemas.openxmlformats.org/officeDocument/2006/relationships/image" Target="media/image263.png"/><Relationship Id="rId347" Type="http://schemas.openxmlformats.org/officeDocument/2006/relationships/image" Target="media/image264.png"/><Relationship Id="rId348" Type="http://schemas.openxmlformats.org/officeDocument/2006/relationships/image" Target="media/image265.png"/><Relationship Id="rId349" Type="http://schemas.openxmlformats.org/officeDocument/2006/relationships/image" Target="media/image266.png"/><Relationship Id="rId350" Type="http://schemas.openxmlformats.org/officeDocument/2006/relationships/image" Target="media/image267.png"/><Relationship Id="rId351" Type="http://schemas.openxmlformats.org/officeDocument/2006/relationships/image" Target="media/image268.png"/><Relationship Id="rId352" Type="http://schemas.openxmlformats.org/officeDocument/2006/relationships/image" Target="media/image269.png"/><Relationship Id="rId353" Type="http://schemas.openxmlformats.org/officeDocument/2006/relationships/image" Target="media/image270.png"/><Relationship Id="rId354" Type="http://schemas.openxmlformats.org/officeDocument/2006/relationships/image" Target="media/image271.png"/><Relationship Id="rId355" Type="http://schemas.openxmlformats.org/officeDocument/2006/relationships/image" Target="media/image272.png"/><Relationship Id="rId356" Type="http://schemas.openxmlformats.org/officeDocument/2006/relationships/image" Target="media/image273.png"/><Relationship Id="rId357" Type="http://schemas.openxmlformats.org/officeDocument/2006/relationships/image" Target="media/image274.png"/><Relationship Id="rId358" Type="http://schemas.openxmlformats.org/officeDocument/2006/relationships/image" Target="media/image275.png"/><Relationship Id="rId359" Type="http://schemas.openxmlformats.org/officeDocument/2006/relationships/image" Target="media/image276.png"/><Relationship Id="rId360" Type="http://schemas.openxmlformats.org/officeDocument/2006/relationships/image" Target="media/image277.png"/><Relationship Id="rId361" Type="http://schemas.openxmlformats.org/officeDocument/2006/relationships/image" Target="media/image278.png"/><Relationship Id="rId362" Type="http://schemas.openxmlformats.org/officeDocument/2006/relationships/image" Target="media/image279.png"/><Relationship Id="rId363" Type="http://schemas.openxmlformats.org/officeDocument/2006/relationships/image" Target="media/image280.png"/><Relationship Id="rId364" Type="http://schemas.openxmlformats.org/officeDocument/2006/relationships/image" Target="media/image281.png"/><Relationship Id="rId365" Type="http://schemas.openxmlformats.org/officeDocument/2006/relationships/image" Target="media/image282.png"/><Relationship Id="rId366" Type="http://schemas.openxmlformats.org/officeDocument/2006/relationships/image" Target="media/image283.png"/><Relationship Id="rId367" Type="http://schemas.openxmlformats.org/officeDocument/2006/relationships/image" Target="media/image284.png"/><Relationship Id="rId368" Type="http://schemas.openxmlformats.org/officeDocument/2006/relationships/image" Target="media/image285.png"/><Relationship Id="rId369" Type="http://schemas.openxmlformats.org/officeDocument/2006/relationships/image" Target="media/image286.png"/><Relationship Id="rId370" Type="http://schemas.openxmlformats.org/officeDocument/2006/relationships/image" Target="media/image287.png"/><Relationship Id="rId371" Type="http://schemas.openxmlformats.org/officeDocument/2006/relationships/image" Target="media/image288.png"/><Relationship Id="rId372" Type="http://schemas.openxmlformats.org/officeDocument/2006/relationships/image" Target="media/image289.png"/><Relationship Id="rId373" Type="http://schemas.openxmlformats.org/officeDocument/2006/relationships/image" Target="media/image290.png"/><Relationship Id="rId374" Type="http://schemas.openxmlformats.org/officeDocument/2006/relationships/image" Target="media/image291.png"/><Relationship Id="rId375" Type="http://schemas.openxmlformats.org/officeDocument/2006/relationships/image" Target="media/image292.png"/><Relationship Id="rId376" Type="http://schemas.openxmlformats.org/officeDocument/2006/relationships/image" Target="media/image293.png"/><Relationship Id="rId377" Type="http://schemas.openxmlformats.org/officeDocument/2006/relationships/image" Target="media/image294.png"/><Relationship Id="rId378" Type="http://schemas.openxmlformats.org/officeDocument/2006/relationships/image" Target="media/image295.png"/><Relationship Id="rId379" Type="http://schemas.openxmlformats.org/officeDocument/2006/relationships/image" Target="media/image296.png"/><Relationship Id="rId380" Type="http://schemas.openxmlformats.org/officeDocument/2006/relationships/image" Target="media/image297.png"/><Relationship Id="rId381" Type="http://schemas.openxmlformats.org/officeDocument/2006/relationships/image" Target="media/image298.png"/><Relationship Id="rId382" Type="http://schemas.openxmlformats.org/officeDocument/2006/relationships/image" Target="media/image299.png"/><Relationship Id="rId383" Type="http://schemas.openxmlformats.org/officeDocument/2006/relationships/image" Target="media/image300.png"/><Relationship Id="rId384" Type="http://schemas.openxmlformats.org/officeDocument/2006/relationships/image" Target="media/image301.png"/><Relationship Id="rId385" Type="http://schemas.openxmlformats.org/officeDocument/2006/relationships/image" Target="media/image302.png"/><Relationship Id="rId386" Type="http://schemas.openxmlformats.org/officeDocument/2006/relationships/image" Target="media/image303.png"/><Relationship Id="rId387" Type="http://schemas.openxmlformats.org/officeDocument/2006/relationships/image" Target="media/image304.png"/><Relationship Id="rId388" Type="http://schemas.openxmlformats.org/officeDocument/2006/relationships/image" Target="media/image305.png"/><Relationship Id="rId389" Type="http://schemas.openxmlformats.org/officeDocument/2006/relationships/image" Target="media/image306.png"/><Relationship Id="rId390" Type="http://schemas.openxmlformats.org/officeDocument/2006/relationships/image" Target="media/image307.png"/><Relationship Id="rId391" Type="http://schemas.openxmlformats.org/officeDocument/2006/relationships/image" Target="media/image308.png"/><Relationship Id="rId392" Type="http://schemas.openxmlformats.org/officeDocument/2006/relationships/image" Target="media/image309.png"/><Relationship Id="rId393" Type="http://schemas.openxmlformats.org/officeDocument/2006/relationships/image" Target="media/image310.png"/><Relationship Id="rId394" Type="http://schemas.openxmlformats.org/officeDocument/2006/relationships/image" Target="media/image311.png"/><Relationship Id="rId395" Type="http://schemas.openxmlformats.org/officeDocument/2006/relationships/image" Target="media/image312.png"/><Relationship Id="rId396" Type="http://schemas.openxmlformats.org/officeDocument/2006/relationships/image" Target="media/image313.png"/><Relationship Id="rId397" Type="http://schemas.openxmlformats.org/officeDocument/2006/relationships/image" Target="media/image314.png"/><Relationship Id="rId398" Type="http://schemas.openxmlformats.org/officeDocument/2006/relationships/image" Target="media/image315.png"/><Relationship Id="rId399" Type="http://schemas.openxmlformats.org/officeDocument/2006/relationships/image" Target="media/image316.png"/><Relationship Id="rId400" Type="http://schemas.openxmlformats.org/officeDocument/2006/relationships/image" Target="media/image317.png"/><Relationship Id="rId401" Type="http://schemas.openxmlformats.org/officeDocument/2006/relationships/image" Target="media/image318.png"/><Relationship Id="rId402" Type="http://schemas.openxmlformats.org/officeDocument/2006/relationships/image" Target="media/image319.png"/><Relationship Id="rId403" Type="http://schemas.openxmlformats.org/officeDocument/2006/relationships/image" Target="media/image320.png"/><Relationship Id="rId404" Type="http://schemas.openxmlformats.org/officeDocument/2006/relationships/image" Target="media/image321.png"/><Relationship Id="rId405" Type="http://schemas.openxmlformats.org/officeDocument/2006/relationships/image" Target="media/image322.png"/><Relationship Id="rId406" Type="http://schemas.openxmlformats.org/officeDocument/2006/relationships/image" Target="media/image323.png"/><Relationship Id="rId407" Type="http://schemas.openxmlformats.org/officeDocument/2006/relationships/image" Target="media/image324.png"/><Relationship Id="rId408" Type="http://schemas.openxmlformats.org/officeDocument/2006/relationships/image" Target="media/image325.png"/><Relationship Id="rId409" Type="http://schemas.openxmlformats.org/officeDocument/2006/relationships/image" Target="media/image326.png"/><Relationship Id="rId410" Type="http://schemas.openxmlformats.org/officeDocument/2006/relationships/image" Target="media/image327.png"/><Relationship Id="rId411" Type="http://schemas.openxmlformats.org/officeDocument/2006/relationships/image" Target="media/image328.png"/><Relationship Id="rId412" Type="http://schemas.openxmlformats.org/officeDocument/2006/relationships/image" Target="media/image329.png"/><Relationship Id="rId413" Type="http://schemas.openxmlformats.org/officeDocument/2006/relationships/image" Target="media/image330.png"/><Relationship Id="rId414" Type="http://schemas.openxmlformats.org/officeDocument/2006/relationships/image" Target="media/image331.png"/><Relationship Id="rId415" Type="http://schemas.openxmlformats.org/officeDocument/2006/relationships/image" Target="media/image332.png"/><Relationship Id="rId195" Type="http://schemas.openxmlformats.org/officeDocument/2006/relationships/hyperlink" Target="http://www.sec.gov/Archives/edgar/data/921299/000119312514420380/d824859dex31.htm" TargetMode="External"/><Relationship Id="rId196" Type="http://schemas.openxmlformats.org/officeDocument/2006/relationships/hyperlink" Target="http://www.sec.gov/Archives/edgar/data/921299/000119312514380087/d720189dex34.htm" TargetMode="External"/><Relationship Id="rId197" Type="http://schemas.openxmlformats.org/officeDocument/2006/relationships/hyperlink" Target="http://www.sec.gov/Archives/edgar/data/921299/000119312514420380/d824859dex41.htm" TargetMode="External"/><Relationship Id="rId198" Type="http://schemas.openxmlformats.org/officeDocument/2006/relationships/hyperlink" Target="http://www.sec.gov/Archives/edgar/data/921299/000156459017022738/fgen-ex46_97.htm" TargetMode="External"/><Relationship Id="rId199" Type="http://schemas.openxmlformats.org/officeDocument/2006/relationships/hyperlink" Target="http://www.sec.gov/Archives/edgar/data/921299/000119312514381669/d720189dex417.htm" TargetMode="External"/><Relationship Id="rId200" Type="http://schemas.openxmlformats.org/officeDocument/2006/relationships/hyperlink" Target="http://www.sec.gov/Archives/edgar/data/921299/000119312514359619/d720189dex103i.htm" TargetMode="External"/><Relationship Id="rId201" Type="http://schemas.openxmlformats.org/officeDocument/2006/relationships/hyperlink" Target="http://www.sec.gov/Archives/edgar/data/921299/000119312514359619/d720189dex103ii.htm" TargetMode="External"/><Relationship Id="rId202" Type="http://schemas.openxmlformats.org/officeDocument/2006/relationships/hyperlink" Target="http://www.sec.gov/Archives/edgar/data/921299/000119312514359619/d720189dex103iii.htm" TargetMode="External"/><Relationship Id="rId203" Type="http://schemas.openxmlformats.org/officeDocument/2006/relationships/hyperlink" Target="http://www.sec.gov/Archives/edgar/data/921299/000119312514359619/d720189dex103iv.htm" TargetMode="External"/><Relationship Id="rId205" Type="http://schemas.openxmlformats.org/officeDocument/2006/relationships/hyperlink" Target="http://www.sec.gov/Archives/edgar/data/921299/000119312514359619/d720189dex103v.htm" TargetMode="External"/><Relationship Id="rId206" Type="http://schemas.openxmlformats.org/officeDocument/2006/relationships/hyperlink" Target="http://www.sec.gov/Archives/edgar/data/921299/000119312514406755/d808943dex104.htm" TargetMode="External"/><Relationship Id="rId207" Type="http://schemas.openxmlformats.org/officeDocument/2006/relationships/hyperlink" Target="http://www.sec.gov/Archives/edgar/data/921299/000119312514406755/d808943dex105.htm" TargetMode="External"/><Relationship Id="rId208" Type="http://schemas.openxmlformats.org/officeDocument/2006/relationships/hyperlink" Target="http://www.sec.gov/Archives/edgar/data/921299/000156459019042615/fgen-ex106_129.htm" TargetMode="External"/><Relationship Id="rId209" Type="http://schemas.openxmlformats.org/officeDocument/2006/relationships/hyperlink" Target="http://www.sec.gov/Archives/edgar/data/921299/000119312518048551/d500266dex105.htm" TargetMode="External"/><Relationship Id="rId210" Type="http://schemas.openxmlformats.org/officeDocument/2006/relationships/hyperlink" Target="http://www.sec.gov/Archives/edgar/data/921299/000119312514359619/d720189dex108.htm" TargetMode="External"/><Relationship Id="rId211" Type="http://schemas.openxmlformats.org/officeDocument/2006/relationships/hyperlink" Target="http://www.sec.gov/Archives/edgar/data/921299/000119312514359619/d720189dex109.htm" TargetMode="External"/><Relationship Id="rId212" Type="http://schemas.openxmlformats.org/officeDocument/2006/relationships/hyperlink" Target="http://www.sec.gov/Archives/edgar/data/921299/000119312514359619/d720189dex1010.htm" TargetMode="External"/><Relationship Id="rId213" Type="http://schemas.openxmlformats.org/officeDocument/2006/relationships/hyperlink" Target="http://www.sec.gov/Archives/edgar/data/921299/000156459017022738/fgen-ex109_208.htm" TargetMode="External"/><Relationship Id="rId214" Type="http://schemas.openxmlformats.org/officeDocument/2006/relationships/hyperlink" Target="http://www.sec.gov/Archives/edgar/data/0000921299/000156459019004979/fgen-ex109i_141.htm" TargetMode="External"/><Relationship Id="rId215" Type="http://schemas.openxmlformats.org/officeDocument/2006/relationships/hyperlink" Target="http://www.sec.gov/Archives/edgar/data/921299/000119312514359619/d720189dex1012.htm" TargetMode="External"/><Relationship Id="rId217" Type="http://schemas.openxmlformats.org/officeDocument/2006/relationships/hyperlink" Target="http://www.sec.gov/Archives/edgar/data/921299/000119312514359619/d720189dex1013.htm" TargetMode="External"/><Relationship Id="rId218" Type="http://schemas.openxmlformats.org/officeDocument/2006/relationships/hyperlink" Target="http://www.sec.gov/Archives/edgar/data/921299/000119312514359619/d720189dex1014.htm" TargetMode="External"/><Relationship Id="rId219" Type="http://schemas.openxmlformats.org/officeDocument/2006/relationships/hyperlink" Target="http://www.sec.gov/Archives/edgar/data/921299/000119312514359619/d720189dex1015.htm" TargetMode="External"/><Relationship Id="rId220" Type="http://schemas.openxmlformats.org/officeDocument/2006/relationships/hyperlink" Target="http://www.sec.gov/Archives/edgar/data/921299/000119312514359619/d720189dex1016.htm" TargetMode="External"/><Relationship Id="rId221" Type="http://schemas.openxmlformats.org/officeDocument/2006/relationships/hyperlink" Target="http://www.sec.gov/Archives/edgar/data/921299/000119312514380087/d720189dex1017.htm" TargetMode="External"/><Relationship Id="rId222" Type="http://schemas.openxmlformats.org/officeDocument/2006/relationships/hyperlink" Target="http://www.sec.gov/Archives/edgar/data/921299/000119312517369506/d479246dex1016.htm" TargetMode="External"/><Relationship Id="rId223" Type="http://schemas.openxmlformats.org/officeDocument/2006/relationships/hyperlink" Target="http://www.sec.gov/Archives/edgar/data/921299/000119312514359619/d720189dex1019.htm" TargetMode="External"/><Relationship Id="rId224" Type="http://schemas.openxmlformats.org/officeDocument/2006/relationships/hyperlink" Target="http://www.sec.gov/Archives/edgar/data/921299/000119312514359619/d720189dex1020.htm" TargetMode="External"/><Relationship Id="rId225" Type="http://schemas.openxmlformats.org/officeDocument/2006/relationships/hyperlink" Target="http://www.sec.gov/Archives/edgar/data/921299/000119312514359619/d720189dex1021.htm" TargetMode="External"/><Relationship Id="rId226" Type="http://schemas.openxmlformats.org/officeDocument/2006/relationships/hyperlink" Target="http://www.sec.gov/Archives/edgar/data/921299/000119312514359619/d720189dex1022.htm" TargetMode="External"/><Relationship Id="rId227" Type="http://schemas.openxmlformats.org/officeDocument/2006/relationships/hyperlink" Target="http://www.sec.gov/Archives/edgar/data/921299/000119312514359619/d720189dex1023.htm" TargetMode="External"/><Relationship Id="rId228" Type="http://schemas.openxmlformats.org/officeDocument/2006/relationships/hyperlink" Target="http://www.sec.gov/Archives/edgar/data/921299/000119312514359619/d720189dex1024.htm" TargetMode="External"/><Relationship Id="rId229" Type="http://schemas.openxmlformats.org/officeDocument/2006/relationships/hyperlink" Target="http://www.sec.gov/Archives/edgar/data/921299/000119312514359619/d720189dex1025.htm" TargetMode="External"/><Relationship Id="rId231" Type="http://schemas.openxmlformats.org/officeDocument/2006/relationships/hyperlink" Target="http://www.sec.gov/Archives/edgar/data/921299/000119312514359619/d720189dex1026.htm" TargetMode="External"/><Relationship Id="rId232" Type="http://schemas.openxmlformats.org/officeDocument/2006/relationships/hyperlink" Target="http://www.sec.gov/Archives/edgar/data/921299/000119312514380087/d720189dex1027.htm" TargetMode="External"/><Relationship Id="rId233" Type="http://schemas.openxmlformats.org/officeDocument/2006/relationships/hyperlink" Target="http://www.sec.gov/Archives/edgar/data/921299/000119312514359619/d720189dex1028i.htm" TargetMode="External"/><Relationship Id="rId234" Type="http://schemas.openxmlformats.org/officeDocument/2006/relationships/hyperlink" Target="http://www.sec.gov/Archives/edgar/data/921299/000119312514359619/d720189dex1028ii.htm" TargetMode="External"/><Relationship Id="rId235" Type="http://schemas.openxmlformats.org/officeDocument/2006/relationships/hyperlink" Target="http://www.sec.gov/Archives/edgar/data/921299/000119312514359619/d720189dex1028iii.htm" TargetMode="External"/><Relationship Id="rId236" Type="http://schemas.openxmlformats.org/officeDocument/2006/relationships/hyperlink" Target="http://www.sec.gov/Archives/edgar/data/921299/000119312514359619/d720189dex1028iv.htm" TargetMode="External"/><Relationship Id="rId237" Type="http://schemas.openxmlformats.org/officeDocument/2006/relationships/hyperlink" Target="http://www.sec.gov/Archives/edgar/data/921299/000119312514359619/d720189dex1028v.htm" TargetMode="External"/><Relationship Id="rId238" Type="http://schemas.openxmlformats.org/officeDocument/2006/relationships/hyperlink" Target="http://www.sec.gov/Archives/edgar/data/921299/000119312514359619/d720189dex1028vi.htm" TargetMode="External"/><Relationship Id="rId239" Type="http://schemas.openxmlformats.org/officeDocument/2006/relationships/hyperlink" Target="http://www.sec.gov/Archives/edgar/data/921299/000119312514359619/d720189dex1028vii.htm" TargetMode="External"/><Relationship Id="rId240" Type="http://schemas.openxmlformats.org/officeDocument/2006/relationships/hyperlink" Target="http://www.sec.gov/Archives/edgar/data/921299/000119312514359619/d720189dex1028viii.htm" TargetMode="External"/><Relationship Id="rId241" Type="http://schemas.openxmlformats.org/officeDocument/2006/relationships/hyperlink" Target="http://www.sec.gov/Archives/edgar/data/921299/000119312514359619/d720189dex1028ix.htm" TargetMode="External"/><Relationship Id="rId242" Type="http://schemas.openxmlformats.org/officeDocument/2006/relationships/hyperlink" Target="http://www.sec.gov/Archives/edgar/data/921299/000119312514359619/d720189dex1028x.htm" TargetMode="External"/><Relationship Id="rId243" Type="http://schemas.openxmlformats.org/officeDocument/2006/relationships/hyperlink" Target="http://www.sec.gov/Archives/edgar/data/921299/000119312514359619/d720189dex1028xi.htm" TargetMode="External"/><Relationship Id="rId245" Type="http://schemas.openxmlformats.org/officeDocument/2006/relationships/hyperlink" Target="http://www.sec.gov/Archives/edgar/data/921299/000119312514359619/d720189dex1028xii.htm" TargetMode="External"/><Relationship Id="rId246" Type="http://schemas.openxmlformats.org/officeDocument/2006/relationships/hyperlink" Target="http://www.sec.gov/Archives/edgar/data/921299/000119312514359619/d720189dex1028xiii.htm" TargetMode="External"/><Relationship Id="rId247" Type="http://schemas.openxmlformats.org/officeDocument/2006/relationships/hyperlink" Target="http://www.sec.gov/Archives/edgar/data/921299/000119312514359619/d720189dex1028xiv.htm" TargetMode="External"/><Relationship Id="rId248" Type="http://schemas.openxmlformats.org/officeDocument/2006/relationships/hyperlink" Target="http://www.sec.gov/Archives/edgar/data/921299/000119312514359619/d720189dex1028xv.htm" TargetMode="External"/><Relationship Id="rId249" Type="http://schemas.openxmlformats.org/officeDocument/2006/relationships/hyperlink" Target="http://www.sec.gov/Archives/edgar/data/921299/000119312514359619/d720189dex1028xvi.htm" TargetMode="External"/><Relationship Id="rId250" Type="http://schemas.openxmlformats.org/officeDocument/2006/relationships/hyperlink" Target="http://www.sec.gov/Archives/edgar/data/921299/000156459015010594/fgen-ex1028xvii_777.htm" TargetMode="External"/><Relationship Id="rId251" Type="http://schemas.openxmlformats.org/officeDocument/2006/relationships/hyperlink" Target="http://www.sec.gov/Archives/edgar/data/921299/000156459015010594/fgen-ex1028xviii_778.htm" TargetMode="External"/><Relationship Id="rId252" Type="http://schemas.openxmlformats.org/officeDocument/2006/relationships/hyperlink" Target="http://www.sec.gov/Archives/edgar/data/921299/000156459015010594/fgen-ex1028xix_776.htm" TargetMode="External"/><Relationship Id="rId253" Type="http://schemas.openxmlformats.org/officeDocument/2006/relationships/hyperlink" Target="http://www.sec.gov/Archives/edgar/data/921299/000156459015010594/fgen-ex1028xx_779.htm" TargetMode="External"/><Relationship Id="rId254" Type="http://schemas.openxmlformats.org/officeDocument/2006/relationships/hyperlink" Target="http://www.sec.gov/Archives/edgar/data/921299/000156459015010594/fgen-ex1028xxi_780.htm" TargetMode="External"/><Relationship Id="rId255" Type="http://schemas.openxmlformats.org/officeDocument/2006/relationships/hyperlink" Target="http://www.sec.gov/Archives/edgar/data/921299/000156459015010594/fgen-ex1028xxii_775.htm" TargetMode="External"/><Relationship Id="rId256" Type="http://schemas.openxmlformats.org/officeDocument/2006/relationships/hyperlink" Target="http://www.sec.gov/Archives/edgar/data/921299/000156459015010594/fgen-ex1028xxiii_781.htm" TargetMode="External"/><Relationship Id="rId258" Type="http://schemas.openxmlformats.org/officeDocument/2006/relationships/hyperlink" Target="http://www.sec.gov/Archives/edgar/data/921299/000156459015010594/fgen-ex1028xxiv_782.htm" TargetMode="External"/><Relationship Id="rId259" Type="http://schemas.openxmlformats.org/officeDocument/2006/relationships/hyperlink" Target="http://www.sec.gov/Archives/edgar/data/921299/000156459016023280/fgen-ex1026xxv_114.htm" TargetMode="External"/><Relationship Id="rId260" Type="http://schemas.openxmlformats.org/officeDocument/2006/relationships/hyperlink" Target="http://www.sec.gov/Archives/edgar/data/921299/000156459016023280/fgen-ex1026xxvi_113.htm" TargetMode="External"/><Relationship Id="rId261" Type="http://schemas.openxmlformats.org/officeDocument/2006/relationships/hyperlink" Target="http://www.sec.gov/Archives/edgar/data/921299/000156459016023280/fgen-ex1026xxvii_111.htm" TargetMode="External"/><Relationship Id="rId262" Type="http://schemas.openxmlformats.org/officeDocument/2006/relationships/hyperlink" Target="http://www.sec.gov/Archives/edgar/data/921299/000156459016023280/fgen-ex1026xxviii_112.htm" TargetMode="External"/><Relationship Id="rId263" Type="http://schemas.openxmlformats.org/officeDocument/2006/relationships/hyperlink" Target="http://www.sec.gov/Archives/edgar/data/921299/000156459016028331/fgen-ex1026_175.htm" TargetMode="External"/><Relationship Id="rId264" Type="http://schemas.openxmlformats.org/officeDocument/2006/relationships/hyperlink" Target="http://www.sec.gov/Archives/edgar/data/921299/000156459016028331/fgen-ex1026_174.htm" TargetMode="External"/><Relationship Id="rId265" Type="http://schemas.openxmlformats.org/officeDocument/2006/relationships/hyperlink" Target="http://www.sec.gov/Archives/edgar/data/921299/000156459017003095/fgen-ex1026_997.htm" TargetMode="External"/><Relationship Id="rId266" Type="http://schemas.openxmlformats.org/officeDocument/2006/relationships/hyperlink" Target="http://www.sec.gov/Archives/edgar/data/921299/000156459017003095/fgen-ex1026_996.htm" TargetMode="External"/><Relationship Id="rId267" Type="http://schemas.openxmlformats.org/officeDocument/2006/relationships/hyperlink" Target="http://www.sec.gov/Archives/edgar/data/921299/000156459017009854/fgen-ex1026_231.htm" TargetMode="External"/><Relationship Id="rId269" Type="http://schemas.openxmlformats.org/officeDocument/2006/relationships/hyperlink" Target="http://www.sec.gov/Archives/edgar/data/0000921299/000156459018003508/fgen-ex1026xxxiv_389.htm" TargetMode="External"/><Relationship Id="rId270" Type="http://schemas.openxmlformats.org/officeDocument/2006/relationships/hyperlink" Target="http://www.sec.gov/Archives/edgar/data/0000921299/000156459018003508/fgen-ex1026xxxv_390.htm" TargetMode="External"/><Relationship Id="rId271" Type="http://schemas.openxmlformats.org/officeDocument/2006/relationships/hyperlink" Target="http://www.sec.gov/Archives/edgar/data/0000921299/000156459019018022/fgen-ex1026xxxvi_150.htm" TargetMode="External"/><Relationship Id="rId272" Type="http://schemas.openxmlformats.org/officeDocument/2006/relationships/hyperlink" Target="http://www.sec.gov/Archives/edgar/data/921299/000156459017009854/fgen-ex1032_233.htm" TargetMode="External"/><Relationship Id="rId273" Type="http://schemas.openxmlformats.org/officeDocument/2006/relationships/hyperlink" Target="http://www.sec.gov/Archives/edgar/data/921299/000119312514359619/d720189dex1031.htm" TargetMode="External"/><Relationship Id="rId274" Type="http://schemas.openxmlformats.org/officeDocument/2006/relationships/hyperlink" Target="http://www.sec.gov/Archives/edgar/data/921299/000119312514359619/d720189dex1030.htm" TargetMode="External"/><Relationship Id="rId275" Type="http://schemas.openxmlformats.org/officeDocument/2006/relationships/hyperlink" Target="http://www.sec.gov/Archives/edgar/data/921299/000156459019042615/fgen-ex107_130.htm" TargetMode="External"/><Relationship Id="rId276" Type="http://schemas.openxmlformats.org/officeDocument/2006/relationships/hyperlink" Target="http://www.sec.gov/Archives/edgar/data/921299/000119312514381669/d72018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2020-03-02T15:30:29Z</dcterms:created>
  <dcterms:modified xsi:type="dcterms:W3CDTF">2020-03-02T15:30:29Z</dcterms:modified>
</cp:coreProperties>
</file>