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gen-20250630.htm"/>
      <w:bookmarkStart w:id="1" w:name="ksfgen20250630"/>
      <w:bookmarkEnd w:id="0"/>
      <w:bookmarkEnd w:id="1"/>
      <w:r>
        <w:rPr/>
        <w:t>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aps/>
          <w:color w:val="000000"/>
          <w:sz w:val="36"/>
        </w:rPr>
        <w:t>F</w:t>
      </w:r>
      <w:r>
        <w:rPr>
          <w:rFonts w:ascii="Times New Roman" w:hAnsi="Times New Roman"/>
          <w:b/>
          <w:color w:val="000000"/>
          <w:sz w:val="36"/>
        </w:rPr>
        <w:t>orm 10-Q</w:t>
      </w:r>
    </w:p>
    <w:p>
      <w:pPr>
        <w:pStyle w:val="TextBody"/>
        <w:pBdr>
          <w:bottom w:val="single" w:sz="4" w:space="1" w:color="000000"/>
        </w:pBdr>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001-36740</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FIBROGEN,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063" w:type="dxa"/>
        <w:jc w:val="left"/>
        <w:tblInd w:w="0" w:type="dxa"/>
        <w:tblLayout w:type="fixed"/>
        <w:tblCellMar>
          <w:top w:w="28" w:type="dxa"/>
          <w:left w:w="28" w:type="dxa"/>
          <w:bottom w:w="28" w:type="dxa"/>
          <w:right w:w="28" w:type="dxa"/>
        </w:tblCellMar>
      </w:tblPr>
      <w:tblGrid>
        <w:gridCol w:w="2431"/>
        <w:gridCol w:w="146"/>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4093" w:type="dxa"/>
        <w:jc w:val="left"/>
        <w:tblInd w:w="0" w:type="dxa"/>
        <w:tblLayout w:type="fixed"/>
        <w:tblCellMar>
          <w:top w:w="28" w:type="dxa"/>
          <w:left w:w="28" w:type="dxa"/>
          <w:bottom w:w="28" w:type="dxa"/>
          <w:right w:w="28" w:type="dxa"/>
        </w:tblCellMar>
      </w:tblPr>
      <w:tblGrid>
        <w:gridCol w:w="3016"/>
        <w:gridCol w:w="14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 Bay Street,</w:t>
            </w:r>
            <w:r>
              <w:rPr>
                <w:rFonts w:ascii="Times New Roman" w:hAnsi="Times New Roman"/>
                <w:color w:val="000000"/>
                <w:sz w:val="20"/>
              </w:rPr>
              <w:t xml:space="preserve"> </w:t>
            </w:r>
            <w:r>
              <w:rPr>
                <w:rFonts w:ascii="Times New Roman" w:hAnsi="Times New Roman"/>
                <w:b/>
                <w:color w:val="000000"/>
                <w:sz w:val="20"/>
              </w:rPr>
              <w:t>Suite 100, #6009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94158</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978-1200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501"/>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FGEN</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Layout w:type="fixed"/>
        <w:tblCellMar>
          <w:top w:w="28" w:type="dxa"/>
          <w:left w:w="28" w:type="dxa"/>
          <w:bottom w:w="28" w:type="dxa"/>
          <w:right w:w="28" w:type="dxa"/>
        </w:tblCellMar>
      </w:tblPr>
      <w:tblGrid>
        <w:gridCol w:w="2142"/>
        <w:gridCol w:w="492"/>
        <w:gridCol w:w="2487"/>
        <w:gridCol w:w="537"/>
      </w:tblGrid>
      <w:tr>
        <w:trPr/>
        <w:tc>
          <w:tcPr>
            <w:tcW w:w="21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Large accelerated filer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Accelerated filer </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Non-accelerated filer</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Smaller reporting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Emerging growth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Exchange Act Rule 12b-2). Yes ☐ No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number of shares of common stock outstanding as of July 31, 2025 was 4,043,899.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0"/>
        <w:gridCol w:w="8687"/>
        <w:gridCol w:w="146"/>
        <w:gridCol w:w="482"/>
      </w:tblGrid>
      <w:tr>
        <w:trPr/>
        <w:tc>
          <w:tcPr>
            <w:tcW w:w="890" w:type="dxa"/>
            <w:tcBorders/>
            <w:vAlign w:val="center"/>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condensed_consolidated_financial">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u w:val="single"/>
                </w:rPr>
                <w:t>Condensed Consolidated Balance Sheets as of June 30, 2025 and December 31,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ompre">
              <w:r>
                <w:rPr>
                  <w:rStyle w:val="InternetLink"/>
                  <w:rFonts w:ascii="Times New Roman" w:hAnsi="Times New Roman"/>
                  <w:color w:val="0000FF"/>
                  <w:sz w:val="20"/>
                  <w:u w:val="single"/>
                </w:rPr>
                <w:t>Condensed Consolidated Statements of Comprehensive Loss for the Three and Six Months Ended June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equity">
              <w:r>
                <w:rPr>
                  <w:rStyle w:val="InternetLink"/>
                  <w:rFonts w:ascii="Times New Roman" w:hAnsi="Times New Roman"/>
                  <w:color w:val="0000FF"/>
                  <w:sz w:val="20"/>
                  <w:u w:val="single"/>
                </w:rPr>
                <w:t>Condensed Consolidated Statements of Changes in Redeemable Non-controlling Interests and Stockholders’ Deficit for the Three and Six Months Ended June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60" w:after="283"/>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675" w:type="dxa"/>
        <w:jc w:val="left"/>
        <w:tblInd w:w="0" w:type="dxa"/>
        <w:tblLayout w:type="fixed"/>
        <w:tblCellMar>
          <w:top w:w="28" w:type="dxa"/>
          <w:left w:w="28" w:type="dxa"/>
          <w:bottom w:w="28" w:type="dxa"/>
          <w:right w:w="28" w:type="dxa"/>
        </w:tblCellMar>
      </w:tblPr>
      <w:tblGrid>
        <w:gridCol w:w="5721"/>
        <w:gridCol w:w="246"/>
        <w:gridCol w:w="203"/>
        <w:gridCol w:w="922"/>
        <w:gridCol w:w="246"/>
        <w:gridCol w:w="246"/>
        <w:gridCol w:w="271"/>
        <w:gridCol w:w="1229"/>
        <w:gridCol w:w="591"/>
      </w:tblGrid>
      <w:tr>
        <w:trPr/>
        <w:tc>
          <w:tcPr>
            <w:tcW w:w="5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assets held for sale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132,650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assets held for sale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178,055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interests and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and 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term loan facilities,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73,733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liabilities held for sale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net of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term loan facilities, non-current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related to sale of future revenues, non-current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58,864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 held for sale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359,085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125,000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 xml:space="preserve">shares issued </w:t>
              <w:br/>
              <w:t>   and outstanding at June 30, 2025 and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225,000</w:t>
            </w:r>
            <w:r>
              <w:rPr>
                <w:rFonts w:ascii="Times New Roman" w:hAnsi="Times New Roman"/>
                <w:color w:val="000000"/>
                <w:sz w:val="20"/>
              </w:rPr>
              <w:t> </w:t>
            </w:r>
            <w:r>
              <w:rPr>
                <w:rFonts w:ascii="Times New Roman" w:hAnsi="Times New Roman"/>
                <w:color w:val="000000"/>
                <w:sz w:val="16"/>
              </w:rPr>
              <w:t xml:space="preserve">shares authorized at June 30, 2025 </w:t>
              <w:br/>
              <w:t>   and December 31, 2024; 4,044</w:t>
            </w:r>
            <w:r>
              <w:rPr>
                <w:rFonts w:ascii="Times New Roman" w:hAnsi="Times New Roman"/>
                <w:color w:val="000000"/>
                <w:sz w:val="20"/>
              </w:rPr>
              <w:t> </w:t>
            </w:r>
            <w:r>
              <w:rPr>
                <w:rFonts w:ascii="Times New Roman" w:hAnsi="Times New Roman"/>
                <w:color w:val="000000"/>
                <w:sz w:val="16"/>
              </w:rPr>
              <w:t>and 4,037</w:t>
            </w:r>
            <w:r>
              <w:rPr>
                <w:rFonts w:ascii="Times New Roman" w:hAnsi="Times New Roman"/>
                <w:color w:val="000000"/>
                <w:sz w:val="20"/>
              </w:rPr>
              <w:t> </w:t>
            </w:r>
            <w:r>
              <w:rPr>
                <w:rFonts w:ascii="Times New Roman" w:hAnsi="Times New Roman"/>
                <w:color w:val="000000"/>
                <w:sz w:val="16"/>
              </w:rPr>
              <w:t xml:space="preserve">shares issued and outstanding </w:t>
              <w:br/>
              <w:t>   at June 30, 2025 and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1,673,249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1,668,620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(1,892,463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stockholders’ deficit attributable to FibroGen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(222,997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(202,510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redeemable non-controlling interests and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178,055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653"/>
        <w:gridCol w:w="146"/>
        <w:gridCol w:w="214"/>
        <w:gridCol w:w="751"/>
        <w:gridCol w:w="169"/>
        <w:gridCol w:w="148"/>
        <w:gridCol w:w="214"/>
        <w:gridCol w:w="751"/>
        <w:gridCol w:w="166"/>
        <w:gridCol w:w="146"/>
        <w:gridCol w:w="211"/>
        <w:gridCol w:w="736"/>
        <w:gridCol w:w="166"/>
        <w:gridCol w:w="146"/>
        <w:gridCol w:w="211"/>
        <w:gridCol w:w="781"/>
        <w:gridCol w:w="596"/>
      </w:tblGrid>
      <w:tr>
        <w:trPr/>
        <w:tc>
          <w:tcPr>
            <w:tcW w:w="4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(96,415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(13,683</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(96,141</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(48,477</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used to calculate</w:t>
              <w:br/>
              <w:t>   net income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804" w:type="dxa"/>
        <w:jc w:val="left"/>
        <w:tblInd w:w="0" w:type="dxa"/>
        <w:tblLayout w:type="fixed"/>
        <w:tblCellMar>
          <w:top w:w="28" w:type="dxa"/>
          <w:left w:w="28" w:type="dxa"/>
          <w:bottom w:w="28" w:type="dxa"/>
          <w:right w:w="28" w:type="dxa"/>
        </w:tblCellMar>
      </w:tblPr>
      <w:tblGrid>
        <w:gridCol w:w="4391"/>
        <w:gridCol w:w="146"/>
        <w:gridCol w:w="227"/>
        <w:gridCol w:w="680"/>
        <w:gridCol w:w="179"/>
        <w:gridCol w:w="157"/>
        <w:gridCol w:w="227"/>
        <w:gridCol w:w="793"/>
        <w:gridCol w:w="166"/>
        <w:gridCol w:w="146"/>
        <w:gridCol w:w="211"/>
        <w:gridCol w:w="631"/>
        <w:gridCol w:w="166"/>
        <w:gridCol w:w="146"/>
        <w:gridCol w:w="211"/>
        <w:gridCol w:w="736"/>
        <w:gridCol w:w="591"/>
      </w:tblGrid>
      <w:tr>
        <w:trPr/>
        <w:tc>
          <w:tcPr>
            <w:tcW w:w="4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investments, net of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sz w:val="20"/>
        </w:rPr>
      </w:pPr>
      <w:bookmarkStart w:id="8" w:name="condensed_consolidated_statements_equity"/>
      <w:bookmarkEnd w:id="8"/>
      <w:r>
        <w:rPr>
          <w:rFonts w:ascii="Times New Roman" w:hAnsi="Times New Roman"/>
          <w:b/>
          <w:color w:val="000000"/>
          <w:sz w:val="20"/>
        </w:rPr>
        <w:t>CONDENSED CONSOLIDATED STATEMENTS OF CHANGES IN REDEEMABLE NON-CONTROLLING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INTERESTS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651" w:type="dxa"/>
        <w:jc w:val="left"/>
        <w:tblInd w:w="0" w:type="dxa"/>
        <w:tblLayout w:type="fixed"/>
        <w:tblCellMar>
          <w:top w:w="28" w:type="dxa"/>
          <w:left w:w="28" w:type="dxa"/>
          <w:bottom w:w="28" w:type="dxa"/>
          <w:right w:w="28" w:type="dxa"/>
        </w:tblCellMar>
      </w:tblPr>
      <w:tblGrid>
        <w:gridCol w:w="1081"/>
        <w:gridCol w:w="146"/>
        <w:gridCol w:w="146"/>
        <w:gridCol w:w="826"/>
        <w:gridCol w:w="166"/>
        <w:gridCol w:w="146"/>
        <w:gridCol w:w="196"/>
        <w:gridCol w:w="511"/>
        <w:gridCol w:w="146"/>
        <w:gridCol w:w="146"/>
        <w:gridCol w:w="196"/>
        <w:gridCol w:w="826"/>
        <w:gridCol w:w="166"/>
        <w:gridCol w:w="146"/>
        <w:gridCol w:w="260"/>
        <w:gridCol w:w="761"/>
        <w:gridCol w:w="166"/>
        <w:gridCol w:w="146"/>
        <w:gridCol w:w="196"/>
        <w:gridCol w:w="886"/>
        <w:gridCol w:w="166"/>
        <w:gridCol w:w="146"/>
        <w:gridCol w:w="269"/>
        <w:gridCol w:w="827"/>
        <w:gridCol w:w="146"/>
        <w:gridCol w:w="146"/>
        <w:gridCol w:w="196"/>
        <w:gridCol w:w="751"/>
        <w:gridCol w:w="166"/>
        <w:gridCol w:w="146"/>
        <w:gridCol w:w="146"/>
        <w:gridCol w:w="269"/>
        <w:gridCol w:w="827"/>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(Note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Redemption of fractional</w:t>
              <w:br/>
              <w:t xml:space="preserve">   shares due to reverse </w:t>
              <w:br/>
              <w:t>   stock split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w:t>
              <w:br/>
              <w: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3,978,975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w:t>
              <w:br/>
              <w: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CONSOLIDATED STATEMENTS OF CHANGES IN REDEEMABLE NON-CONTROLLING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INTERESTS AND STOCKHOLDERS’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1651" w:type="dxa"/>
        <w:jc w:val="left"/>
        <w:tblInd w:w="0" w:type="dxa"/>
        <w:tblLayout w:type="fixed"/>
        <w:tblCellMar>
          <w:top w:w="28" w:type="dxa"/>
          <w:left w:w="28" w:type="dxa"/>
          <w:bottom w:w="28" w:type="dxa"/>
          <w:right w:w="28" w:type="dxa"/>
        </w:tblCellMar>
      </w:tblPr>
      <w:tblGrid>
        <w:gridCol w:w="1081"/>
        <w:gridCol w:w="146"/>
        <w:gridCol w:w="146"/>
        <w:gridCol w:w="826"/>
        <w:gridCol w:w="166"/>
        <w:gridCol w:w="146"/>
        <w:gridCol w:w="196"/>
        <w:gridCol w:w="511"/>
        <w:gridCol w:w="146"/>
        <w:gridCol w:w="146"/>
        <w:gridCol w:w="196"/>
        <w:gridCol w:w="826"/>
        <w:gridCol w:w="166"/>
        <w:gridCol w:w="146"/>
        <w:gridCol w:w="260"/>
        <w:gridCol w:w="761"/>
        <w:gridCol w:w="166"/>
        <w:gridCol w:w="146"/>
        <w:gridCol w:w="196"/>
        <w:gridCol w:w="886"/>
        <w:gridCol w:w="166"/>
        <w:gridCol w:w="146"/>
        <w:gridCol w:w="269"/>
        <w:gridCol w:w="827"/>
        <w:gridCol w:w="146"/>
        <w:gridCol w:w="146"/>
        <w:gridCol w:w="196"/>
        <w:gridCol w:w="751"/>
        <w:gridCol w:w="166"/>
        <w:gridCol w:w="146"/>
        <w:gridCol w:w="146"/>
        <w:gridCol w:w="269"/>
        <w:gridCol w:w="827"/>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(Note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cost under </w:t>
              <w:br/>
              <w:t>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Redemption of fractional</w:t>
              <w:br/>
              <w:t xml:space="preserve">   shares due to reverse </w:t>
              <w:br/>
              <w:t>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3,950,809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w:t>
              <w:br/>
              <w: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6997" w:type="dxa"/>
        <w:jc w:val="left"/>
        <w:tblInd w:w="0" w:type="dxa"/>
        <w:tblLayout w:type="fixed"/>
        <w:tblCellMar>
          <w:top w:w="28" w:type="dxa"/>
          <w:left w:w="28" w:type="dxa"/>
          <w:bottom w:w="28" w:type="dxa"/>
          <w:right w:w="28" w:type="dxa"/>
        </w:tblCellMar>
      </w:tblPr>
      <w:tblGrid>
        <w:gridCol w:w="4321"/>
        <w:gridCol w:w="146"/>
        <w:gridCol w:w="188"/>
        <w:gridCol w:w="625"/>
        <w:gridCol w:w="157"/>
        <w:gridCol w:w="151"/>
        <w:gridCol w:w="188"/>
        <w:gridCol w:w="625"/>
        <w:gridCol w:w="59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(48,477</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Adjustments to reconcile net loss to net cash provided by (used in)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accretion of premium and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Investment income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17,350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5,962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15,578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(21,692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(7,977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(52,663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(29,501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interest expense related to sale of future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interest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15,401</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(99,157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(8,628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132,183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123,515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Repayments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for payroll taxes on restricted stock unit releases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of issuance cost under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under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Effect of exchange rate change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17,663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27,026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102,178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113,688</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119,841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140,714</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FibroGen, Inc. (“FibroGen” or the “Company”) is a biopharmaceutical company focused on development of novel therapies at the frontiers of cancer biology and anemia.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The Company anticipates initiation of a Phase 2 monotherapy dose optimization study of FG-3246 for the treatment of mCRPC, along with the exploratory analysis of FG-3180, in the third quarter of 2025, pending close of the sale of FibroGen International to AstraZeneca Treasury Limited.</w:t>
      </w:r>
    </w:p>
    <w:p>
      <w:pPr>
        <w:pStyle w:val="TextBody"/>
        <w:bidi w:val="0"/>
        <w:spacing w:before="240" w:after="283"/>
        <w:jc w:val="left"/>
        <w:rPr/>
      </w:pPr>
      <w:r>
        <w:rPr>
          <w:rFonts w:ascii="Times New Roman" w:hAnsi="Times New Roman"/>
          <w:color w:val="000000"/>
          <w:sz w:val="20"/>
        </w:rPr>
        <w:t>The Company and its collaboration partners have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the People’s Republic of China (“China”), Europe, Japan, and numerous other countries for the treatment of anemia in chronic kidney disease (“CKD”) patients on dialysis and not on dialysis.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20, 2025, the Company entered into a share purchase agreement (the “Share Purchase Agreement”) with AstraZeneca Treasury Limited pursuant to which FibroGen and its subsidiary FibroGen China Anemia Holdings, Ltd. agreed to sell all of the issued and outstanding equity interests of FibroGen International (Hong Kong) Ltd. (“FibroGen International”) to AstraZeneca Treasury Limited. AstraZeneca AB (“AstraZeneca”) is the Company’s long-time commercialization partner for roxadustat in greater China and South Korea. This sale includes all of FibroGen’s roxadustat assets in China, including FibroGen International’s subsidiary FibroGen (China) Medical Technology Development Co., Ltd (“FibroGen Beijing”) and its 51.1% interest in Beijing Falikang Pharmaceutical Co., Ltd. (“Falikang”). The transaction is expected to close in the third quarter of 2025, and is subject to customary closing conditions and closing deliverables, including receipt of regulatory approval from the China State Administration for Market Regulation (“SAMR”). </w:t>
      </w:r>
    </w:p>
    <w:p>
      <w:pPr>
        <w:pStyle w:val="TextBody"/>
        <w:bidi w:val="0"/>
        <w:spacing w:before="240" w:after="283"/>
        <w:jc w:val="left"/>
        <w:rPr>
          <w:rFonts w:ascii="Times New Roman" w:hAnsi="Times New Roman"/>
          <w:sz w:val="20"/>
        </w:rPr>
      </w:pPr>
      <w:r>
        <w:rPr>
          <w:rFonts w:ascii="Times New Roman" w:hAnsi="Times New Roman"/>
          <w:color w:val="000000"/>
          <w:sz w:val="20"/>
        </w:rPr>
        <w:t>FibroGen has retained the rights to roxadustat in the United States of America (“U.S.”), Canada, Mexico, and in all markets not held by AstraZeneca or licensed to Astellas Pharma Inc. (“Astellas”). Roxadustat is not approved for commercialization in any indication in the U.S., Canada, or Mexico.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continues to work on its development plan for roxadustat in anemia associated with lower-risk myelodysplastic syndromes (“MDS”), a high-value indication with significant unmet medical need.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2024, filed on March 17,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reportable segment — the development and commercialization of novel therapeutics to treat serious unmet medical needs.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for an aggregate purchase price comprised of $85 million in cash for the enterprise value of FibroGen International, plus an additional cash amount equal to the net cash held in China by FibroGen International and its subsidiaries as of the closing. This sale includes all of FibroGen’s roxadustat assets in China, including FibroGen International’s subsidiary FibroGen Beijing and its 51.1% interest in Falikang. The transaction is expected to close in the third quarter of 2025, and is subject to customary closing conditions and closing deliverables, including receipt of regulatory approval from the China SAMR. The Company analyzed the quantitative and qualitative factors and concluded that the sale of FibroGen International represents a strategic shift in FibroGen’s business and qualified as a discontinued operation. As a result, the Company determined that FibroGen International met the “held for sale” criteria and the “discontinued operations” criteria in accordance with Financial Accounting Standard Board (“FASB”)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xml:space="preserve">, as of June 30, 2025 and December 31, 2024. Accordingly, the condensed consolidated balance sheets and the condensed consolidated statements of operations, and the notes to the condensed consolidated financial statements were recasted for all periods presented to reflect the discontinuation of FibroGen International in accordance with ASC 205. The operating results related to FibroGen International are classified as discontinued operations, and have been reflected as discontinued operations in the condensed consolidated statements of operations, while the related assets and liabilities were classified within the condensed consolidated balance sheets as held for sale for all periods presented. See Note 2, </w:t>
      </w:r>
      <w:r>
        <w:rPr>
          <w:rFonts w:ascii="Times New Roman" w:hAnsi="Times New Roman"/>
          <w:i/>
          <w:color w:val="000000"/>
          <w:sz w:val="20"/>
        </w:rPr>
        <w:t>Discontinued Operations</w:t>
      </w:r>
      <w:r>
        <w:rPr>
          <w:rFonts w:ascii="Times New Roman" w:hAnsi="Times New Roman"/>
          <w:color w:val="000000"/>
          <w:sz w:val="20"/>
        </w:rPr>
        <w:t>, for related disclosures. Unless otherwise noted, discussion in the notes to these consolidated financial statements, relates to solely to the Company’s continuing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16, 2025, the Company effected a 1-for-25 reverse stock split (the “Reverse Stock Split”). The Reverse Stock Split reduced the number of issued and outstanding shares of common stock from approximately 101.1 million shares to approximately 4.0 million shares. Proportionate adjustments have been made to the number of shares available for issuance under the Company’s equity incentive plans as well as outstanding equity awards, in accordance with their respective terms. All share amounts have been retroactively adjusted in the condensed consolidated financial statements and the notes to the condensed consolidated financial statements, where applicable, to reflect the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are prepared in accordance with the U.S. GAAP applicable to a going concern, which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is unable to complete the above mentioned sale of FibroGen International, access additional cash from its China operations, or raise additional capital in the U.S., the Company would not have sufficient liquidity to continue operations in the U.S. for the 12 months from the date that the financial statements are issued and would not be able to comply with its financial covenant that requires a minimum balance of $18.75 million of unrestricted cash and cash equivalents to be held in accounts in the United States. Upon an event of default, the Company’s senior secured term loan facilities could become immediately due and payable. The Company has evaluated measures to access additional cash from its China operations and believes the sale of FibroGen International represents the most efficient way to access the entirety of its cash from China upon closing of the transaction. There is also the potential that the Company raises additional funds in the U.S. at any time through equity, equity-linked, or debt financing arrangements or from other sources. There can be no assurances that these plans will be successful. As a result of these factors, the Company has determined that there is substantial doubt about its ability to continue as a going concern within 12 months after the date that the financial statements are issued.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used by the Company in its presentation of interim financial results are consistent with those presented in Note 2 to the consolidated financial statements included in the Company’s Annual Report on Form 10-K for the year ended December 31, 2024, filed on March 17,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common shares that would have the effect of increasing diluted earnings per share are considered to be anti-dilutive and as such, these shares are not included in the calculation of diluted earnings per share. The Company reported a loss from continuing operations for each of the three and six months ended June 30, 2025 and 2024. Therefore, dilutive common shares are not assumed to have been issued since their effect is anti-dilutive for these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pStyle w:val="TextBody"/>
        <w:bidi w:val="0"/>
        <w:jc w:val="left"/>
        <w:rPr/>
      </w:pPr>
      <w:r>
        <w:rPr/>
        <w:t> </w:t>
      </w:r>
    </w:p>
    <w:tbl>
      <w:tblPr>
        <w:tblW w:w="7529" w:type="dxa"/>
        <w:jc w:val="left"/>
        <w:tblInd w:w="0" w:type="dxa"/>
        <w:tblLayout w:type="fixed"/>
        <w:tblCellMar>
          <w:top w:w="28" w:type="dxa"/>
          <w:left w:w="28" w:type="dxa"/>
          <w:bottom w:w="28" w:type="dxa"/>
          <w:right w:w="28" w:type="dxa"/>
        </w:tblCellMar>
      </w:tblPr>
      <w:tblGrid>
        <w:gridCol w:w="2566"/>
        <w:gridCol w:w="146"/>
        <w:gridCol w:w="232"/>
        <w:gridCol w:w="668"/>
        <w:gridCol w:w="232"/>
        <w:gridCol w:w="232"/>
        <w:gridCol w:w="232"/>
        <w:gridCol w:w="668"/>
        <w:gridCol w:w="146"/>
        <w:gridCol w:w="146"/>
        <w:gridCol w:w="212"/>
        <w:gridCol w:w="611"/>
        <w:gridCol w:w="212"/>
        <w:gridCol w:w="212"/>
        <w:gridCol w:w="212"/>
        <w:gridCol w:w="61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PRSUs and TSR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Guidance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and relevantly in January 2025, the FASB issued ASU 2025-01, </w:t>
      </w:r>
      <w:r>
        <w:rPr>
          <w:rFonts w:ascii="Times New Roman" w:hAnsi="Times New Roman"/>
          <w:i/>
          <w:color w:val="000000"/>
          <w:sz w:val="20"/>
        </w:rPr>
        <w:t xml:space="preserve">Income Statement - Reporting Comprehensive Income - Expense Disaggregation Disclosures (Subtopic 220-40): Clarifying the Effective Date. </w:t>
      </w:r>
      <w:r>
        <w:rPr>
          <w:rFonts w:ascii="Times New Roman" w:hAnsi="Times New Roman"/>
          <w:color w:val="000000"/>
          <w:sz w:val="20"/>
        </w:rPr>
        <w:t>The guidance requires entities to disaggregate operating expenses into specific categories to provide enhanced transparency into the nature and 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Discontinued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for an aggregate purchase price comprised of $85 million in cash for the enterprise value of FibroGen International, plus an additional cash amount equal to the net cash held in China by FibroGen International and its subsidiaries as of the closing. This sale includes all of our roxadustat assets in China, including FibroGen International’s subsidiary FibroGen Beijing and its 51.1% interest in Falikang. The transaction is expected to close in the third quarter of 2025, and is subject to customary closing conditions and closing deliverables, including receipt of regulatory approval from the China SAMR. The Company analyzed the quantitative and qualitative factors and concluded that the sale of FibroGen International represents a strategic shift in FibroGen’s business and qualified as a discontinued operation. As a result, Company determined that FibroGen International met the “held for sale” criteria and the “discontinued operations” criteria in accordance with FASB ASC 205, </w:t>
      </w:r>
      <w:r>
        <w:rPr>
          <w:rFonts w:ascii="Times New Roman" w:hAnsi="Times New Roman"/>
          <w:i/>
          <w:color w:val="000000"/>
          <w:sz w:val="20"/>
        </w:rPr>
        <w:t>Presentation of Financial Statements</w:t>
      </w:r>
      <w:r>
        <w:rPr>
          <w:rFonts w:ascii="Times New Roman" w:hAnsi="Times New Roman"/>
          <w:color w:val="000000"/>
          <w:sz w:val="20"/>
        </w:rPr>
        <w:t xml:space="preserve">, as of June 30, 2025 and December 31, 2024. Accordingly, the operating results related to the FibroGen International are classified as discontinued operations, and have been reflected as discontinued operations in the condensed consolidated statements of operations, while the related assets and liabilities were classified within the condensed consolidated balance sheets as held for sale for all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results of the discontinued operations with respect to FibroGen International reflected in the condensed consolidated statements of operations for the three and six months ended June 30, 2025 and 2024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7"/>
        <w:gridCol w:w="146"/>
        <w:gridCol w:w="226"/>
        <w:gridCol w:w="726"/>
        <w:gridCol w:w="178"/>
        <w:gridCol w:w="156"/>
        <w:gridCol w:w="226"/>
        <w:gridCol w:w="726"/>
        <w:gridCol w:w="166"/>
        <w:gridCol w:w="146"/>
        <w:gridCol w:w="211"/>
        <w:gridCol w:w="676"/>
        <w:gridCol w:w="166"/>
        <w:gridCol w:w="146"/>
        <w:gridCol w:w="211"/>
        <w:gridCol w:w="676"/>
        <w:gridCol w:w="616"/>
      </w:tblGrid>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80,181</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13,475</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in unconsolidated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47,664</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product revenue, net, consists primarily of revenues from sales of roxadustat commercial product to Falikang, a distribution entity jointly owned by AstraZeneca and FibroGen Beijing, and is discussed in the </w:t>
      </w:r>
      <w:r>
        <w:rPr>
          <w:rFonts w:ascii="Times New Roman" w:hAnsi="Times New Roman"/>
          <w:i/>
          <w:color w:val="000000"/>
          <w:sz w:val="20"/>
        </w:rPr>
        <w:t>China Performance Obligation</w:t>
      </w:r>
      <w:r>
        <w:rPr>
          <w:rFonts w:ascii="Times New Roman" w:hAnsi="Times New Roman"/>
          <w:color w:val="000000"/>
          <w:sz w:val="20"/>
        </w:rPr>
        <w:t xml:space="preserve"> 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value of the assets and liabilities of the discontinued operations with respect to FibroGen International on the condensed consolidated balance sheets as of June 30, 2025 and December 31, 2024 were as follows (in thousands):</w:t>
      </w:r>
    </w:p>
    <w:p>
      <w:pPr>
        <w:pStyle w:val="TextBody"/>
        <w:bidi w:val="0"/>
        <w:jc w:val="left"/>
        <w:rPr/>
      </w:pPr>
      <w:r>
        <w:rPr/>
        <w:t> </w:t>
      </w:r>
    </w:p>
    <w:tbl>
      <w:tblPr>
        <w:tblW w:w="9325" w:type="dxa"/>
        <w:jc w:val="left"/>
        <w:tblInd w:w="0" w:type="dxa"/>
        <w:tblLayout w:type="fixed"/>
        <w:tblCellMar>
          <w:top w:w="28" w:type="dxa"/>
          <w:left w:w="28" w:type="dxa"/>
          <w:bottom w:w="28" w:type="dxa"/>
          <w:right w:w="28" w:type="dxa"/>
        </w:tblCellMar>
      </w:tblPr>
      <w:tblGrid>
        <w:gridCol w:w="5671"/>
        <w:gridCol w:w="146"/>
        <w:gridCol w:w="239"/>
        <w:gridCol w:w="886"/>
        <w:gridCol w:w="146"/>
        <w:gridCol w:w="146"/>
        <w:gridCol w:w="319"/>
        <w:gridCol w:w="1181"/>
        <w:gridCol w:w="5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significant non-cash items and capital expenditures for the discontinued operations with respect to FibroGen International included in the condensed consolidated statements of cash flows for the six months ended June 30, 2025 and 2024 were as follows (in thousands):</w:t>
      </w:r>
    </w:p>
    <w:p>
      <w:pPr>
        <w:pStyle w:val="TextBody"/>
        <w:bidi w:val="0"/>
        <w:spacing w:before="40" w:after="283"/>
        <w:jc w:val="both"/>
        <w:rPr/>
      </w:pPr>
      <w:r>
        <w:rPr/>
        <w:t> </w:t>
      </w:r>
    </w:p>
    <w:tbl>
      <w:tblPr>
        <w:tblW w:w="8069" w:type="dxa"/>
        <w:jc w:val="left"/>
        <w:tblInd w:w="0" w:type="dxa"/>
        <w:tblLayout w:type="fixed"/>
        <w:tblCellMar>
          <w:top w:w="28" w:type="dxa"/>
          <w:left w:w="28" w:type="dxa"/>
          <w:bottom w:w="28" w:type="dxa"/>
          <w:right w:w="28" w:type="dxa"/>
        </w:tblCellMar>
      </w:tblPr>
      <w:tblGrid>
        <w:gridCol w:w="5536"/>
        <w:gridCol w:w="146"/>
        <w:gridCol w:w="211"/>
        <w:gridCol w:w="631"/>
        <w:gridCol w:w="246"/>
        <w:gridCol w:w="246"/>
        <w:gridCol w:w="211"/>
        <w:gridCol w:w="631"/>
        <w:gridCol w:w="21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 (income) in unconsolidated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Included in the discontinued operations, Falikang, an entity jointly owned by FibroGen Beijing and AstraZeneca is an unconsolidated VIE accounted for as an equity method investment, and considered as a related party to the Company. FibroGen Beijing owns 51.1% of Falikang’s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product revenue from sales to Falikang were $16.4 million and $46.0 million for the three months ended June 30, 2025 and 2024, and $53.3 million and $73.1 million for the six months ended June 30, 2025 and 2024, respectively. The product revenue recognized for the three months ended June 30, 2025 included a decrease in revenue of $12.1 million resulting from changes to estimated variable consideration in the current period relating to performance obligation satisfied in previous periods. The other income from Falikang were immaterial for the three and six months ended June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investment income in Falikang was $1.7 million and $1.2 million for the three months ended June 30, 2025 and 2024, and $1.1 million and $1.8 million for the six months ended June 30, 2025 and 2024, respectively. As of June 30, 2025 and December 31, 2024, the Company’s equity method investment in Falikang were $8.1 million and $6.9 million, respectively, which were included in the long-term assets held for sale on the condensed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December 31, 2024, accounts receivable, net, from Falikang were $19.1 million and $13.9 million, respectively, which were included in the current assets held for sale on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Collaboration Agreements, License Agreement and Revenues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Astellas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Japan Agreement through June 30, 2025 totaled $105.1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Japan, the Company does not expect to receive most or all of the additional potential milestones under the Astellas Japan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recognized as license revenue and development revenue under the Astellas Japan Agreement were not material for the three and six months ended June 30,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June 30, 2025 and accounts receivable has been allocated to each of the performance obligations under the Astellas Japan Agreement, including $100.3 million for license and $17.1 million for co-development.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the three months ended June 30, 2025 under the Astellas Japan Agreement. The Company does not expect material variable consideration from estimated future co-development billing beyond the development period in the transaction price related to the Astellas Japan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Europe Agreement through June 30, 2025 totaled $685.0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Europe, the Company does not expect to receive most or all of the additional potential milestones under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recognized as license revenue and development revenue under the Astellas Europe Agreement were not material for the three and six months ended June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June 30, 2025 and accounts receivable has been allocated to each of the performance obligations under the Astellas Europe Agreement, including $619.0 million for license and $288.4 million for co-development.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three months ended June 30, 2025 under the Astellas Europe Agreement. The Company does not expect material variable consideration from estimated future co-development billing beyond the development period in the transaction price related to the Astellas Europe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AstraZeneca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U.S./Rest of World (“RoW”)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(“AstraZeneca U.S./RoW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23, 2024, the Company and AstraZeneca entered into an agreement to terminate the AstraZeneca U.S./RoW Agreement, effective as of February 25, 2024 (“AstraZeneca Termination and Transition Agreement”). Pursuant to the AstraZeneca Termination and Transition Agreement, AstraZeneca returns all of their non-China roxadustat rights to the Company,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for milestone and upfront payments received under the AstraZeneca U.S./RoW Agreement through the termination totaled $439.0 million, excluding drug product revenue under the Master Supply Agreement with AstraZeneca under the AstraZeneca U.S./RoW Agreement (“AstraZeneca Master Supply Agreement”), entered in 2020, which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In addition, resulting from the AstraZeneca Termination and Transition Agreement, the Company and AstraZeneca settled the outstanding balances relating to past transactions under the AstraZeneca Master Supply Agreement. Accordingly, during the first quarter of 2024, the Company accounted for the termination of the AstraZeneca U.S./RoW agreement as a contract modification under the ASC 606, </w:t>
      </w:r>
      <w:r>
        <w:rPr>
          <w:rFonts w:ascii="Times New Roman" w:hAnsi="Times New Roman"/>
          <w:i/>
          <w:color w:val="000000"/>
          <w:sz w:val="20"/>
        </w:rPr>
        <w:t>Revenue from Contracts with Customers</w:t>
      </w:r>
      <w:r>
        <w:rPr>
          <w:rFonts w:ascii="Times New Roman" w:hAnsi="Times New Roman"/>
          <w:color w:val="000000"/>
          <w:sz w:val="20"/>
        </w:rPr>
        <w:t xml:space="preserve"> (“ASC 606”) and recorded a cumulative catch-up adjustment as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collaboration agreement with AstraZeneca for roxadustat in China, as described below, remains in place.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30,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 million. The AstraZeneca China Agreement is structured as a 50/50 profit or loss share (as defined), which was amended under the AstraZeneca China Amendment as defined and discussed below, and provides for joint development costs (including capital and equipment costs for construction of the manufacturing plant in China), to be shared equally during the development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amount of such consideration received for milestone and upfront payments through June 30, 2025 totaled $81.2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FibroGen China Anemia Holdings, Ltd., FibroGen Beijing, FibroGen International,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Substantially all direct roxadustat product sales to distributors in China are made by Falikang, while FibroGen Beijing continues to sell roxadustat product directly in limited areas in China. FibroGen Beijing manufactures and supplies commercial product to Falikang based on a gross transfer price, which is adjusted for the estimated profit share. Further discussion related to the sales to Falikang is discussed under the </w:t>
      </w:r>
      <w:r>
        <w:rPr>
          <w:rFonts w:ascii="Times New Roman" w:hAnsi="Times New Roman"/>
          <w:i/>
          <w:color w:val="000000"/>
          <w:sz w:val="20"/>
        </w:rPr>
        <w:t xml:space="preserve">China Performance Obligation </w:t>
      </w:r>
      <w:r>
        <w:rPr>
          <w:rFonts w:ascii="Times New Roman" w:hAnsi="Times New Roman"/>
          <w:color w:val="000000"/>
          <w:sz w:val="20"/>
        </w:rPr>
        <w:t xml:space="preserve">section below.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related net product revenue recognized from the sales to Falikang was $16.4 million and $46.0 million for the three months ended June 30, 2025 and 2024, and $53.3 million and $73.1 million for the six months ended June 30, 2025 and 2024, respectively, which were included in the discontinued operations in the condensed consolidated statements of operations together with the sales directly to distributors, resulting from the Share Purchase Agreement with AstraZeneca Treasury Limited as discussed in Note 2,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above-mentioned termination of the AstraZeneca U.S./RoW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As a result of the termination of the AstraZeneca U.S./RoW Agreement, during the first quarter of 2024, the Company recorded the final development revenue under the AstraZeneca U.S./RoW Agreement and AstraZeneca China Agreement, which was immaterial.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transaction price related to consideration received and accounts receivable through the termination of the AstraZeneca U.S./RoW Agreement has been allocated to each of the performance obligations under the AstraZeneca U.S./RoW Agreement and AstraZeneca China Agreement, including $344.5 million for license, $625.5 million for co-development, information sharing and committee services, and $551.1 million for China performance obligation (with cumulative revenue of $408.1 million through June 30, 2025) that is recognized as product revenue, net included in discontinued operations as described under </w:t>
      </w:r>
      <w:r>
        <w:rPr>
          <w:rFonts w:ascii="Times New Roman" w:hAnsi="Times New Roman"/>
          <w:i/>
          <w:color w:val="000000"/>
          <w:sz w:val="20"/>
        </w:rPr>
        <w:t xml:space="preserve">China Performance Obligation </w:t>
      </w:r>
      <w:r>
        <w:rPr>
          <w:rFonts w:ascii="Times New Roman" w:hAnsi="Times New Roman"/>
          <w:color w:val="000000"/>
          <w:sz w:val="20"/>
        </w:rPr>
        <w:t xml:space="preserve">section below.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China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revenue, net, which is included in the discontinued operations, consists primarily of revenues from sales of roxadustat commercial product to Falikang. Substantially all direct roxadustat product sales to distributors in China are made by Falikang. FibroGen Beijing manufactures and supplies commercial product to Falikang. The net transaction price for FibroGen Beijing’s product sales to Falikang is based on a gross transaction price, adjusted for the estimated profit share. </w:t>
      </w:r>
    </w:p>
    <w:p>
      <w:pPr>
        <w:pStyle w:val="TextBody"/>
        <w:bidi w:val="0"/>
        <w:spacing w:before="240" w:after="283"/>
        <w:jc w:val="left"/>
        <w:rPr>
          <w:rFonts w:ascii="Times New Roman" w:hAnsi="Times New Roman"/>
          <w:sz w:val="20"/>
        </w:rPr>
      </w:pPr>
      <w:r>
        <w:rPr>
          <w:rFonts w:ascii="Times New Roman" w:hAnsi="Times New Roman"/>
          <w:color w:val="000000"/>
          <w:sz w:val="20"/>
        </w:rPr>
        <w:t>The roxadustat sales to Falikang marked the beginning of the Company’s China performance obligation under the Company’s agreements with AstraZeneca</w:t>
      </w:r>
      <w:r>
        <w:rPr>
          <w:rFonts w:ascii="Times New Roman" w:hAnsi="Times New Roman"/>
          <w:i/>
          <w:color w:val="000000"/>
          <w:sz w:val="20"/>
        </w:rPr>
        <w:t>.</w:t>
      </w:r>
      <w:r>
        <w:rPr>
          <w:rFonts w:ascii="Times New Roman" w:hAnsi="Times New Roman"/>
          <w:color w:val="000000"/>
          <w:sz w:val="20"/>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Periodically, the Company updates its assumptions such as total sales quantity, timing of China’s volume-based purchasing program, performance period, gross transaction price, profit share and other inputs including foreign currency translation impact, among others. The China Health Authority has accepted abbreviated new drug applications for over 20 generics roxadustat applicants and approved multiple for marketing in China, since roxadustat’s inclusion in the 2023 National Reimbursement Drug List. In July 2025, roxadustat was announced as being included in the 11</w:t>
      </w:r>
      <w:r>
        <w:rPr>
          <w:rFonts w:ascii="Times New Roman" w:hAnsi="Times New Roman"/>
          <w:color w:val="000000"/>
          <w:sz w:val="13"/>
        </w:rPr>
        <w:t>th</w:t>
      </w:r>
      <w:r>
        <w:rPr>
          <w:rFonts w:ascii="Times New Roman" w:hAnsi="Times New Roman"/>
          <w:color w:val="000000"/>
          <w:sz w:val="20"/>
        </w:rPr>
        <w:t xml:space="preserve"> round of the China’s volume-based purchasing program whereby a national tender has been called. Any net transaction price in excess of the revenue recognized is added to the deferred balance to date, and will be recognized in future periods as the performance obligation is satisfied. While the related product revenue recognized is included in discontinued operations, as of June 30, 2025 and December 31, 2024, the related deferred revenues were not included in the disposal group held for sale as the related obligation to AstraZeneca will be satisfied upon the closing of the divestiture of FibroGen International.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includes a roll-forward of the related deferred revenue that is considered as a contract liability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82"/>
        <w:gridCol w:w="146"/>
        <w:gridCol w:w="281"/>
        <w:gridCol w:w="1122"/>
        <w:gridCol w:w="166"/>
        <w:gridCol w:w="146"/>
        <w:gridCol w:w="211"/>
        <w:gridCol w:w="736"/>
        <w:gridCol w:w="166"/>
        <w:gridCol w:w="146"/>
        <w:gridCol w:w="267"/>
        <w:gridCol w:w="862"/>
        <w:gridCol w:w="146"/>
        <w:gridCol w:w="146"/>
        <w:gridCol w:w="288"/>
        <w:gridCol w:w="658"/>
        <w:gridCol w:w="166"/>
        <w:gridCol w:w="146"/>
        <w:gridCol w:w="222"/>
        <w:gridCol w:w="887"/>
        <w:gridCol w:w="215"/>
      </w:tblGrid>
      <w:tr>
        <w:trPr/>
        <w:tc>
          <w:tcPr>
            <w:tcW w:w="3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Recognized </w:t>
              <w:br/>
              <w:t xml:space="preserve">as Revenue </w:t>
              <w:br/>
              <w:t xml:space="preserve">(Discontinued </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China performance obligation</w:t>
              <w:br/>
              <w:t>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(142,947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June 30, 2025, approximately $20.7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Drug 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product revenue from commercial-grade active pharmaceutical ingredient (“API”) or bulk drug product sales to Astellas and AstraZeneca was as follows for the three and six months ended June 30, 2025 and 2024 (in thousands):</w:t>
      </w:r>
    </w:p>
    <w:p>
      <w:pPr>
        <w:pStyle w:val="TextBody"/>
        <w:bidi w:val="0"/>
        <w:jc w:val="left"/>
        <w:rPr/>
      </w:pPr>
      <w:r>
        <w:rPr/>
        <w:t> </w:t>
      </w:r>
    </w:p>
    <w:tbl>
      <w:tblPr>
        <w:tblW w:w="8192" w:type="dxa"/>
        <w:jc w:val="left"/>
        <w:tblInd w:w="0" w:type="dxa"/>
        <w:tblLayout w:type="fixed"/>
        <w:tblCellMar>
          <w:top w:w="28" w:type="dxa"/>
          <w:left w:w="28" w:type="dxa"/>
          <w:bottom w:w="28" w:type="dxa"/>
          <w:right w:w="28" w:type="dxa"/>
        </w:tblCellMar>
      </w:tblPr>
      <w:tblGrid>
        <w:gridCol w:w="2911"/>
        <w:gridCol w:w="146"/>
        <w:gridCol w:w="257"/>
        <w:gridCol w:w="697"/>
        <w:gridCol w:w="178"/>
        <w:gridCol w:w="178"/>
        <w:gridCol w:w="257"/>
        <w:gridCol w:w="697"/>
        <w:gridCol w:w="166"/>
        <w:gridCol w:w="146"/>
        <w:gridCol w:w="222"/>
        <w:gridCol w:w="603"/>
        <w:gridCol w:w="154"/>
        <w:gridCol w:w="154"/>
        <w:gridCol w:w="222"/>
        <w:gridCol w:w="71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U.S./RoW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updates its estimate of variable consideration related to the API shipments fulfilled under the terms of Astellas Japan Amendment at each balance sheet date. The adjustment to the drug product revenue for the three months ended June 30, 2025 was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the Company updated its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2024, the Company updated its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foreign exchange impacts and the changes in the estimated bulk product strength mix intended to be manufactured by Astellas,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2024, the Company updated its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the balances related to the API price true-up under the Astellas Japan Agreement were $0.6 million in accrued liabilities, representing the Company’s best estimate of the timing for these amounts to be paid. As of December 31, 2024, the balances related to the API price true-up under the Astellas Japan Agreement were $2.5 million in accrued liabilities and $0.6 million in other long-term liabilities.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fourth quarter of 2024, the Company transferred bulk drug product for commercial purposes under the terms of the Astellas Europe Agreement and the Astellas EU Supply Agreement, and recognized the related fully-burdened manufacturing costs of $0.6 million as drug product revenue, and recorded $4.4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the Company reclassified $7.2 million from the related deferred revenue to accrued liabilities. As of December 31, 2024, the related balance in accrued liabilities was $10.5 million. Further for the six months ended June 30, 2025, the Company reclassified $1.3 million from the related deferred revenue to accrued liabilities. As of June 30, 2025, the balances related to the bulk drug product price true-up under the Astellas Europe Agreement and the Astellas EU Supply Agreement were $11.9 million in accrued liabilities, representing the Company’s best estimate that these amounts will be paid within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royalty revenue of $1.2 million and $1.1 million as drug product revenue from the deferred revenue under the Astellas Europe Agreement for the three months ended June 30, 2025 and 2024, and $2.0 million and $2.1 million for the six months ended June 30, 2025 and 2024, respectively. It is the Company’s best estimate that the remainder of the deferred revenue will be recognized as revenue when uncertainty is resolved, based on the performance of roxadustat product sales in the Astellas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includes a roll-forward of the above-mentioned deferred revenues that are considered as contract liabilities related to drug product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1"/>
        <w:gridCol w:w="146"/>
        <w:gridCol w:w="309"/>
        <w:gridCol w:w="924"/>
        <w:gridCol w:w="166"/>
        <w:gridCol w:w="146"/>
        <w:gridCol w:w="387"/>
        <w:gridCol w:w="1051"/>
        <w:gridCol w:w="146"/>
        <w:gridCol w:w="146"/>
        <w:gridCol w:w="724"/>
        <w:gridCol w:w="1962"/>
        <w:gridCol w:w="146"/>
        <w:gridCol w:w="146"/>
        <w:gridCol w:w="253"/>
        <w:gridCol w:w="757"/>
        <w:gridCol w:w="295"/>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Reclassified to Accrued Liability / Accounts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AstraZeneca U.S./RoW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under </w:t>
      </w:r>
      <w:r>
        <w:rPr>
          <w:rFonts w:ascii="Times New Roman" w:hAnsi="Times New Roman"/>
          <w:i/>
          <w:color w:val="000000"/>
          <w:sz w:val="20"/>
        </w:rPr>
        <w:t xml:space="preserve">AstraZeneca Agreements </w:t>
      </w:r>
      <w:r>
        <w:rPr>
          <w:rFonts w:ascii="Times New Roman" w:hAnsi="Times New Roman"/>
          <w:color w:val="000000"/>
          <w:sz w:val="20"/>
        </w:rPr>
        <w:t xml:space="preserve">section above, pursuant to the AstraZeneca Termination and Transition Agreement related to the AstraZeneca U.S./RoW Agreement, the Company and AstraZeneca settled the outstanding balances relating to past transactions under the AstraZeneca Master Supply Agreement. Accordingly, during the first quarter of 2024, the Company accounted for the termination of the AstraZeneca U.S./RoW agreement as a contract modification under the ASC 606 and recorded a cumulative catch-up net adjustment of $25.7 million to the drug product revenue and received the cash during the second quarter of 2024. Corresponding to the drug product revenue, during the first quarter of 2024, the Company recorded the related cost of goods sold of $21.1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Eluminex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FibroGen exclusively licensed to Eluminex Biosciences (Suzhou) Limited (“Eluminex”) global rights to its investigational biosynthetic cornea derived from recombinant human collagen Type III.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be eligible to receive mid-single-digit to low double-digit royalties based upon worldwide net sales of cornea products, and low single-digit to mid-single-digit royalties based on worldwide net sales of other recombinant human collagen type III products that are not cornea products. 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received an $8.0 million upfront payment from Eluminex in 2022 and thereafter recognized a total of $6.0 million milestone payments and a total of $1.5 million upfront payment in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which occurred by the end of 2023. Such contract manufacturing activity was generally ceased during the first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material revenue recognized under the agreements with Eluminex for the three and six months ended June 30,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Consolidated Variable Interest Entity - Fortis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2023 (the “Option Acquisition Date”), the Company entered into an exclusive option agreement to acquire Fortis Therapeutics, Inc. (“Fortis”) with its novel Phase 1 ADC, FOR46 (now referred to as “FG-3246”), that targets a novel epitope on CD46 preferentially expressed on certain cancer cells. FG-3246 is in development for the treatment of mCRPC with potential applicability in other solid tumors and hematologic malignancies. If FibroGen exercises the option to acquire Fortis, it will pay Fortis an </w:t>
      </w:r>
      <w:r>
        <w:rPr>
          <w:rFonts w:ascii="Times New Roman" w:hAnsi="Times New Roman"/>
          <w:color w:val="212529"/>
          <w:sz w:val="20"/>
        </w:rPr>
        <w:t xml:space="preserve">option exercise payment </w:t>
      </w:r>
      <w:r>
        <w:rPr>
          <w:rFonts w:ascii="Times New Roman" w:hAnsi="Times New Roman"/>
          <w:color w:val="000000"/>
          <w:sz w:val="20"/>
        </w:rPr>
        <w:t xml:space="preserve">of $80.0 million, and thereafter, legacy Fortis shareholders would be eligible to receive from FibroGen up to $200.0 million in contingent payments associated with the achievement of various regulatory approvals. If FibroGen acquires Fortis, it would also be responsible to pay University of California, San Francisco (“UCSF”), an upstream licensor to Fortis, development milestone fees and a single digit royalty on net sales of therapeutic or diagnostic products arising from the </w:t>
      </w:r>
      <w:r>
        <w:rPr>
          <w:rFonts w:ascii="Times New Roman" w:hAnsi="Times New Roman"/>
          <w:color w:val="212529"/>
          <w:sz w:val="20"/>
        </w:rPr>
        <w:t>licensing arrangement between Fortis and UCSF</w:t>
      </w:r>
      <w:r>
        <w:rPr>
          <w:rFonts w:ascii="Times New Roman" w:hAnsi="Times New Roman"/>
          <w:color w:val="000000"/>
          <w:sz w:val="20"/>
        </w:rPr>
        <w:t xml:space="preserve">. If FibroGen chooses not to acquire Fortis, its exclusive license to FG-3246 would expire.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On March 28, 2025, the Company and Fortis entered into amendments and modified the option exercise deadline to December 31,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(which ends on the earlier of 120 days after Fortis or FibroGen submits data from any Phase 2 clinical trial of a product to the U.S. Food and Drug Administration for the purpose of progressing to a Phase 3 clinical trial or December 31, 2027 absent extension). As part of the clinical development strategy, FibroGen will continue the work to develop a PET-based biomarker utilizing a radiolabeled version of the targeting antibody for patient selection. Additionally, the Company is obligated to make four quarterly payments totaling $5.4 million to Fortis in support of its continued development obligations, of which the last payment was $1.7 million and made during the three months ended March 31,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guidance under ASC 810, </w:t>
      </w:r>
      <w:r>
        <w:rPr>
          <w:rFonts w:ascii="Times New Roman" w:hAnsi="Times New Roman"/>
          <w:i/>
          <w:color w:val="000000"/>
          <w:sz w:val="20"/>
        </w:rPr>
        <w:t>Consolidation</w:t>
      </w:r>
      <w:r>
        <w:rPr>
          <w:rFonts w:ascii="Times New Roman" w:hAnsi="Times New Roman"/>
          <w:color w:val="000000"/>
          <w:sz w:val="20"/>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Fortis has authorized and issued common shares and Series A preferred shares. As of the Option Acquisition Date and June 30, 2025, the Company owned approximately 2% of Fortis’ Series A preferred shares, which was acquired previously and carried at zero cost. The non-controlling interests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shareholders upon occurrence of certain events out of the Company’s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the Option Acquisition Date, Fortis’ net income is allocated to its common shares and preferred shares based on their respective stated rights. Fortis’ net loss is allocated to its common shares only as the holders of preferred shares do not have a contractual obligation to absorb such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total assets and liabilities of Fortis were immaterial. For the three and six months ended June 30, 2025 and 2024, Fortis’ net income (losses) was immaterial.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the Company’s financial assets that are measured on a recurring basis are as follows (in thousands):</w:t>
      </w:r>
    </w:p>
    <w:tbl>
      <w:tblPr>
        <w:tblW w:w="6715" w:type="dxa"/>
        <w:jc w:val="left"/>
        <w:tblInd w:w="0" w:type="dxa"/>
        <w:tblLayout w:type="fixed"/>
        <w:tblCellMar>
          <w:top w:w="28" w:type="dxa"/>
          <w:left w:w="28" w:type="dxa"/>
          <w:bottom w:w="28" w:type="dxa"/>
          <w:right w:w="28" w:type="dxa"/>
        </w:tblCellMar>
      </w:tblPr>
      <w:tblGrid>
        <w:gridCol w:w="2011"/>
        <w:gridCol w:w="146"/>
        <w:gridCol w:w="211"/>
        <w:gridCol w:w="676"/>
        <w:gridCol w:w="146"/>
        <w:gridCol w:w="146"/>
        <w:gridCol w:w="211"/>
        <w:gridCol w:w="676"/>
        <w:gridCol w:w="146"/>
        <w:gridCol w:w="146"/>
        <w:gridCol w:w="239"/>
        <w:gridCol w:w="391"/>
        <w:gridCol w:w="146"/>
        <w:gridCol w:w="146"/>
        <w:gridCol w:w="211"/>
        <w:gridCol w:w="676"/>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three and six months ended June 30, 2025, a total of $1.3 million and $7.8 million, respectively, of U.S. treasury notes and bills were transferred from Level 1 to Level 2 as such instruments were changed to off-the-run when they were issued before the most recent issue and were still outstanding at measurement day.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consisted of the following (in thousands):</w:t>
      </w:r>
    </w:p>
    <w:p>
      <w:pPr>
        <w:pStyle w:val="TextBody"/>
        <w:bidi w:val="0"/>
        <w:jc w:val="left"/>
        <w:rPr/>
      </w:pPr>
      <w:r>
        <w:rPr/>
        <w:t> </w:t>
      </w:r>
    </w:p>
    <w:tbl>
      <w:tblPr>
        <w:tblW w:w="6355" w:type="dxa"/>
        <w:jc w:val="left"/>
        <w:tblInd w:w="0" w:type="dxa"/>
        <w:tblLayout w:type="fixed"/>
        <w:tblCellMar>
          <w:top w:w="28" w:type="dxa"/>
          <w:left w:w="28" w:type="dxa"/>
          <w:bottom w:w="28" w:type="dxa"/>
          <w:right w:w="28" w:type="dxa"/>
        </w:tblCellMar>
      </w:tblPr>
      <w:tblGrid>
        <w:gridCol w:w="2901"/>
        <w:gridCol w:w="146"/>
        <w:gridCol w:w="267"/>
        <w:gridCol w:w="858"/>
        <w:gridCol w:w="146"/>
        <w:gridCol w:w="146"/>
        <w:gridCol w:w="357"/>
        <w:gridCol w:w="1143"/>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7970" w:type="dxa"/>
        <w:jc w:val="left"/>
        <w:tblInd w:w="0" w:type="dxa"/>
        <w:tblLayout w:type="fixed"/>
        <w:tblCellMar>
          <w:top w:w="28" w:type="dxa"/>
          <w:left w:w="28" w:type="dxa"/>
          <w:bottom w:w="28" w:type="dxa"/>
          <w:right w:w="28" w:type="dxa"/>
        </w:tblCellMar>
      </w:tblPr>
      <w:tblGrid>
        <w:gridCol w:w="4516"/>
        <w:gridCol w:w="146"/>
        <w:gridCol w:w="303"/>
        <w:gridCol w:w="822"/>
        <w:gridCol w:w="146"/>
        <w:gridCol w:w="146"/>
        <w:gridCol w:w="357"/>
        <w:gridCol w:w="1143"/>
        <w:gridCol w:w="3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proceeds receivable for litigation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Such amount was fully distributed during the first quarter of 2025. As a result, the related accrued liability and the corresponding receivable were fully settled in the same period. See the </w:t>
      </w:r>
      <w:r>
        <w:rPr>
          <w:rFonts w:ascii="Times New Roman" w:hAnsi="Times New Roman"/>
          <w:i/>
          <w:color w:val="000000"/>
          <w:sz w:val="20"/>
        </w:rPr>
        <w:t>Accrued and Other Current Liabilities</w:t>
      </w:r>
      <w:r>
        <w:rPr>
          <w:rFonts w:ascii="Times New Roman" w:hAnsi="Times New Roman"/>
          <w:color w:val="000000"/>
          <w:sz w:val="20"/>
        </w:rPr>
        <w:t xml:space="preserve"> section below, and the </w:t>
      </w:r>
      <w:r>
        <w:rPr>
          <w:rFonts w:ascii="Times New Roman" w:hAnsi="Times New Roman"/>
          <w:i/>
          <w:color w:val="000000"/>
          <w:sz w:val="20"/>
        </w:rPr>
        <w:t xml:space="preserve">Legal Proceedings and Other Matters </w:t>
      </w:r>
      <w:r>
        <w:rPr>
          <w:rFonts w:ascii="Times New Roman" w:hAnsi="Times New Roman"/>
          <w:color w:val="000000"/>
          <w:sz w:val="20"/>
        </w:rPr>
        <w:t xml:space="preserve">section in Note 10, </w:t>
      </w:r>
      <w:r>
        <w:rPr>
          <w:rFonts w:ascii="Times New Roman" w:hAnsi="Times New Roman"/>
          <w:i/>
          <w:color w:val="000000"/>
          <w:sz w:val="20"/>
        </w:rPr>
        <w:t>Commitments and Contingencies</w:t>
      </w:r>
      <w:r>
        <w:rPr>
          <w:rFonts w:ascii="Times New Roman" w:hAnsi="Times New Roman"/>
          <w:color w:val="000000"/>
          <w:sz w:val="20"/>
        </w:rPr>
        <w:t>,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consisted of the following (in thousands):</w:t>
      </w:r>
    </w:p>
    <w:tbl>
      <w:tblPr>
        <w:tblW w:w="8420" w:type="dxa"/>
        <w:jc w:val="left"/>
        <w:tblInd w:w="0" w:type="dxa"/>
        <w:tblLayout w:type="fixed"/>
        <w:tblCellMar>
          <w:top w:w="28" w:type="dxa"/>
          <w:left w:w="28" w:type="dxa"/>
          <w:bottom w:w="28" w:type="dxa"/>
          <w:right w:w="28" w:type="dxa"/>
        </w:tblCellMar>
      </w:tblPr>
      <w:tblGrid>
        <w:gridCol w:w="4966"/>
        <w:gridCol w:w="146"/>
        <w:gridCol w:w="267"/>
        <w:gridCol w:w="858"/>
        <w:gridCol w:w="146"/>
        <w:gridCol w:w="146"/>
        <w:gridCol w:w="357"/>
        <w:gridCol w:w="1143"/>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API and bulk drug product price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liability related to sale of future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62,035</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accrued liabilities of $12.4 million and $13.1 million for API and bulk drug product price true-up as of June 30, 2025 and December 31, 2024, respectively, resulted from changes in estimated variable consideration associated with the API shipments fulfilled under the terms of the Astellas Japan Amendment, and the bulk drug product transferred under the terms of the Astellas Europe Agreement and the Astellas EU Supply Agreement. See the </w:t>
      </w:r>
      <w:r>
        <w:rPr>
          <w:rFonts w:ascii="Times New Roman" w:hAnsi="Times New Roman"/>
          <w:i/>
          <w:color w:val="000000"/>
          <w:sz w:val="20"/>
        </w:rPr>
        <w:t xml:space="preserve">Drug Product Revenue, Net </w:t>
      </w:r>
      <w:r>
        <w:rPr>
          <w:rFonts w:ascii="Times New Roman" w:hAnsi="Times New Roman"/>
          <w:color w:val="000000"/>
          <w:sz w:val="20"/>
        </w:rPr>
        <w:t xml:space="preserve">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for details.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the accrued litigation settlement of $28.5 million was related to the Company’s agreement in principle with plaintiffs to settle the class action lawsuit, which was fully distributed during the first quarter of 2025 as mentioned above. See the </w:t>
      </w:r>
      <w:r>
        <w:rPr>
          <w:rFonts w:ascii="Times New Roman" w:hAnsi="Times New Roman"/>
          <w:i/>
          <w:color w:val="000000"/>
          <w:sz w:val="20"/>
        </w:rPr>
        <w:t>Legal Proceedings and Other Matters</w:t>
      </w:r>
      <w:r>
        <w:rPr>
          <w:rFonts w:ascii="Times New Roman" w:hAnsi="Times New Roman"/>
          <w:color w:val="000000"/>
          <w:sz w:val="20"/>
        </w:rPr>
        <w:t xml:space="preserve"> section in Note 10, </w:t>
      </w:r>
      <w:r>
        <w:rPr>
          <w:rFonts w:ascii="Times New Roman" w:hAnsi="Times New Roman"/>
          <w:i/>
          <w:color w:val="000000"/>
          <w:sz w:val="20"/>
        </w:rPr>
        <w:t>Commitments and Contingencies</w:t>
      </w:r>
      <w:r>
        <w:rPr>
          <w:rFonts w:ascii="Times New Roman" w:hAnsi="Times New Roman"/>
          <w:color w:val="000000"/>
          <w:sz w:val="20"/>
        </w:rPr>
        <w:t>,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Responding to the reported results for pamrevlumab in July 2024, the Company implemented an immediate and significant cost reduction plan in the U.S., including terminating pamrevlumab research and development investment and expeditiously wind down remaining obligations, and reducing U.S. workforce by approximately 75%. The total cash payments under the reduction in force was $0.8 million and $2.4 million during the three and six months ended June 30, 2025, respectively. The remaining accrued restructuring charge of $1.7 million as of June 30, 2025 will be substantially paid out in the second half of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Senior Secured Term Loan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financing agreement (“Financing Agreement”) with investment funds managed by Morgan Stanley Tactical Value, as lenders (the “Lenders”), and Wilmington Trust, National Association, as the administrative agent, providing for senior secured term loan facilities consisting of (i) a $75.0 million initial term loan (the “Initial Term Loan”), (ii) a $37.5 million delayed draw term loan that will be funded upon the achievement of certain clinical development milestones (“Delayed Draw Term Loan 1”) and, (iii) an uncommitted delayed draw term loan of up to $37.5 million to be funded at the Lenders sole discretion, (“Delayed Draw Term Loan 2” and, together with the Initial Term Loan and Delayed Draw Term Loan 1, the “Term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Financing Agreement, the Lenders have funded the Initial Term Loan. The clinical development milestones which could have triggered Delayed Draw Term Loan 1 were not achieved, and the Lenders have not funded Delayed Draw Term Loan 2. As such, these features expired during 2023. The Company has determined that certain other features embedded within the Loan should be bifurcated and accounted for separately as a derivative. At inception and as of June 30, 2025, the fair values of such derivatives were negligible due to the low probability of the underlying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Loans shall accrue interest at a fixed rate of 14.0% per annum, payable monthly in arrears. The Term Loans shall mature on May 8, 2026. Therefore, the balance of the Term Loans was included in senior secured term loan facilities, current, under the current liabilities on the condensed consolidated balance sheet as of June 30, 2025.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initial issuance costs and the related transaction costs, totaling $3.7 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16.13% for the three and six months ended June 30, 2025 and 2024. The Company recorded interest expense of $3.0 million and $5.9 million for the three and six months ended June 30, 2025, and $2.9 million and $5.8 million for the three and six months ended June 30, 2024, respectively, which were included in discontinued operations as the Company is required to repay the loan upon the closing of the divestiture of FibroGen International.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related accrued interest was $0.4 million. The Company was in compliance with all debt covenants associated with the senior secured term loan facilities as of June 30, 2025, including maintaining a minimum balance of $22.5 million of unrestricted cash and cash equivalents held in accounts in the U.S.; such minimum balance covenant was subsequently amended to be $18.75 million on July 14, 2025 by the Company and the Lenders.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balances of the Company’s senior secured term loan facilities as of June 30, 2025 and December 31, 2024 were as follows (in thousands):</w:t>
      </w:r>
    </w:p>
    <w:p>
      <w:pPr>
        <w:pStyle w:val="TextBody"/>
        <w:bidi w:val="0"/>
        <w:jc w:val="left"/>
        <w:rPr/>
      </w:pPr>
      <w:r>
        <w:rPr/>
        <w:t> </w:t>
      </w:r>
    </w:p>
    <w:tbl>
      <w:tblPr>
        <w:tblW w:w="8235" w:type="dxa"/>
        <w:jc w:val="left"/>
        <w:tblInd w:w="0" w:type="dxa"/>
        <w:tblLayout w:type="fixed"/>
        <w:tblCellMar>
          <w:top w:w="28" w:type="dxa"/>
          <w:left w:w="28" w:type="dxa"/>
          <w:bottom w:w="28" w:type="dxa"/>
          <w:right w:w="28" w:type="dxa"/>
        </w:tblCellMar>
      </w:tblPr>
      <w:tblGrid>
        <w:gridCol w:w="4661"/>
        <w:gridCol w:w="146"/>
        <w:gridCol w:w="250"/>
        <w:gridCol w:w="875"/>
        <w:gridCol w:w="166"/>
        <w:gridCol w:w="146"/>
        <w:gridCol w:w="357"/>
        <w:gridCol w:w="1143"/>
        <w:gridCol w:w="491"/>
      </w:tblGrid>
      <w:tr>
        <w:trPr/>
        <w:tc>
          <w:tcPr>
            <w:tcW w:w="4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senior secured term loan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Unamortized issuance costs and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facilities,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Representing: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Senior secured term loan facilities,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Senior secured term loan facilities,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Liability Related to Sale of Future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NovaQuest will retain this entitlement until it has reached the Payment Cap, at which point 100% of such revenue interest on future global net sales of Astellas will revert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15.43% as of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of the liability related to sale of future revenues for the six months ended June 30, 2025:</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5891"/>
        <w:gridCol w:w="146"/>
        <w:gridCol w:w="346"/>
        <w:gridCol w:w="1109"/>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classified to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During the three and six months ended June 30, 2025, the Company recognized, under Astellas Agreements, development revenue of $0.1 million and $0.3 million, respectively, and drug product revenue of $1.2 million and $3.8 million, respectively. During the three and six months ended June 30, 2024, the Company recognized, under Astellas Agreements, development revenue of $0.3 million and $0.6 million, respectively, and drug product revenue of $0.7 million and $(0.5) million, respectively. See Note 3, </w:t>
      </w:r>
      <w:r>
        <w:rPr>
          <w:rFonts w:ascii="Times New Roman" w:hAnsi="Times New Roman"/>
          <w:i/>
          <w:color w:val="000000"/>
          <w:sz w:val="20"/>
        </w:rPr>
        <w:t>Collaboration Agreements, License Agreement and Revenue</w:t>
      </w:r>
      <w:r>
        <w:rPr>
          <w:rFonts w:ascii="Times New Roman" w:hAnsi="Times New Roman"/>
          <w:color w:val="000000"/>
          <w:sz w:val="20"/>
        </w:rPr>
        <w:t xml:space="preserve">, for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recognized the related interest expense of $2.0 million and $4.1 million, respectively. During the three and six months ended June 30, 2024, the Company recognized the related interest expense of $1.7 million and $3.7 million, respectively. During six months ended June 30, 2025 and 2024, the Company paid $0.5 million and $5.7 million accrued interest,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current estimates of drug product revenue and revenue from milestone payments under the Astellas Agreements, and taking into the consideration of the terms discussed above, the Company anticipates reaching a Payment Cap up to $125.0 million by 2031.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for income tax for the three and six months ended June 30, 2025 and 2024 were immaterial and due to foreign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One Big Beautiful Bill Act was signed into law in the U.S. which contains a broad range of tax reform provisions affecting businesses. The Company is still in the process of evaluating the legislation and an estimate of the financial impact cannot be made at this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Contract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had outstanding total non-cancelable purchase obligations of $3.1 million for general purchases and other programs and $0.5 million for manufacture and supply of roxadustat. The Company expects to fulfill its commitments under these agreements in the normal course of business, and as such, no liability has been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see Note 7, </w:t>
      </w:r>
      <w:r>
        <w:rPr>
          <w:rFonts w:ascii="Times New Roman" w:hAnsi="Times New Roman"/>
          <w:i/>
          <w:color w:val="000000"/>
          <w:sz w:val="20"/>
        </w:rPr>
        <w:t>Senior Secured Term Loan Facilities</w:t>
      </w:r>
      <w:r>
        <w:rPr>
          <w:rFonts w:ascii="Times New Roman" w:hAnsi="Times New Roman"/>
          <w:color w:val="000000"/>
          <w:sz w:val="20"/>
        </w:rPr>
        <w:t xml:space="preserve"> and Note 8, </w:t>
      </w:r>
      <w:r>
        <w:rPr>
          <w:rFonts w:ascii="Times New Roman" w:hAnsi="Times New Roman"/>
          <w:i/>
          <w:color w:val="000000"/>
          <w:sz w:val="20"/>
        </w:rPr>
        <w:t xml:space="preserve">Liability Related to Sale of Future Revenues </w:t>
      </w:r>
      <w:r>
        <w:rPr>
          <w:rFonts w:ascii="Times New Roman" w:hAnsi="Times New Roman"/>
          <w:color w:val="000000"/>
          <w:sz w:val="20"/>
        </w:rPr>
        <w:t>for details of the related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 and 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except for the class action settlement mentioned below, in its condensed consolidated balance sheet as of June 30, 2025, as the Company could not predict the ultimate outcome of these matters, or reasonably estimate the potential exposure.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April 2021 and May 2021, five putative securities class action complaints were filed against FibroGen and certain of its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On October 17, 2023, the parties reached an agreement in principle to settle the class action at $28.5 million. Accordingly, as of December 31, 2024, the Company recorded the $28.5 million in accrued and other current liabilities on the condensed consolidated balance sheet. The Company maintains insurance that covers exposure related to the class action lawsuit. As the amount is fully recoverable under the Company’s insurance policies, the Company recorded a corresponding receivable in prepaid expenses and other current assets on the condensed consolidated balance sheet as of December 31, 2024. The determination that the recorded receivables are probable of collection is based on the terms of the applicable insurance policies and communications with the insurers. The Court preliminarily approved the settlement on February 13, 2024 and approved the settlement Plan of Allocation on May 28, 2024 and Plaintiffs’ motion for attorney’s fees on August 1, 2024, reserving further orders on the final judgment until after the claims and distribution process was completed. The court entered a class distribution order on January 1, 2025 and the amount was fully distributed during the first quarter of 2025. As a result, the related accrued liability and the corresponding receivable were fully settled in the same period. Another case, filed on May 25, 2023, against the same defendants, asserting similar claims as the class action and additional common-law and California state fraud claims was voluntarily dismissed on December 20,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July 30, 2021 and April 3, 2024, seven shareholder derivative complaints were filed, naming as defendants certain of the Company’s current and former officers and certain current and former members of the Company’s board, as well as FibroGen as nominal defendants (the “Derivative Lawsuits”). Of these Derivative Lawsuits, four were filed in the Delaware Court of Chancery, two were filed in the U.S. District Court for the District of Delaware (the “Delaware Federal Derivative Actions”), and one was filed in the U.S. District Court for the Northern District of California (the “California Federal Derivative Action”). The plaintiffs assert state and federal claims based on some of the same alleged misstatements as the securities class action complaint. The complaints seek unspecified damages, attorneys’ fees, and other costs. All seven Derivative Lawsuits have been dismissed.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fourth quarter of 2021, the Company received a subpoena from the SEC requesting documents related to roxadustat’s pooled cardiovascular safety data. The SEC followed up with a subpoena for additional documents in the second quarter of 2024. In May 2025, the Company entered into a settlement with the SEC, subject to Commission approval. As part of the settlement, and without admitting or denying the findings in the settlement offer or administrative order to be issued by the SEC, the Company agreed to pay a $1.25 million civil penalty.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2022 and 2024, the Company’s Board of Directors received seven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additional similar demands.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believes the estimated fair value of these arrangements is minimal.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operating and reporting segment which primarily focuses on the development and commercialization of novel therapeutics to treat serious unmet medical needs. The Company has determined that the chief executive officer is the chief operating decision maker (“CODM”). The CODM assesses performance of the business, monitors budget versus actual results and manages and allocates resources to the Company’s operations using consolidated net income (loss) as the primary measurement. The CODM is regularly provided with entity-wide expense categories that are consistent with those found on the Company’s condensed consolidated statements of operations. These significant segment expense include cost of goods sold, research and development expenses, selling, general and administrative expenses, and restructuring charge. Other segment items that are presented on the condensed consolidated statements of operations include interest and other income (expense), net, and provision for (benefit from) income taxes. The measure of segment assets is reported on the balance sheet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2024 filed with the SEC on March 17, 2025 (“2024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FibroGen, Inc. (“FibroGen” or the “Company”) is a biopharmaceutical company focused on development of novel therapies at the frontiers of cancer biology and anemia.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anticipate initiation of a Phase 2 monotherapy dose optimization study of FG-3246 for the treatment of mCRPC, along with the exploratory analysis of FG-3180, in the third quarter of 2025.</w:t>
      </w:r>
    </w:p>
    <w:p>
      <w:pPr>
        <w:pStyle w:val="TextBody"/>
        <w:bidi w:val="0"/>
        <w:spacing w:before="240" w:after="283"/>
        <w:jc w:val="left"/>
        <w:rPr/>
      </w:pPr>
      <w:r>
        <w:rPr>
          <w:rFonts w:ascii="Times New Roman" w:hAnsi="Times New Roman"/>
          <w:color w:val="000000"/>
          <w:sz w:val="20"/>
        </w:rPr>
        <w:t>We and our collaboration partners have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the People’s Republic of China (“China”), Europe, Japan, and numerous other countries for the treatment of anemia in chronic kidney disease (“CKD”) patients on dialysis and not on dialysis.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20, 2025, we entered into a share purchase agreement (the “Share Purchase Agreement”) with AstraZeneca Treasury Limited pursuant to which we and our subsidiary FibroGen China Anemia Holdings, Ltd. agreed to sell all of the issued and outstanding equity interests of FibroGen International (Hong Kong) Ltd. (“FibroGen International”) to AstraZeneca Treasury Limited. AstraZeneca AB (“AstraZeneca”) is our long-time commercialization partner for roxadustat in greater China and South Korea. This sale includes all of our roxadustat assets in China, including FibroGen International’s subsidiary FibroGen (China) Medical Technology Development Co., Ltd. (“FibroGen Beijing”) and its 51.1% interest in Beijing Falikang Pharmaceutical Co., Ltd. (“Falikang”). The transaction is expected to close in the third quarter of 2025, and is subject to customary closing conditions and closing deliverables, including receipt of regulatory approval from the China State Administration for Market Regulation (“SAMR”).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FibroGen has retained the rights to roxadustat in the United States of America (“U.S.”), Canada, Mexico, and in all markets not held by AstraZeneca or licensed to Astellas Pharma Inc. (“Astellas”). Roxadustat is not approved for commercialization in any indication in the U.S., Canada, or Mexico.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work on our development plan for roxadustat in anemia associated with lower-risk myelodysplastic syndromes (“MDS”), a high-value indication with significant unmet medical need. We had a positive Type-C meeting with the U.S. Food and Drug Administration (“FDA”) in July 2025 and reached alignment on several elements of our proposed Phase 3 study design for roxadustat in anemia associated with lower-risk MDS.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1"/>
        <w:gridCol w:w="146"/>
        <w:gridCol w:w="215"/>
        <w:gridCol w:w="752"/>
        <w:gridCol w:w="169"/>
        <w:gridCol w:w="148"/>
        <w:gridCol w:w="215"/>
        <w:gridCol w:w="752"/>
        <w:gridCol w:w="166"/>
        <w:gridCol w:w="146"/>
        <w:gridCol w:w="243"/>
        <w:gridCol w:w="853"/>
        <w:gridCol w:w="166"/>
        <w:gridCol w:w="146"/>
        <w:gridCol w:w="302"/>
        <w:gridCol w:w="1119"/>
        <w:gridCol w:w="216"/>
      </w:tblGrid>
      <w:tr>
        <w:trPr/>
        <w:tc>
          <w:tcPr>
            <w:tcW w:w="4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 share data)</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revenue for the three and six months ended June 30, 2025 included primarily the drug product revenue of $1.2 million and $3.8 million, respectively, related to active pharmaceutical ingredient (“API”) deliveries to Astellas.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comparison, our revenue for the three and six months ended June 30, 2024 included primarily the revenue recognized related to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$0.7 million and a net reduction of $0.5 million to drug product revenue related to API deliveries to Astellas; in addition, $25.7 million cumulative catch-up net adjustment in the drug product revenue, for the six months ended June 30, 2024, as a result of terminating the AstraZeneca U.S./RoW Agreement, effective in February 2024 (“AstraZeneca Termination and Transition Agreement”), with the exception of South Korea;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$0.3 million and $1.1 million of development and other revenue recognized mainly under our collaboration agreements with our partners Astellas and AstraZeneca.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costs and expenses for the three and six months ended June 30, 2025 decreased compared to the same periods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$12.8 million and $24.3 million lower employee-related expenses primarily due to the impact from reduction in force action in August 2024 and cost control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$7.2 million and $14.6 million lower facilities-related expenses due to cost control efforts including the lease termination in the third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$6.9 million and $12.7 million lower stock-based compensation primarily resulting from significant lower stock price and cancellations of stock options and restricted stock units due to reduced headcount;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$3.6 million and $10.5 million lower clinical trial expenses primarily associated with the termination of pamrevlumab programs during the second half of 2024 responding to the topline clinical data results we reported in July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$2.6 million and $5.0 million lower drug development expenses associated with drug substance activities and logistic expenses related to pamrevlumab programs which were completed and terminated;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$21.1 million one-time cost of goods sold recorded for the six months ended June 30, 2024 correspondingly to the above-mentioned drug product revenue resulting from the AstraZeneca Termination and Transition Agreement related to the AstraZeneca U.S./RoW Agreement, as defined further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we had a loss from continuing operations of $13.7 million, or a loss per basic and diluted share of $3.38, as compared to a loss of $47.1 million, or a loss per basic and diluted share of $11.79, for the same period a year ago, due to decreases in operating costs and expenses as discussed above. For the six months ended June 30, 2025, we had a loss from continuing operations of $30.4 million, or a loss per basic and diluted share of $7.54, as compared to a loss of $96.1 million, or a loss per basic and diluted share of $24.18, for the same period a year ago, due to decreases in operating costs and expenses offset by decreases in revenue as discussed above.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Cash and cash equivalents and accounts receivable for continuing operations totaled $23.5 million at June 30, 2025, a decrease of $27.5 million from December 31, 2024. Consolidated cash and cash equivalents and accounts receivable for both continuing operations and discontinued operations totaled $142.1 million at June 30, 2025, an increase of $21.0 million from December 31, 2024, primarily due to the cash provided by operations as discussed under the </w:t>
      </w:r>
      <w:r>
        <w:rPr>
          <w:rFonts w:ascii="Times New Roman" w:hAnsi="Times New Roman"/>
          <w:i/>
          <w:color w:val="000000"/>
          <w:sz w:val="20"/>
        </w:rPr>
        <w:t>Liquidity and Capital Resources</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Development and Research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an overview of our clinical, commercial, and research programs.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FG-3246 and FG-3180 in Metastatic Castration Resistant Prostate Cancer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Disease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Prostate cancer is the second most common malignancy in men, contributing significantly to male mortality rates. Approximately 13% of men will be diagnosed with prostate cancer at some point during their lifetime. There are about 65,000 drug treatable mCRPC cases in the U.S. annually and 5-year survival in mCRPC is approximately 30%.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Standard of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choice in first and second line mCRPC significantly depends on patients’ prior treatments. Androgen receptor signaling inhibitors (“ARSIs”) and chemotherapy are the preferred treatments in patients who have not been exposed to either in earlier lines of therapy. Most patients previously treated with an ARSI for metastatic hormone-sensitive prostate cancer receive chemotherapy in first-line mCRPC. Rechallenge with an alternative ARSI is associated with limited benefit in this setting.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25-30% of patients with homologous recombination repair mutation, poly (ADP-ribose) polymerase inhibitors are the standard of care for mCRPC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approvals of prostate-specific membrane antigen (“PSMA”)-targeted radiopharmaceuticals in the post-ARSI and post-chemotherapy setting have diversified treatment options in advanced mCRPC. Furthermore, PSMA-PET has been validated as standard of care diagnostic in prostate cancer, while LOCAMETZ or an approved PSMA-11 imaging agent are approved to select patients for treatment with Pluvicto (lutetium Lu 177 vipivotide tetraxetan).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is developing FG-3246 in the post-ARSI, pre-chemotherapy mCRPC setting. This is an area of high unmet need, where radiographic progression free survival is approximately 5.6-6 months after switching to a different ARSI, and approximately 8 months with chemotherapy. Novel mechanisms of action that extend survival are critical in this setting as well as biomarker driven treatment approaches. FG-3246 and the potential patient selection biomarker FG-3180 are being developed to address these unmet medical needs.</w:t>
      </w:r>
    </w:p>
    <w:p>
      <w:pPr>
        <w:pStyle w:val="TextBody"/>
        <w:bidi w:val="0"/>
        <w:spacing w:before="360" w:after="283"/>
        <w:jc w:val="left"/>
        <w:rPr>
          <w:rFonts w:ascii="Times New Roman" w:hAnsi="Times New Roman"/>
          <w:sz w:val="20"/>
        </w:rPr>
      </w:pPr>
      <w:r>
        <w:rPr>
          <w:rFonts w:ascii="Times New Roman" w:hAnsi="Times New Roman"/>
          <w:b/>
          <w:color w:val="000000"/>
          <w:sz w:val="20"/>
        </w:rPr>
        <w:t>FG-3246 and FG-3180 for the Treatment of mCRPC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FG-3246 in mCRPC and exploring other potential cancer indications. FG-3246 is a potential first-in-class ADC targeting a novel epitope on CD46. In addition to CD46 being expressed at high levels in certain tumor types with limited expression in most normal tissues, CD46 is a cell receptor that induces internalization upon antibody binding, which makes it an ideal target for an ADC. The cytotoxic payload of FG-3246 is monomethyl auristatin E (“MMAE”), an anti-mitotic agent that has been utilized in four commercially approved ADC drugs.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met with the FDA to discuss the development pathway of FG-3246, and we anticipate initiation of a Phase 2 monotherapy dose optimization study of FG-3246 for the treatment of mCRPC in the third quarter of 2025, pending close of the sale of FibroGen International to AstraZeneca Treasury Limited.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this Phase 2 study, patients will also receive FG-3180, our PET imaging agent. FG-3180 is a diagnostic radiopharmaceutical utilizing a radiolabeled version of our CD46 targeting antibody in FG-3246 to assess the correlation between CD46 expression and the response to FG-3246.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FibroGen announced the peer-reviewed publication titled “A Phase 1, First-in-Human Study of FOR46 (FG-3246), an Immune-Modulating Antibody-Drug Conjugate Targeting CD46, in Patients with Metastatic Castration Resistant Prostate Cancer” in the Journal of Oncology. The manuscript included the complete results from the Fortis Therapeutics, Inc. (“Fortis”)-sponsored Phase 1 study of FG-3246 in heavily-pretreated, biomarker un-selected patients with mCRP. Key efficacy highlights observed in the RECIST-evaluable set of 25 patients include: (1) confirmed objective response rate was 20% with median duration of response of 7.5 months, (2) all objective responses observed at a starting dose of 2.7 mg/kg or higher, and (3) disease control rate was 80% with duration of treatment exceeding 24 weeks in 12 patients (48%); (4) PSA50 response rate of 36% in 39 evaluable patients (of eight evaluable patients who received docetaxel in the castration-sensitive setting, four (50%) achieved a confirmed PSA50 response); (5) median radiographic progression-free survival of 8.7 months in all 40 subjects in the efficacy analysis set; (6) of 15 evaluable baseline tumors, 12 (80%) were positive for CD46 expression by immunohistochemistry; and (7) FG-3246 responders were found to have a significantly higher frequency of effector T cells and lower frequency of immunosuppressive myeloid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the University of California, San Francisco (“UCSF”) presented positive interim results from the dose escalation portion of the investigator-sponsored Phase 1b/2 study of FG-3246 in combination with enzalutamide in patients with mCRPC at the 2024 American Society of Clinical Oncology Annual Meeting. The presentation includes data from 17 biomarker unselected patients in the dose escalation portion of the trial. Over 70% of the patients in the study received at least two prior ARSIs, which included prior enzalutamide treatment. Dose escalation was explored with and without prophylactic granulocyte colony-stimulating factor (“G-CSF”) support. The primary endpoint was determination of the maximally tolerated dose of FG-3246 in combination with enzalutamide. The combination treatment demonstrated an encouraging preliminary estimate of median radiographic progression-free survival (“rPFS”) of 10.2 months. The maximally tolerated dose was established at 2.1 mg/kg adjusted body weight, with primary G-CSF prophylaxis, in combination with enzalutamide 160 mg/day. The most frequent adverse events were consistent with other MMAE-based ADCs and included fatigue, weight loss, elevated transaminases, neutropenia, and peripheral neuropathy. We expect topline results from the Phase 2 portion of this study, including data on the CD46 targeted PET imaging agent FG-3180, in the fourth quarter of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ROXADUSTAT IN ANEMIA ASSOCIATED WITH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FibroGen maintains its rights to roxadustat in the United States and in all markets not licensed to Astellas.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positive Type-C meeting with the FDA in July 2025, and reached alignment on several elements of our proposed Phase 3 study design for roxadustat in anemia associated with lower-risk MDS, a high-value indication with significant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planned Phase 3 trial will assess the safety and efficacy of roxadustat in a randomized, double-blind, placebo-controlled design in approximately 200 patients with lower-risk MDS. At our Type-C meeting, we aligned with the FDA on the patient population (patients requiring ≥ 4 packed Red Blood Cell (“RBC”) units in two consecutive 8-week periods prior to randomization, who are refractory to, intolerant to, or ineligible for prior erythropoiesis-stimulating agents (“ESA”) therapy), dose regimen, as well as management of potential thrombotic risk through eligibility, dose modification, and discontinuation criteria. As the primary endpoint for the study, the Company is considering either 8-week or 16-week RBC transfusion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MDS are a diverse group of bone marrow disorders characterized by ineffective production of healthy blood cells and premature destruction of blood cells in the bone marrow, leading to anemia. In most MDS patients, the cause of the disease is unknown.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diagnosed prevalence of MDS in the U.S. is estimated to be between 60,000 and 170,000, and continues to rise as more therapies become available and patients are living longer with MDS. Annual incidence rates are estimated to be 4.9/100,000 adults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Anemia is the most common clinical presentation in MDS, seen in approximately 80% of MDS patients, and produces symptoms of fatigue, weakness, exercise intolerance, shortness of breath, dizziness, and cognitive impairment.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of the Current Standard of Care for Anemia in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Transfusion-dependent MDS patients suffer higher rates of cardiac events, infections, and transformation to acute leukemia,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Lower-risk MDS patients represent approximately 77% of the total diagnosed MDS population. National Comprehensive Cancer Network guidelines recommend the use of ESAs, luspatercept and imetelstat in lower risk MDS patients, depending on patients’ treatment history, serum erythropoietin (“EPO”) levels and </w:t>
      </w:r>
      <w:r>
        <w:rPr>
          <w:rFonts w:ascii="Times New Roman" w:hAnsi="Times New Roman"/>
          <w:i/>
          <w:color w:val="000000"/>
          <w:sz w:val="20"/>
        </w:rPr>
        <w:t>ring sideroblast status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available treatment options are effective in only ~50% patients and they are challenging to dose-calibrate and can only be administered via subcutaneous injection or through IV infusion. New strategies that provide durable response and the convenience of oral administration are highly desired in managing patients with MDS.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Opportunity for Roxadustat in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is a significant need for a safe, effective, and convenient option to address anemia in patients with lower-risk MDS. Roxadustat, our orally administered small molecule hypoxia-inducible prolyl hydroxylase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CKD, roxadustat has demonstrated the ability in clinical trials to increase and maintain hemoglobin levels in the presence of inflammation as measured by C-reactive protein (“CRP”), where ESAs have shown limited effect. We believe that roxadustat has the potential to replicate this result in MDS anemia patients, where it is not uncommon for patients to present with autoimmune and inflammatory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2/3 Clinical Trial in Myelodysplastic Syndromes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Topline 28-week data from MATTERHORN, our Phase 2/3 placebo-controlled, double-blind clinical trial of roxadustat for the treatment of anemia in MDS, was presented in the fourth quarter of 2023 at the American Society of Hematology annual conference.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patients in the roxadustat arm (47.5% of 80 patients) achieved transfusion independence for 56 consecutive days (within the first 28 weeks) than the placebo arm (33.3% of 57 patients); however, the p-value was not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in a post-hoc analysis of patients with high transfusion burden (4 or more packed RBC units over two consecutive 8-week periods), 36% of the 22 roxadustat patients achieved transfusion independence, versus 7% of the 15 placebo patients (nominal p-value of 0.04).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in Anemia of Chronic Kidney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Roxadustat is our commercial-stage product, an oral small molecule inhibitor of HIF-PH activity that acts by stimulating the body’s natural pathway of erythropoiesis, or red blood cell production. </w:t>
      </w:r>
    </w:p>
    <w:p>
      <w:pPr>
        <w:pStyle w:val="TextBody"/>
        <w:bidi w:val="0"/>
        <w:spacing w:before="240" w:after="283"/>
        <w:jc w:val="left"/>
        <w:rPr/>
      </w:pPr>
      <w:r>
        <w:rPr>
          <w:rFonts w:ascii="Times New Roman" w:hAnsi="Times New Roman"/>
          <w:color w:val="000000"/>
          <w:sz w:val="20"/>
        </w:rPr>
        <w:t>In collaboration with our partners Astellas and AstraZeneca,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is approved to treat anemia in China, Europe, Japan, and numerous other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China – Roxadustat Commercial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we and our subsidiary FibroGen China Anemia Holdings, Ltd. entered into a Share Purchase Agreement with AstraZeneca Treasury Limited, a subsidiary of AstraZeneca plc, pursuant to which we agreed to sell all of the issued and outstanding equity interests of FibroGen International for an aggregate purchase price of $85 million in cash for the enterprise value of FibroGen International, plus an additional cash amount equal to the net cash held in China by FibroGen International and its subsidiaries, currently estimated to be approximately $125 million, as of the closing, which totals an aggregate amount of approximately $210 million. This sale includes all of our roxadustat assets in China, including FibroGen International’s subsidiary FibroGen Beijing and its 51.1% interest in Falikang. The transaction is expected to close in the third quarter of 2025, and is subject to customary closing conditions and closing deliverables, including receipt of regulatory approval from the China SAMR.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AstraZeneca is our long-time commercialization partner for roxadustat in greater China and South Korea. Upon the closing, we will assign to them all rights to roxadustat in China, Hong Kong, and Macao, including rights to manufacture, develop, distribute, and commercialize roxadustat.</w:t>
      </w:r>
    </w:p>
    <w:p>
      <w:pPr>
        <w:pStyle w:val="TextBody"/>
        <w:bidi w:val="0"/>
        <w:spacing w:before="240" w:after="283"/>
        <w:jc w:val="left"/>
        <w:rPr>
          <w:rFonts w:ascii="Times New Roman" w:hAnsi="Times New Roman"/>
          <w:sz w:val="20"/>
        </w:rPr>
      </w:pPr>
      <w:r>
        <w:rPr>
          <w:rFonts w:ascii="Times New Roman" w:hAnsi="Times New Roman"/>
          <w:b/>
          <w:color w:val="000000"/>
          <w:sz w:val="20"/>
        </w:rPr>
        <w:t>U.S., Europe, Japan and Rest of World - Roxadustat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FibroGen has retained the rights to roxadustat in the U.S., Canada, Mexico, and in all markets not held by AstraZeneca or licensed to Astellas. Roxadustat is not approved for commercialization in any indication in the U.S., Canada, or Mexico. </w:t>
      </w:r>
    </w:p>
    <w:p>
      <w:pPr>
        <w:pStyle w:val="TextBody"/>
        <w:bidi w:val="0"/>
        <w:spacing w:before="240" w:after="283"/>
        <w:jc w:val="left"/>
        <w:rPr>
          <w:rFonts w:ascii="Times New Roman" w:hAnsi="Times New Roman"/>
          <w:sz w:val="20"/>
        </w:rPr>
      </w:pPr>
      <w:r>
        <w:rPr>
          <w:rFonts w:ascii="Times New Roman" w:hAnsi="Times New Roman"/>
          <w:color w:val="000000"/>
          <w:sz w:val="20"/>
        </w:rPr>
        <w:t>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from and Option to Acquire Fortis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an exclusive option agreement to acquire Fortis with its novel Phase 1 ADC, FG-3246 (previously FOR46), that targets a novel epitope on CD46 preferentially expressed on certain cancer cells. FG-3246 is in development for the treatment of mCRPC with potential applicability in other solid tumors and hematologic malignancies.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FibroGen have made four quarterly payments totaling $5.4 million to Fortis in support of its continued development obligations, of which the last payment was $1.7 million and was made during the three months ended March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this transaction, see the </w:t>
      </w:r>
      <w:r>
        <w:rPr>
          <w:rFonts w:ascii="Times New Roman" w:hAnsi="Times New Roman"/>
          <w:i/>
          <w:color w:val="000000"/>
          <w:sz w:val="20"/>
        </w:rPr>
        <w:t>Consolidated Variable Interest Entity - Fortis</w:t>
      </w:r>
      <w:r>
        <w:rPr>
          <w:rFonts w:ascii="Times New Roman" w:hAnsi="Times New Roman"/>
          <w:color w:val="000000"/>
          <w:sz w:val="20"/>
        </w:rPr>
        <w:t xml:space="preserve"> section in Note 4, </w:t>
      </w:r>
      <w:r>
        <w:rPr>
          <w:rFonts w:ascii="Times New Roman" w:hAnsi="Times New Roman"/>
          <w:i/>
          <w:color w:val="000000"/>
          <w:sz w:val="20"/>
        </w:rPr>
        <w:t>Variable Interest Entities</w:t>
      </w:r>
      <w:r>
        <w:rPr>
          <w:rFonts w:ascii="Times New Roman" w:hAnsi="Times New Roman"/>
          <w:color w:val="000000"/>
          <w:sz w:val="20"/>
        </w:rPr>
        <w:t>, to the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from HiFiBiO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2021, we entered into an exclusive license and option agreement with HiFiBiO (HK) Ltd. (d.b.a. HiFiBiO Therapeutics) (“HiFiBiO”), pursuant to which we exclusively licensed from HiFiBiO all product candidates in HiFiBiO’s Galectin-9 program and subsequently exclusively licensed all product candidates in HiFiBiO’s CCR8 program. On June 12, 2025, FibroGen entered into a termination, asset transfer and license Agreement with HiFiBiO (“HiFiBiO Termination, Asset Transfer and License Agreement”), which terminated the exclusive license and option agreement and all rights and obligation of FibroGen thereunder ceased.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HiFiBiO Termination, Asset Transfer and License Agreement, FibroGen licensed HiFiBiO the anti-CCR8 and anti-Gal-9 intellectual property developed by FibroGen. In the event HiFiBiO sublicenses the Gal-9 (FG-3165) and/or CCR8 (FG-3175) assets, FibroGen is eligible to receive a mid single-digit to low double-digit share of HiFiBiO’s license revenues and low double-digit share of HiFiBiO’s commercial royalties. In the case HiFiBiO commercializes either asset, FibroGen has the potential to receive single-digit royalties based upon worldwide net sales.</w:t>
      </w:r>
    </w:p>
    <w:p>
      <w:pPr>
        <w:pStyle w:val="TextBody"/>
        <w:bidi w:val="0"/>
        <w:spacing w:before="360" w:after="283"/>
        <w:jc w:val="left"/>
        <w:rPr>
          <w:rFonts w:ascii="Times New Roman" w:hAnsi="Times New Roman"/>
          <w:sz w:val="20"/>
        </w:rPr>
      </w:pPr>
      <w:r>
        <w:rPr>
          <w:rFonts w:ascii="Times New Roman" w:hAnsi="Times New Roman"/>
          <w:b/>
          <w:color w:val="000000"/>
          <w:sz w:val="20"/>
        </w:rPr>
        <w:t>Exclusive License to Eluminex</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FibroGen and Eluminex entered into an Amended and Restated Exclusive License Agreement (“A&amp;R Eluminex Agreement”) in order to add to the license rights to recombinant human collagen Type I (in addition to the rights to collagen Type III that were already licensed).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the </w:t>
      </w:r>
      <w:r>
        <w:rPr>
          <w:rFonts w:ascii="Times New Roman" w:hAnsi="Times New Roman"/>
          <w:i/>
          <w:color w:val="000000"/>
          <w:sz w:val="20"/>
        </w:rPr>
        <w:t xml:space="preserve">Eluminex Agreement </w:t>
      </w:r>
      <w:r>
        <w:rPr>
          <w:rFonts w:ascii="Times New Roman" w:hAnsi="Times New Roman"/>
          <w:color w:val="000000"/>
          <w:sz w:val="20"/>
        </w:rPr>
        <w:t xml:space="preserve">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 Partnerships for Roxadustat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current and future research, development, manufacturing and commercialization efforts with respect to roxadustat depend on funds from our collaboration agreements with Astellas and AstraZeneca. See Note 3,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June 30, 2025 totaled $790.1 million. Based on the current development plans for roxadustat in Japan and Europe, we do not expect to receive most or all of the additional potential milestones under the Astellas Japan Agreement or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we and Astellas entered into an amendment to the Astellas Japan Agreement that allows Astellas to manufacture roxadustat drug product for commercialization in Japan (the “Astellas Japan Amendment”). The related drug product revenue was immaterial for the three months ended June 30, 2025. The related drug product revenue was $(0.4) million for the three months ended June 30, 2024, and $1.8 million and $(2.6) million for the six months ended June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$1.2 million and $1.1 million for the three months ended June 30, 2025 and 2024, and $2.0 million and $2.1 million for the six months ended June 30, 2025 and 2024, respectively.</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AstraZeneca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23, 2024, we entered into an agreement to terminate the AstraZeneca U.S./RoW Agreement with AstraZeneca, effective as of February 25, 2024. Pursuant to the AstraZeneca Termination and Transition Agreement, AstraZeneca returns all of their non-China roxadustat rights to us,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AstraZeneca Termination and Transition Agreement, FibroGen and AstraZeneca settled the outstanding balances relating to past transactions under the AstraZeneca Master Supply Agreement. Accordingly, during the first quarter of 2024, we recorded a cumulative catch-up net adjustment of $25.7 million to the drug product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June 30, 2025 totaled $81.2 million.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AstraZeneca China Agreement, which is conducted through FibroGen China Anemia Holdings, Ltd., FibroGen (China) Medical Technology Development Co., Ltd. (“FibroGen Beijing”), and FibroGen International (collectively, (“FibroGen China”), the commercial collaboration was structured as a 50/50 profit share, which was amended by the AstraZeneca China Amendment in the third quarter of 2020, as discussed and defined below in </w:t>
      </w:r>
      <w:r>
        <w:rPr>
          <w:rFonts w:ascii="Times New Roman" w:hAnsi="Times New Roman"/>
          <w:i/>
          <w:color w:val="000000"/>
          <w:sz w:val="20"/>
        </w:rPr>
        <w:t>AstraZeneca China Amendment</w:t>
      </w:r>
      <w:r>
        <w:rPr>
          <w:rFonts w:ascii="Times New Roman" w:hAnsi="Times New Roman"/>
          <w:color w:val="000000"/>
          <w:sz w:val="20"/>
        </w:rPr>
        <w:t xml:space="preserv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FibroGen China and AstraZeneca entered into an amendment, effective July 1, 2020,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our investment in Falikang under the equity method, and Falikang is not consolidated into our consolidated financial statements. Our proportionate share of the reported profits or losses of Falikang, is included in the discontinued operations in the condensed consolidated statement of operations, and the investment in unconsolidated subsidiary is included the held for sale assets on the condensed consolidated balance sheet. See Note 2, </w:t>
      </w:r>
      <w:r>
        <w:rPr>
          <w:rFonts w:ascii="Times New Roman" w:hAnsi="Times New Roman"/>
          <w:i/>
          <w:color w:val="000000"/>
          <w:sz w:val="20"/>
        </w:rPr>
        <w:t>Discontinued Operations</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revenue, net, which is included in the discontinued operations, consists primarily of revenues from sales of roxadustat commercial product to Falikang.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direct roxadustat product sales to distributors in China are made by Falikang, while FibroGen Beijing continues to sell roxadustat product directly in limited areas in China. FibroGen Beijing manufactures and supplies commercial product to Falikang based on an agreed upon transfer price, which includes gross transaction price, net of calculated profit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revenue upon the transfer of control of commercial products to Falikang in an amount that reflects the allocation of transaction price of the China manufacturing and supply obligation (“China performance obligation”) to the performance obligation satisfied during the reporting period. For our direct sales of commercial drug product, we recognize revenue when control of the promised good is transferred to the customer in an amount that reflects the consideration that we expect to be entitled to in exchange for the product. We recognized net product revenue of $19.7 million and $49.6 million for the three months ended June 30, 2025 and 2024, and $59.5 million and $80.2 million for the six months ended June 30, 2025 and 2024, respectively, majority of which were from the sales to Falikang.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tbl>
      <w:tblPr>
        <w:tblW w:w="10585" w:type="dxa"/>
        <w:jc w:val="left"/>
        <w:tblInd w:w="0" w:type="dxa"/>
        <w:tblLayout w:type="fixed"/>
        <w:tblCellMar>
          <w:top w:w="28" w:type="dxa"/>
          <w:left w:w="28" w:type="dxa"/>
          <w:bottom w:w="28" w:type="dxa"/>
          <w:right w:w="28" w:type="dxa"/>
        </w:tblCellMar>
      </w:tblPr>
      <w:tblGrid>
        <w:gridCol w:w="1416"/>
        <w:gridCol w:w="146"/>
        <w:gridCol w:w="211"/>
        <w:gridCol w:w="571"/>
        <w:gridCol w:w="146"/>
        <w:gridCol w:w="146"/>
        <w:gridCol w:w="211"/>
        <w:gridCol w:w="421"/>
        <w:gridCol w:w="146"/>
        <w:gridCol w:w="146"/>
        <w:gridCol w:w="211"/>
        <w:gridCol w:w="481"/>
        <w:gridCol w:w="166"/>
        <w:gridCol w:w="146"/>
        <w:gridCol w:w="146"/>
        <w:gridCol w:w="376"/>
        <w:gridCol w:w="166"/>
        <w:gridCol w:w="271"/>
        <w:gridCol w:w="146"/>
        <w:gridCol w:w="211"/>
        <w:gridCol w:w="571"/>
        <w:gridCol w:w="146"/>
        <w:gridCol w:w="146"/>
        <w:gridCol w:w="211"/>
        <w:gridCol w:w="676"/>
        <w:gridCol w:w="146"/>
        <w:gridCol w:w="146"/>
        <w:gridCol w:w="211"/>
        <w:gridCol w:w="736"/>
        <w:gridCol w:w="166"/>
        <w:gridCol w:w="146"/>
        <w:gridCol w:w="146"/>
        <w:gridCol w:w="376"/>
        <w:gridCol w:w="166"/>
        <w:gridCol w:w="716"/>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1"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Development revenue includes co-development and other development related services. We recognize development services as revenue in the period in which they are billed to our partners, excluding China. As of June 30, 2025, we do not expect to incur significant future co-development services. For China co-development services, we defer revenue until we begin to transfer control of the manufactured commercial product to AstraZeneca, which commenced in the first quarter of 2021, and we expect to continue through 2033, which reflects our best estimates. Other revenues consist of contract manufacturing revenue, patent transfer and sales of research and development material. Development and other revenue have not been material for any of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AstraZeneca U.S./RoW Agreement was terminated on February 23, 2024 (except for South Korea), while the AstraZeneca China Agreement and relationship continue unaffected.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will continue generating revenue from collaboration agreements in the form of milestone payments and royalties on drug product sales. We expect that any revenues we generate will fluctuate from quarter to quarter due to the uncertain timing and amount of such payments and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increased $0.4 million, or 35%, for the three months ended June 30, 2025, and decreased $22.3 million, or 84%, for the six months ended June 30, 2025,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Drug Product Revenue, Net</w:t>
      </w:r>
    </w:p>
    <w:p>
      <w:pPr>
        <w:pStyle w:val="TextBody"/>
        <w:bidi w:val="0"/>
        <w:jc w:val="left"/>
        <w:rPr/>
      </w:pPr>
      <w:r>
        <w:rPr/>
        <w:t> </w:t>
      </w:r>
    </w:p>
    <w:tbl>
      <w:tblPr>
        <w:tblW w:w="10690" w:type="dxa"/>
        <w:jc w:val="left"/>
        <w:tblInd w:w="0" w:type="dxa"/>
        <w:tblLayout w:type="fixed"/>
        <w:tblCellMar>
          <w:top w:w="28" w:type="dxa"/>
          <w:left w:w="28" w:type="dxa"/>
          <w:bottom w:w="28" w:type="dxa"/>
          <w:right w:w="28" w:type="dxa"/>
        </w:tblCellMar>
      </w:tblPr>
      <w:tblGrid>
        <w:gridCol w:w="1326"/>
        <w:gridCol w:w="146"/>
        <w:gridCol w:w="211"/>
        <w:gridCol w:w="571"/>
        <w:gridCol w:w="146"/>
        <w:gridCol w:w="146"/>
        <w:gridCol w:w="211"/>
        <w:gridCol w:w="571"/>
        <w:gridCol w:w="166"/>
        <w:gridCol w:w="146"/>
        <w:gridCol w:w="211"/>
        <w:gridCol w:w="421"/>
        <w:gridCol w:w="146"/>
        <w:gridCol w:w="146"/>
        <w:gridCol w:w="146"/>
        <w:gridCol w:w="481"/>
        <w:gridCol w:w="166"/>
        <w:gridCol w:w="271"/>
        <w:gridCol w:w="146"/>
        <w:gridCol w:w="211"/>
        <w:gridCol w:w="571"/>
        <w:gridCol w:w="146"/>
        <w:gridCol w:w="146"/>
        <w:gridCol w:w="211"/>
        <w:gridCol w:w="676"/>
        <w:gridCol w:w="166"/>
        <w:gridCol w:w="146"/>
        <w:gridCol w:w="211"/>
        <w:gridCol w:w="736"/>
        <w:gridCol w:w="166"/>
        <w:gridCol w:w="146"/>
        <w:gridCol w:w="146"/>
        <w:gridCol w:w="481"/>
        <w:gridCol w:w="166"/>
        <w:gridCol w:w="591"/>
      </w:tblGrid>
      <w:tr>
        <w:trPr/>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1"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AstraZeneca U.S./RoW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net increased $0.5 million, or 67%, for the three months ended June 30, 2025, and decreased $21.4 million, or 85%, for the six months ended June 30, 2025, respectively, compared to the same periods a year ago.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2025, we updated our estimate of variable consideration related to the API shipments fulfilled under the terms of Astellas Japan Amendment, and the adjustment to the drug product revenue for the three months ended June 30, 2025 was immaterial.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2025, we updated our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2024, we updated our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the foreign exchange impacts and the changes in the estimated bulk product strength mix intended to be manufactured by Astellas,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2024, we updated our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the balances related to the API price true-up under the Astellas Japan Agreement were $0.6 million in accrued liabilities, representing our best estimate of the timing for these amounts to be paid.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updated our estimate of variable consideration related to the bulk drug product transferred under the terms of the Astellas Europe Agreement and the Astellas EU Supply Agreement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we reclassified $7.2 million from the related deferred revenue to accrued liabilities. As of December 31, 2024, the related balance in accrued liabilities was $10.5 million. We further reclassified $1.3 million from the related deferred revenue to accrued liabilities during the six months ended June 30, 2025. As of June 30, 2025, the balances related to the bulk drug product price true-up under the Astellas Europe Agreement and the Astellas EU Supply Agreement were $11.9 million in accrued liabilities, representing our best estimate that these amounts will be paid within the next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recognized royalty revenue as drug product revenue, from the deferred revenue under the Astellas Europe Agreement, of $1.2 million and $1.1 million for the three months ended June 30, 2025 and 2024, and $2.0 million and $2.1 million for the six months ended June 30, 2025 and 2024, respectively. It is our best estimate that the remainder of the deferred revenue will be recognized as revenue and when uncertainty is resolved, based on the performance of roxadustat product sales in the Astellas territory.</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 U.S./RoW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above, pursuant to the AstraZeneca Termination and Transition Agreement related to the AstraZeneca U.S./RoW Agreement, FibroGen and AstraZeneca settled the outstanding balances relating to past transactions under the AstraZeneca Master Supply Agreement. Accordingly, during the first quarter of 2024, we accounted for the termination of the AstraZeneca U.S./RoW agreement as a contract modification under the ASC 606 and recorded a cumulative catch-up net adjustment of $25.7 million to the drug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Costs and Expenses</w:t>
      </w:r>
    </w:p>
    <w:p>
      <w:pPr>
        <w:pStyle w:val="TextBody"/>
        <w:bidi w:val="0"/>
        <w:jc w:val="left"/>
        <w:rPr/>
      </w:pPr>
      <w:r>
        <w:rPr/>
        <w:t> </w:t>
      </w:r>
    </w:p>
    <w:tbl>
      <w:tblPr>
        <w:tblW w:w="11360" w:type="dxa"/>
        <w:jc w:val="left"/>
        <w:tblInd w:w="0" w:type="dxa"/>
        <w:tblLayout w:type="fixed"/>
        <w:tblCellMar>
          <w:top w:w="28" w:type="dxa"/>
          <w:left w:w="28" w:type="dxa"/>
          <w:bottom w:w="28" w:type="dxa"/>
          <w:right w:w="28" w:type="dxa"/>
        </w:tblCellMar>
      </w:tblPr>
      <w:tblGrid>
        <w:gridCol w:w="1491"/>
        <w:gridCol w:w="146"/>
        <w:gridCol w:w="211"/>
        <w:gridCol w:w="676"/>
        <w:gridCol w:w="146"/>
        <w:gridCol w:w="146"/>
        <w:gridCol w:w="211"/>
        <w:gridCol w:w="676"/>
        <w:gridCol w:w="146"/>
        <w:gridCol w:w="146"/>
        <w:gridCol w:w="211"/>
        <w:gridCol w:w="736"/>
        <w:gridCol w:w="166"/>
        <w:gridCol w:w="146"/>
        <w:gridCol w:w="146"/>
        <w:gridCol w:w="376"/>
        <w:gridCol w:w="166"/>
        <w:gridCol w:w="271"/>
        <w:gridCol w:w="146"/>
        <w:gridCol w:w="211"/>
        <w:gridCol w:w="676"/>
        <w:gridCol w:w="146"/>
        <w:gridCol w:w="146"/>
        <w:gridCol w:w="211"/>
        <w:gridCol w:w="781"/>
        <w:gridCol w:w="146"/>
        <w:gridCol w:w="146"/>
        <w:gridCol w:w="211"/>
        <w:gridCol w:w="736"/>
        <w:gridCol w:w="166"/>
        <w:gridCol w:w="146"/>
        <w:gridCol w:w="146"/>
        <w:gridCol w:w="376"/>
        <w:gridCol w:w="166"/>
        <w:gridCol w:w="591"/>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operating costs and expenses decreased $34.0 million, or 72%, and decreased $90.9 million, or 75%, for the six months ended June 30, 2025,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goods sold was immaterial for the three months ended June 30, 2025 and 2024. Cost of goods sold decreased $21.1 million, or 98%, for the six months ended June 30, 2025, compared to the same period a year ago. As described above, during the first quarter of 2024, we recorded a cumulative catch-up net adjustment to the drug product revenue resulting from the AstraZeneca Termination and Transition Agreement related to the AstraZeneca U.S./RoW Agreement. Correspondingly, we recorded the related cost of goods sold of $21.1 million in the same period.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We have implemented a significant cost reduction plan in the U.S. in the third quarter of 2024. As a result, research and development expenses have overall decreased and may continue to decrease in certain areas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three and six months ended June 30, 2025 and 2024:</w:t>
      </w:r>
    </w:p>
    <w:tbl>
      <w:tblPr>
        <w:tblW w:w="8839" w:type="dxa"/>
        <w:jc w:val="left"/>
        <w:tblInd w:w="0" w:type="dxa"/>
        <w:tblLayout w:type="fixed"/>
        <w:tblCellMar>
          <w:top w:w="28" w:type="dxa"/>
          <w:left w:w="28" w:type="dxa"/>
          <w:bottom w:w="28" w:type="dxa"/>
          <w:right w:w="28" w:type="dxa"/>
        </w:tblCellMar>
      </w:tblPr>
      <w:tblGrid>
        <w:gridCol w:w="1684"/>
        <w:gridCol w:w="163"/>
        <w:gridCol w:w="1887"/>
        <w:gridCol w:w="146"/>
        <w:gridCol w:w="243"/>
        <w:gridCol w:w="659"/>
        <w:gridCol w:w="168"/>
        <w:gridCol w:w="168"/>
        <w:gridCol w:w="243"/>
        <w:gridCol w:w="781"/>
        <w:gridCol w:w="146"/>
        <w:gridCol w:w="146"/>
        <w:gridCol w:w="211"/>
        <w:gridCol w:w="677"/>
        <w:gridCol w:w="146"/>
        <w:gridCol w:w="146"/>
        <w:gridCol w:w="211"/>
        <w:gridCol w:w="677"/>
        <w:gridCol w:w="146"/>
        <w:gridCol w:w="191"/>
      </w:tblGrid>
      <w:tr>
        <w:trPr/>
        <w:tc>
          <w:tcPr>
            <w:tcW w:w="16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 Candidate</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Development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FG-3246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Roxadustat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 Phase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Pamrevlumab</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$26.5 million, or 82%, for the three months ended June 30, 2025, and decreased $53.8 million, or 78%, for the six months ended June 30, 2025, respectively, compared to the same periods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 of $8.4 million and $16.2 million in employee-related costs primarily due to the impact from reduction in force action in August 2024 and cost control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$3.6 million and $10.5 million in clinical trials costs primarily associated with the termination of pamrevlumab programs during the second half of 2024 responding to the topline clinical data results we reported in July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$6.1 million and $11.9 million in facilities-related expenses due to cost control efforts including the lease termination in the third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$3.6 million and $6.8 million in stock-based compensation primarily resulting from significantly lower stock price and cancellations of stock options and restricted stock units due to reduced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$2.6 million and $5.0 million in drug development expenses associated with drug substance activities and logistic expenses related to pamrevlumab programs which were completed and terminated.</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recruiting fees and expenses associated with obtaining and maintaining patents. We have implemented a significant cost reduction plan in the U.S. in the third quarter of 2024. As a result, SG&amp;A expenses have overall decreased and may continue to decrease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SG&amp;A expenses decreased $7.8 million, or 53%, for the three months ended June 30, 2025, and decreased $16.5 million, or 52%, for the six months ended June 30, 2025, respectively, compared to the same periods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$4.4 million and $8.0 million in employee-related costs primarily due to the impact from reduction in force action in August 2024 and cost control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$3.3 million and $5.8 million in stock-based compensation primarily resulting from significantly lower stock price and cancellations of stock options and restricted stock units due to reduced headcount.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Charge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response to the topline clinical results for pamrevlumab in patients with pancreatic cancer we announced in July 2024, we implemented an immediate and significant cost reduction plan in the U.S., including terminating pamrevlumab research and development investment and expeditiously winding down remaining obligations, and reducing our U.S. workforce by approximately 75%. As a result, we recorded majority of the related non-recurring restructuring charge during the third quarter of 2024, primarily consisting of notice period and severance payments, accrued vacation, and employee benefits contributions. The related restructuring charge for the three and six months ended June 30, 2025 was not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and Other, Net</w:t>
      </w:r>
    </w:p>
    <w:p>
      <w:pPr>
        <w:pStyle w:val="TextBody"/>
        <w:bidi w:val="0"/>
        <w:jc w:val="left"/>
        <w:rPr/>
      </w:pPr>
      <w:r>
        <w:rPr/>
        <w:t> </w:t>
      </w:r>
    </w:p>
    <w:tbl>
      <w:tblPr>
        <w:tblW w:w="10650" w:type="dxa"/>
        <w:jc w:val="left"/>
        <w:tblInd w:w="0" w:type="dxa"/>
        <w:tblLayout w:type="fixed"/>
        <w:tblCellMar>
          <w:top w:w="28" w:type="dxa"/>
          <w:left w:w="28" w:type="dxa"/>
          <w:bottom w:w="28" w:type="dxa"/>
          <w:right w:w="28" w:type="dxa"/>
        </w:tblCellMar>
      </w:tblPr>
      <w:tblGrid>
        <w:gridCol w:w="1176"/>
        <w:gridCol w:w="146"/>
        <w:gridCol w:w="211"/>
        <w:gridCol w:w="631"/>
        <w:gridCol w:w="166"/>
        <w:gridCol w:w="146"/>
        <w:gridCol w:w="211"/>
        <w:gridCol w:w="631"/>
        <w:gridCol w:w="166"/>
        <w:gridCol w:w="146"/>
        <w:gridCol w:w="211"/>
        <w:gridCol w:w="481"/>
        <w:gridCol w:w="166"/>
        <w:gridCol w:w="146"/>
        <w:gridCol w:w="146"/>
        <w:gridCol w:w="376"/>
        <w:gridCol w:w="166"/>
        <w:gridCol w:w="271"/>
        <w:gridCol w:w="146"/>
        <w:gridCol w:w="211"/>
        <w:gridCol w:w="631"/>
        <w:gridCol w:w="166"/>
        <w:gridCol w:w="146"/>
        <w:gridCol w:w="211"/>
        <w:gridCol w:w="631"/>
        <w:gridCol w:w="166"/>
        <w:gridCol w:w="146"/>
        <w:gridCol w:w="211"/>
        <w:gridCol w:w="631"/>
        <w:gridCol w:w="166"/>
        <w:gridCol w:w="146"/>
        <w:gridCol w:w="146"/>
        <w:gridCol w:w="421"/>
        <w:gridCol w:w="166"/>
        <w:gridCol w:w="716"/>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represents the interest related to the senior secured term loan facilities, interest related to sale of future revenues and interest related to the Technology Development Center of the Republic of Finland product development obligations. Interest expense remained relatively flat for the three and six months ended June 30, 2025, compared to the same periods a year ago.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Interest Income and Other Income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and other income (expenses), net decreased $0.6 million, or 68%, and decreased $2.4 million, or 78%, for the six months ended June 30, 2025, respectively, compared to the same periods a year ago, primarily due to lower interest income resulting from lower cash equivalents and investment balances.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5"/>
        <w:gridCol w:w="146"/>
        <w:gridCol w:w="211"/>
        <w:gridCol w:w="736"/>
        <w:gridCol w:w="166"/>
        <w:gridCol w:w="271"/>
        <w:gridCol w:w="146"/>
        <w:gridCol w:w="211"/>
        <w:gridCol w:w="736"/>
        <w:gridCol w:w="166"/>
        <w:gridCol w:w="271"/>
        <w:gridCol w:w="146"/>
        <w:gridCol w:w="211"/>
        <w:gridCol w:w="736"/>
        <w:gridCol w:w="166"/>
        <w:gridCol w:w="271"/>
        <w:gridCol w:w="146"/>
        <w:gridCol w:w="211"/>
        <w:gridCol w:w="736"/>
        <w:gridCol w:w="166"/>
        <w:gridCol w:w="391"/>
      </w:tblGrid>
      <w:tr>
        <w:trPr/>
        <w:tc>
          <w:tcPr>
            <w:tcW w:w="3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7"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Benefits for income taxes for the three and six months ended June 30, 2025 and 2024 were primarily due to foreign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AstraZeneca is our long-time commercialization partner for roxadustat in greater China and South Korea. This sale includes all of our roxadustat assets in China, including FibroGen International’s subsidiary FibroGen Beijing and its 51.1% interest in Falikang. The transaction is expected to close in the third quarter of 2025, and is subject to customary closing conditions and closing deliverables, including receipt of regulatory approval from the China State Administration for Market Regulation.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determined that FibroGen International met the “held for sale” criteria and the “discontinued operations” criteria in accordance with Financial Accounting Standard Board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xml:space="preserve">, as of June 30, 2025 and December 31, 2024. Accordingly, the operating results related to FibroGen International are classified as discontinued operations, and have been reflected as discontinued operations in the condensed consolidated statements of operations. See Note 2, </w:t>
      </w:r>
      <w:r>
        <w:rPr>
          <w:rFonts w:ascii="Times New Roman" w:hAnsi="Times New Roman"/>
          <w:i/>
          <w:color w:val="000000"/>
          <w:sz w:val="20"/>
        </w:rPr>
        <w:t>Discontinued Operations</w:t>
      </w:r>
      <w:r>
        <w:rPr>
          <w:rFonts w:ascii="Times New Roman" w:hAnsi="Times New Roman"/>
          <w:color w:val="000000"/>
          <w:sz w:val="20"/>
        </w:rPr>
        <w:t>,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2022, we entered into a Revenue Interest Financing Agreement (“RIFA”) with NovaQuest Capital Management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April 2023, we entered into the Financing Agreement with investment funds managed by Morgan Stanley Tactical Value,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For additional details about this financing transaction, see Note 7, </w:t>
      </w:r>
      <w:r>
        <w:rPr>
          <w:rFonts w:ascii="Times New Roman" w:hAnsi="Times New Roman"/>
          <w:i/>
          <w:color w:val="000000"/>
          <w:sz w:val="20"/>
        </w:rPr>
        <w:t>Senior Secured Revolving Line of Credit</w:t>
      </w:r>
      <w:r>
        <w:rPr>
          <w:rFonts w:ascii="Times New Roman" w:hAnsi="Times New Roman"/>
          <w:color w:val="000000"/>
          <w:sz w:val="20"/>
        </w:rPr>
        <w:t>, to the condensed consolidated financial statements. Upon the closing of the sale of FibroGen International and its subsidiaries to AstraZeneca Treasury Limited, we intend to repay our term loan facility with the Lenders.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2025, we entered into an Equity Distribution Agreement with BofA Securities, Inc. pursuant to which we may issue and sell, from time to time and through BofA Securities, Inc., shares of our common stock having an aggregate offering price of up to $30.0 million. We did not sell any shares of common stock under this agreement during the three and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we had cash and cash equivalents of $23.4 million for our continuing operations, compared to $50.5 million as of December 31, 2024. Cash is invested in accordance with our investment policy, primarily with a view to liquidity and capital preservation. In addition, as of June 30, 2025, we had $96.5 million of cash and cash equivalents and $22.1 million of accounts receivable in China, which were included in the held for sale assets on the condensed consolidated balance sheet. We will have access to the entirety of the cash, cash equivalents and accounts receivable balances in China upon the close of the sales of FibroGen International to AstraZeneca Treasury Limited.</w:t>
      </w:r>
    </w:p>
    <w:p>
      <w:pPr>
        <w:pStyle w:val="TextBody"/>
        <w:bidi w:val="0"/>
        <w:spacing w:before="240" w:after="283"/>
        <w:jc w:val="left"/>
        <w:rPr>
          <w:rFonts w:ascii="Times New Roman" w:hAnsi="Times New Roman"/>
          <w:sz w:val="20"/>
        </w:rPr>
      </w:pPr>
      <w:r>
        <w:rPr>
          <w:rFonts w:ascii="Times New Roman" w:hAnsi="Times New Roman"/>
          <w:color w:val="000000"/>
          <w:sz w:val="20"/>
        </w:rPr>
        <w:t>We have evaluated measures to access additional cash from our China operations and we believe the above-mentioned sale of FibroGen International represents the most efficient way to access the entirety of our cash from China upon closing of the transaction. The completion of the sale of FibroGen International, access to additional cash from our China operations and our capital contributions to FibroGen Beijing and the liquidity position of FibroGen Beijing depend on many factors, including those set forth under Part II, Item 1A “</w:t>
      </w:r>
      <w:r>
        <w:rPr>
          <w:rFonts w:ascii="Times New Roman" w:hAnsi="Times New Roman"/>
          <w:i/>
          <w:color w:val="000000"/>
          <w:sz w:val="20"/>
        </w:rPr>
        <w:t>Risk Factors</w:t>
      </w:r>
      <w:r>
        <w:rPr>
          <w:rFonts w:ascii="Times New Roman" w:hAnsi="Times New Roman"/>
          <w:color w:val="000000"/>
          <w:sz w:val="20"/>
        </w:rPr>
        <w:t xml:space="preserve">” in this Quarterly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Sources and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and cash equivalents for each of the periods set forth below (in thousands), including both continuing operations and discontinued operations:</w:t>
      </w:r>
    </w:p>
    <w:p>
      <w:pPr>
        <w:pStyle w:val="TextBody"/>
        <w:bidi w:val="0"/>
        <w:spacing w:before="20" w:after="283"/>
        <w:jc w:val="left"/>
        <w:rPr/>
      </w:pPr>
      <w:r>
        <w:rPr/>
        <w:t> </w:t>
      </w:r>
    </w:p>
    <w:tbl>
      <w:tblPr>
        <w:tblW w:w="8214" w:type="dxa"/>
        <w:jc w:val="left"/>
        <w:tblInd w:w="0" w:type="dxa"/>
        <w:tblLayout w:type="fixed"/>
        <w:tblCellMar>
          <w:top w:w="28" w:type="dxa"/>
          <w:left w:w="28" w:type="dxa"/>
          <w:bottom w:w="28" w:type="dxa"/>
          <w:right w:w="28" w:type="dxa"/>
        </w:tblCellMar>
      </w:tblPr>
      <w:tblGrid>
        <w:gridCol w:w="5286"/>
        <w:gridCol w:w="146"/>
        <w:gridCol w:w="211"/>
        <w:gridCol w:w="676"/>
        <w:gridCol w:w="166"/>
        <w:gridCol w:w="146"/>
        <w:gridCol w:w="211"/>
        <w:gridCol w:w="781"/>
        <w:gridCol w:w="591"/>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$15.4 million for the six months ended June 30, 2025 and consisted primarily of net loss of $3.0 million adjusted for non-operating cash items of $6.2 million, and a net increase in operating assets and liabilities of $12.1 million. The significant non-operating cash items included stock-based compensation expense of $4.7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decreased $51.5 million, primarily due to the $28.5 million distribution of the above-mentioned litigation settlement during the quarter, which is fully recoverable under our insurance policies. The decrease in prepaid expenses and other current assets was also related to the collection from Falikang during the quarter based on the arrangements under the above-mentioned settlement agreements between FibroGen China and AstraZeneca to settle certain historical items, which was unbilled receivables 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Deferred revenue increased $7.5 million, primarily related to the $10.0 million additional deferred revenue during the quarter due to changes in estimate associated with the China performance obligation; offset by the $2.0 million royalty revenue recognized from the deferred revenue under the Astellas Europe Agreement during the period. See the </w:t>
      </w:r>
      <w:r>
        <w:rPr>
          <w:rFonts w:ascii="Times New Roman" w:hAnsi="Times New Roman"/>
          <w:i/>
          <w:color w:val="000000"/>
          <w:sz w:val="20"/>
        </w:rPr>
        <w:t>Drug Product Revenue, Net</w:t>
      </w:r>
      <w:r>
        <w:rPr>
          <w:color w:val="000000"/>
        </w:rPr>
        <w:t xml:space="preserve"> </w:t>
      </w:r>
      <w:r>
        <w:rPr>
          <w:rFonts w:ascii="Times New Roman" w:hAnsi="Times New Roman"/>
          <w:color w:val="000000"/>
          <w:sz w:val="20"/>
        </w:rPr>
        <w:t xml:space="preserve">section in Note 3,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Inventory decreased $4.2 million primarily driven by lower inventory production in China as we have decommissioned our API manufacturing facility in Cangzhou, China in late 2024. Inventory in China is part of the held-for-sale assets resulting from the Share Purchase Agreement with AstraZeneca Treasury Limited as discussed above and in Note 2, </w:t>
      </w:r>
      <w:r>
        <w:rPr>
          <w:rFonts w:ascii="Times New Roman" w:hAnsi="Times New Roman"/>
          <w:i/>
          <w:color w:val="000000"/>
          <w:sz w:val="20"/>
        </w:rPr>
        <w:t>Discontinued Operations,</w:t>
      </w:r>
      <w:r>
        <w:rPr>
          <w:color w:val="000000"/>
        </w:rPr>
        <w:t xml:space="preserve"> </w:t>
      </w:r>
      <w:r>
        <w:rPr>
          <w:rFonts w:ascii="Times New Roman" w:hAnsi="Times New Roman"/>
          <w:color w:val="000000"/>
          <w:sz w:val="20"/>
        </w:rPr>
        <w:t>to the condensed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Accrued interest expense related to sale of future revenues increased $3.7 million due to the interest expense of $4.1 million accrued, offset by the interest paid of $0.5 million during the period.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$30.7 million, primarily driven by the $28.5 million distribution of litigation settlement related to our agreement in principle with plaintiffs to settle the class action lawsuit. The accrued and other liabilities were also impacted by cost control efforts and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decreased $21.7 million, primarily driven by the payments made during the quarter to AstraZeneca under the settlement agreements entered in September 2024 between FibroGen China and AstraZeneca to settle certain historical items;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Accounts receivable increased $3.0 million, primarily driven by the billings to Falikang based on the arrangements under the above-mentioned settlement agreements and related to the increase product sales. Accounts receivable from Falikang is part of the held-for-sale assets resulting from the Share Purchase Agreement with AstraZeneca Treasury Limited as discussed above and in Note 2, </w:t>
      </w:r>
      <w:r>
        <w:rPr>
          <w:rFonts w:ascii="Times New Roman" w:hAnsi="Times New Roman"/>
          <w:i/>
          <w:color w:val="000000"/>
          <w:sz w:val="20"/>
        </w:rPr>
        <w:t xml:space="preserve">Discontinued Operations </w:t>
      </w:r>
      <w:r>
        <w:rPr>
          <w:rFonts w:ascii="Times New Roman" w:hAnsi="Times New Roman"/>
          <w:color w:val="000000"/>
          <w:sz w:val="20"/>
        </w:rPr>
        <w:t>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$99.2 million for the six months ended June 30, 2024 and consisted primarily of net loss of $48.5 million adjusted for non-operating cash items of $15.8 million, and a net decrease in operating assets and liabilities of $66.5 million. The significant non-operating cash items included stock-based compensation expense of $17.4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$52.7 million, primarily driven by payment of $35.3 million to Astellas and $11.5 million to AstraZeneca related to accrued API and bulk drug product price true-up; bonus and severance payouts totaling $19.1 million, offset by accrued inventory related cost of $8.5 million as of June 30, 2024, as part of the cost of goods sold resulting from the above-mentioned termination of the AstraZeneca U.S./RoW agreement. The accrued and other liabilities were also impacted by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decreased $29.5 million, primarily related to the $20.6 million product revenue recognized from the previously deferred revenue of the China performance obligation during the six months ended June 30, 2023. In addition, the decrease in deferred revenue was also related to the $2.1 million royalty revenue recognized from the deferred revenue under the Astellas Europe Agreement, and the reclassification of $5.4 million to accrued liabilities, resulting from changes in estimated variable consideration associated with the bulk drug product transferred to Astellas under the terms of the Astellas Europe Agreement and the Astellas EU Supply Agreement during the six months ended June 30,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payable decreased $8.0 million, primarily driven by the timing of invoicing and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interest expense related to sale of future revenues decreased $1.9 million due to the $5.7 million interest paid, offset by the interest expense of $3.7 million accrued during the six months ended June 30,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Inventory decreased $15.6 million primarily driven by the $12.6 million of work-in-progress inventory that was reimbursed as part of the above-mentioned termination of the AstraZeneca U.S./RoW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decreased $6.0 million, primarily driven by the receipt of the billings under our collaboration and license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decreased $4.5 million, primarily due to the reimbursements from the insurance for the legal fees associated with the class action lawsuit, which is recoverable under our insurance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 primarily consist of purchases of property and equipment, purchases of investments and proceeds from the maturity and sale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immaterial for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$123.5 million for the six months ended June 30, 2024 and consisted primarily of $132.2 million of proceeds from maturities of investments, partially offset by $8.6 million of cash used in purchases of available-for-sale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primarily reflect proceeds from strategic financing arrangements, proceeds from the issuance of our common stock, cash paid for payroll taxes on restricted stock unit releases, and repayments of our lease liabilities and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immaterial for the six months ended June 30,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sz w:val="20"/>
        </w:rPr>
      </w:pPr>
      <w:r>
        <w:rPr>
          <w:rFonts w:ascii="Times New Roman" w:hAnsi="Times New Roman"/>
          <w:color w:val="000000"/>
          <w:sz w:val="20"/>
        </w:rPr>
        <w:t>We generate revenue from commercial sales of roxadustat product in China, Japan and Europe. Even with the expectation of increases in these revenues and the sale of FibroGen International and its subsidiaries to AstraZeneca Treasury Limited,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hAnsi="Times New Roman"/>
          <w:i/>
          <w:color w:val="000000"/>
          <w:sz w:val="20"/>
        </w:rPr>
        <w:t>Risk Factors</w:t>
      </w:r>
      <w:r>
        <w:rPr>
          <w:rFonts w:ascii="Times New Roman" w:hAnsi="Times New Roman"/>
          <w:color w:val="000000"/>
          <w:sz w:val="20"/>
        </w:rPr>
        <w:t>” in this Quarterly Report on Form 10-Q, as well as unknown factors that may adversely affect our business. We anticipate that we will need substantial additional funding in connection with our continuing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If we are unable to complete the above mentioned sale of FibroGen International and its subsidiaries to AstraZeneca Treasury Limited, access additional cash from our China operations, or raise additional capital in the U.S., we would not have sufficient liquidity to continue operations in the U.S. for the 12 months from the date that the financial statements are issued and would not be able to comply with its financial covenant that requires a minimum balance of $18.75 million of unrestricted cash and cash equivalents to be held in accounts in the U.S. Upon an event of default, our senior secured term loan facilities could become immediately due and payable. We have evaluated measures to access additional cash from our China operations and believe the sale of FibroGen International represents the most efficient way to access the entirety of our cash from China upon closing of the transaction. There is also the potential that we raise additional funds in the U.S. at any time through equity, equity-linked, or debt financing arrangements or from other sources. There can be no assurances that these plans will be successful. As a result of these factors, we have determined that there is substantial doubt about our ability to continue as a going concern within 12 months after the date that the financial statements are issued.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Times New Roman" w:hAnsi="Times New Roman"/>
          <w:i/>
          <w:color w:val="000000"/>
          <w:sz w:val="20"/>
        </w:rPr>
        <w:t>Risk Factors</w:t>
      </w:r>
      <w:r>
        <w:rPr>
          <w:rFonts w:ascii="Times New Roman" w:hAnsi="Times New Roman"/>
          <w:color w:val="000000"/>
          <w:sz w:val="20"/>
        </w:rPr>
        <w:t xml:space="preserve">”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funding, we could delay, reduce or eliminate research and development programs, product portfolio development or future commercialization efforts which could adversely affect our business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we had outstanding total non-cancelable purchase obligations of $3.1 million for general purchases and other programs and $0.5 million for manufacture and supply of roxadustat, all of which are expected to be paid within the next 12 months. We expect to fulfill our commitments under these agreements in the normal course of business, and as such, no liability has been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Financing Agreement with Morgan Stanley Tactical Value, as of June 30, 2025, we had $73.7 million of senior secured term loan facilities balance on the condensed consolidated balance sheets, which is subject for repayment within the next 12 months. In addition, we are obliged to pay interest on a monthly basis, for which we expect to pay a total of $9.0 million within the next 12 months. See Note 7, </w:t>
      </w:r>
      <w:r>
        <w:rPr>
          <w:rFonts w:ascii="Times New Roman" w:hAnsi="Times New Roman"/>
          <w:i/>
          <w:color w:val="000000"/>
          <w:sz w:val="20"/>
        </w:rPr>
        <w:t>Senior Secured Term Loan Facilities</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RIFA with NovaQuest, as of June 30, 2025, we had $63.0 million of liability related to sale of future revenues in the condensed consolidated balance sheets, $1.7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estimates and judgments during the three and six months ended June 30, 2025 compared with the disclosures in Part II, Item 7 of our 2024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therefore, pursuant to Item 305(e) of Regulation S-K,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3" w:name="item_4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June 30, 2025,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evaluation, the Principal Executive Officer and Principal Financial Officer have concluded that our disclosure controls and procedures were effective at the reasonable assurance level as of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three months ended June 30, 2025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June 30, 2025, as we could not predict the ultimate outcome of these matters, or reasonably estimate the potential exposure.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marked with an asterisk (*) those risks described below that reflect substantive changes from the risks described under Part I, Item 1A “Risk Factors” included in our Annual Report on Form 10-K for the year ended December 31, 2024, filed on March 17,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FibroGen will depend on a number of factors, many of which are beyond our control and involve risks, including but not limited to the following: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products roxadustat and FG-3246 (in conjunction with our positron emission tomography imaging agent FG-3180).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and obtaining marketing authorization are very difficult endeavors, and we may ultimately be unable to obtain regulatory approval for our various product candidates in one or more jurisdictions and one or more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Phase 1, and Phase 2 clinical trial results may not be indicative of the results that may be obtained in larger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manufacturers or we cannot properly manufacture the appropriate volume of product, we may experience delays in development, regulatory approval, launch, or successful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substantial competition in the discovery, development and commercialization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were terminated or if our partners were unwilling or unable to contribute or participate in the collaborations, our ability to successfully develop and commercialize the relevant product candidate would suffer.*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preclinical and clinical trial contractors do not properly perform their agreed-upon obligations, we may not be able to obtain or may be delayed in receiving regulatory approvals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shortfalls, delays, or excesses in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components of our products are acquired from single-source suppliers or without long-term supply agreements. The loss of these suppliers, or their failure to supply, would materially and adversely affect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foreign countries do not protect proprietary rights to the same extent as do the laws of the United States, and we may encounter significant problems in securing and defending our intellectual property rights outside the United States.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highly uncertain and we may not obtain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and evolving United States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consummate the sale of FibroGen International to AstraZeneca Treasury Limited, our operations, business conditions, and the trading price of our common stock and our business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operations in China and there are a number of risks associated with international operations could materially and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industry in China is highly regulated and such regulations are subject to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U.S. and China relations, as well as relations with other countries, and/or regulations may adversely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own manufacturing facility in China to produce roxadustat drug product for the market in China. There are risks inherent to operating commercial manufacturing facilities and we may not be able to continually meet market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risk of manufacturing disruption due to geopolitical tensions in China and related to United States legislation impacting WuXi AppTec, Wuxi Biologics, and Wuxi XDC.*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in successfully growing and sustaining sales of roxadustat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prices of any product candidates that we develop will be subject to pricing control in China and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FibroGen Beijing would be subject to restrictions on paying dividends or making other payments to us, which may restrict our ability to satisfy our liquidity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foreign operations, particularly those in China, are subject to significant risks involving the protection of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with respect to the China legal system and regulations could have a material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China’s economic, governmental, or social conditions could have a material adverse effect on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products roxadustat and FG-3246 (in conjunction with our positron emission tomography (“PET”) imaging agent FG-3180).</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value drivers for FibroGen, Inc. (“FibroGen” or the “Company”) depend in large part on the continued commercial success of roxadustat in Europe, Japan, and the People’s Republic of China (“China”), the potential of roxadustat anemia associated with lower-risk myelodysplastic syndromes (“MDS”), and the development of FG-3246 (in conjunction with our PET imaging agent FG-3180), which is in clinical development for metastatic castration-resistant prostate cancer (“mCRPC”).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efforts in these programs are unsuccessful, it may materially and adversely affect our business and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and obtaining marketing authorization are very difficult endeavors, and we may ultimately be unable to obtain regulatory approval for our various product candidates in one or more jurisdictions and in one or more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manufacturing, marketing, and selling of our products and product candidates are and will continue to be subject to extensive and rigorous review and regulation by numerous government authorities in the United States of America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effective and has an acceptable safety profile for use in each indication for which approval is sought.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may take actions or impose requirements that delay, limit or deny approval of our product candidates for many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adequately demonstrate to the satisfaction of regulatory authorities or an independent advisory committee that our product candidate is effective and has an acceptable safety profile in a particular indication, or that such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of clinical trials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regulatory authorities that additional information (including additional preclinical or clinical data or trials) is necessary to demonstrate the safety and efficacy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exhibiting an unacceptable safety signal at any stage of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whether to accept results from clinical trial sites in a country where the standard of care is potentially different from that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third-party contractors manufacturing our product candidates to maintain current good manufacturing practices (“cGMP”), successfully pass inspection, or meet other applicable manufacturing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by regulatory authorities to exclude the use of patient data from unreliable clinical trials, or disagreement with our interpretation of the data from our preclinical trials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collaboration partners or other third parties such as clinical investigators to perform or complete their clinical programs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data from investigator-sponsored clinical trials, which are used as supportive evidence for our initial IND studies, to meet GCP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many of which are beyond our control, could delay or jeopardize our or our collaboration partners’ abilities to obtain regulatory approval for our product candidates in one or more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scenarios could materially harm the commercial prospects for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Phase 1, and Phase 2 clinical trial results may not be indicative of the results that may be obtained in larger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may face similar setbacks.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have an investigator-sponsored trial, we would have to rely on sponsor’s data generated independently under sponsor’s institutional practices. As a result, there is an additional risk that results may differ in future trials run by FibroGen as the sponsor.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can be delayed, suspended, or terminated by us, by the relevant institutional review boards at the sites at which such trials are being conducted, or by the FDA or other regulatory authorities, for a variety of reasons or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obtain required regulatory or institutional review board approval or guidance;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the drug to pass interim futility criteria for efficacy in a clinical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side effects that meet safety stopping rules for the study in a clinical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reach timely agreement on acceptable terms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recruit, enroll and retain patients through the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recruitment, enrollment, or retention, clinical site initiation, or retention problems associated with civil unrest, military conflicts around the world,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maintain clinical sites in compliance with clinical trial protocols or to conduct the clinical trial in accordance with regulatory requirements or our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initiate or add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manufacture sufficient quantities of product candidate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enrolling a sufficient number of patients to conduct our clinical trials, as well as, investigator-sponsored trials as planned;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 of the clinical trial operations or trial site by the FDA or other regulatory authorities resulting in the imposition of a clinical hold, warning letter, or other regulatory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and design of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clinical trials of competitive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perceptions of the potential advantages of our product candidates being studied in relation to available therapies or other products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and our trial sites’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patients and collect patient data adequately during and after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development plan becoming longer and more expensive;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terminating our clinical trials, as well as, investigator-sponsored trials for the product candidates or specific indications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increasing the data and information required to approve our product candidates and imposing other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terminating our existing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or all of these events may cause the development of our product candidates to be delayed or terminated, which could materially and adversely affect our business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of our product candidates may not uncover all possible adverse effects that patients may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manufacturers or we cannot properly manufacture the appropriate volume of product, we may experience delays in development, regulatory approval, launch or successful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collaboration partner, may not be able to accurately forecast clinical or commercial supply requirements and we may not meet or we may exceed our requirements as to quantities, scale-up, yield, cost, potency or quality in compliance with cGMP.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pStyle w:val="TextBody"/>
        <w:bidi w:val="0"/>
        <w:spacing w:before="240" w:after="283"/>
        <w:jc w:val="left"/>
        <w:rPr>
          <w:rFonts w:ascii="Times New Roman" w:hAnsi="Times New Roman"/>
          <w:sz w:val="20"/>
        </w:rPr>
      </w:pPr>
      <w:r>
        <w:rPr>
          <w:rFonts w:ascii="Times New Roman" w:hAnsi="Times New Roman"/>
          <w:color w:val="000000"/>
          <w:sz w:val="20"/>
        </w:rPr>
        <w:t>Please see also our risk factor titled “</w:t>
      </w:r>
      <w:r>
        <w:rPr>
          <w:rFonts w:ascii="Times New Roman" w:hAnsi="Times New Roman"/>
          <w:i/>
          <w:color w:val="000000"/>
          <w:sz w:val="20"/>
        </w:rPr>
        <w:t>We may have shortfalls, delays, or excesses in manufacturing.</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even an experienced third-party manufacturer, may encounter difficulties in production. Difficulties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challenges associated with scale-up and attaining sufficient manufacturing yields;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additional suppliers and validation/qualification of additional facilities to meet growing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issues, including coordination of multiple contractors in our supply chain and securing necessary licenses (such as export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availability and shelf-life requirements of raw materials and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stability and product shelf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maintenance issues or failure;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quality assurance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and capital required to manufacture large quantities of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regulatory requirements that vary in each country where a product might be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capacity or forecasting limitations and scheduling availability in contracted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such as pandemics, floods, storms, earthquakes, tsunamis, and droughts, or accidents such as fire, that affect facilities, possibly limit or postpone production, and increase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license to proprietary starting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may also elect to transition its manufacturing responsibilities to another party. There may be risks underlying this manufacturing transition, as well as new risks that may emerge after the new organization takes over manufacturing, if that were to happen.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in the discovery, development and commercialization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The China Health Authority has accepted abbreviated new drug applications (“NDAs”) for over 20 generic roxadustat applicants and approved multiple for marketing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will likely face competition from other companies developing products in the same diseases or indications in which we are developing or commercializing products. We will also face competition for patient recruitment and enrollment for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any or all of these potential competitive products may negatively impact the development and potential for success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of the product candidate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profile and perceptions of safety of our product candidates relative to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healthcare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candidate over alternative treatments, including any similar generic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or exclusion of the product candidate from treatment guidelines established by various physician groups and the viewpoints of influential physicians with respect to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the product candidate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pricing and reimbursement by third parties and government authorities as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unfavorable publicity relating to the product candidate.</w:t>
      </w:r>
    </w:p>
    <w:p>
      <w:pPr>
        <w:pStyle w:val="TextBody"/>
        <w:bidi w:val="0"/>
        <w:spacing w:before="240" w:after="283"/>
        <w:jc w:val="left"/>
        <w:rPr>
          <w:rFonts w:ascii="Times New Roman" w:hAnsi="Times New Roman"/>
          <w:sz w:val="20"/>
        </w:rPr>
      </w:pPr>
      <w:r>
        <w:rPr>
          <w:rFonts w:ascii="Times New Roman" w:hAnsi="Times New Roman"/>
          <w:color w:val="000000"/>
          <w:sz w:val="20"/>
        </w:rPr>
        <w:t>In addition, see the risk factor titled “</w:t>
      </w:r>
      <w:r>
        <w:rPr>
          <w:rFonts w:ascii="Times New Roman" w:hAnsi="Times New Roman"/>
          <w:i/>
          <w:color w:val="000000"/>
          <w:sz w:val="20"/>
        </w:rPr>
        <w:t>Our product candidates may cause or have attributed to them undesirable side effects or have other properties that delay or prevent their regulatory approval or limit their commercial potential</w:t>
      </w:r>
      <w:r>
        <w:rPr>
          <w:rFonts w:ascii="Times New Roman" w:hAnsi="Times New Roman"/>
          <w:color w:val="000000"/>
          <w:sz w:val="20"/>
        </w:rPr>
        <w:t>” above.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before="360" w:after="283"/>
        <w:jc w:val="left"/>
        <w:rPr>
          <w:rFonts w:ascii="Times New Roman" w:hAnsi="Times New Roman"/>
          <w:sz w:val="20"/>
        </w:rPr>
      </w:pPr>
      <w:r>
        <w:rPr>
          <w:rFonts w:ascii="Times New Roman" w:hAnsi="Times New Roman"/>
          <w:b/>
          <w:i/>
          <w:color w:val="000000"/>
          <w:sz w:val="20"/>
        </w:rPr>
        <w:t>No or limited reimbursement or insurance coverage of our approved products, by third-party payors may render our products less attractive to patients and healthcare providers.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applicable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collaborations were terminated or if our partners were unwilling or unable to contribute or participate in the collaborations, our ability to successfully develop and commercialize the relevant product candidate would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up to the 4-year evaluation period, we will be doing so under our investigational new drug application that references Fortis’s investigational new drug application. If Fortis were unwilling to cooperate with development efforts, our ability to develop FG-3246 (in conjunction with our PET biomarker) would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terminated our collaboration agreement with AstraZeneca AB (“AstraZeneca”) for roxadustat for the treatment of anemia in the U.S. and all territories except for China and those territories previously licensed to Astellas (the “AstraZeneca U.S./RoW Agreement”), we have active collaboration agreements with respect to the development and commercialization of roxadustat with Astellas Pharma Inc. (“Astellas”) and with AstraZeneca in China and South Korea. These agreements provide for reimbursement of our development costs by our collaboration partners and also provide for the commercialization of roxadustat throughout the major territories of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20, 2025, we entered into a share purchase agreement (the “Share Purchase Agreement”) with AstraZeneca Treasury Limited pursuant to which we agreed to sell all of the issued and outstanding equity interests of FibroGen International (Hong Kong) Ltd. (“FibroGen International”) to AstraZeneca Treasury Limited. The transaction is expected to close in the third quarter of 2025, and is subject to customary closing conditions and closing deliverables. Until closing, the collaboration agreement with AstraZeneca, and associated reimbursement of our development costs, will remain in effect.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agreements with Astellas and AstraZeneca provide them with the right to terminate their agreements with us upon the occurrence of negative clinical results, delays in the development and commercialization of our product candidates or adverse regulatory requirements or guidance. In addition, each of those agreements provides our partners the right to terminate any of those agreements upon written notice for convenience. The termination of any of our collaboration agreements would require us to fund and perform any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profit from the commercialization of roxadustat could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instance, the AstraZeneca U.S./RoW Agreement was terminated on February 23, 2024 (except for South Korea). Although our ongoing collaboration agreement with AstraZeneca for the development and commercialization of roxadustat for the treatment of anemia in China (the “AstraZeneca China Agreement”) continues through closing of the Share Purchase Agreement, this eliminates any additional potential milestones or other payments AstraZeneca would have made under the AstraZeneca U.S./RoW Agreement except for potentially in South Korea. The likelihood receiving such payments was remote due to our withdrawal of the U.S. new drug application for chronic kidney disease (“CKD”) anemia. And while we are now investigating new licensing opportunities for roxadustat, there can be no assurance that we will find such a partner or be able to agree to a license on reasonable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our collaboration partners are unsuccessful in their commercialization efforts (particularly in Europe and China), our results will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preclinical and clinical trial contractors do not properly perform their agreed upon obligations, we may not be able to obtain or may be delayed in receiving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rely, and expect to continue to rely, on third parties to conduct many aspects of our product manufacturing and distribution, and these third parties may terminate these agreements or not perform satisfactorily.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operating manufacturing facilities at this time other than our roxadustat manufacturing facility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and additional burdens of oversight as a result of using third-party manufacturers and distributors for all aspects of manufacturing activities, including regulatory compliance and quality control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manufacturing agreements, termination fees associated with such termination, or nonrenewal of manufacturing agreements with third parties may negatively impact our planned development and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technology,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for FibroGen to meet timing and volume obligations to Astellas or other partners due to insufficient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FibroGen.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may have shortfalls, delays, or excesses in 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FibroGen.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additional delays in importing or exporting products, intermediates, or raw materials between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components of our products are acquired from single-source suppliers or without long-term supply agreements. The loss of these suppliers, or their failure to supply, would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one of our suppliers, Catalent, was recently acquired by a private company, which could add additional risk to our ability to manufacture at such supplier, including entering into new or extended agreements with this supplier.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efforts to protect our proprietary and exclusively licensed technologies are not adequate, we may not be able to compete effectively in our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 </w:t>
      </w:r>
    </w:p>
    <w:p>
      <w:pPr>
        <w:pStyle w:val="TextBody"/>
        <w:bidi w:val="0"/>
        <w:spacing w:before="240" w:after="283"/>
        <w:jc w:val="left"/>
        <w:rPr/>
      </w:pPr>
      <w:r>
        <w:rPr>
          <w:rFonts w:ascii="Times New Roman" w:hAnsi="Times New Roman"/>
          <w:color w:val="000000"/>
          <w:sz w:val="20"/>
        </w:rPr>
        <w:t>Intellectual property protecting our roxadustat product is either being challenged or will expire at various times in the coming years, raising the possibility of generic competition. The China Health Authority has approved multiple generic forms of our EVRENZO</w:t>
      </w:r>
      <w:r>
        <w:rPr>
          <w:rFonts w:ascii="Times New Roman" w:hAnsi="Times New Roman"/>
          <w:color w:val="000000"/>
          <w:sz w:val="13"/>
        </w:rPr>
        <w:t>TM</w:t>
      </w:r>
      <w:r>
        <w:rPr>
          <w:rFonts w:ascii="Times New Roman" w:hAnsi="Times New Roman"/>
          <w:color w:val="000000"/>
          <w:sz w:val="20"/>
        </w:rPr>
        <w:t xml:space="preserve"> product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xml:space="preserve">, roxadustat) for marketing in China. The introduction of generic competition for a patented branded medicine typically results in a significant and rapid reduction in net sales and operating income for the branded product because generic manufacturers typically offer their unpatented versions at sharply lower prices. Such competition can occur after successful challenges to intellectual property rights or the regular expiration of the term of the patent or other intellectual property rights. Such competition can also result from a Declaration of Public Interest or the compulsory licensing of our drugs by governments, or from a general weakening of intellectual property laws in certain countries around the world. In addition, generic manufacturers sometimes take an aggressive approach to challenging intellectual property rights, including conducting so-called “launches at risk” of products that are still under legal challenge for infringement before final resolution of legal proceedings.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hAnsi="Times New Roman"/>
          <w:i/>
          <w:color w:val="000000"/>
          <w:sz w:val="20"/>
        </w:rPr>
        <w:t>inter partes</w:t>
      </w:r>
      <w:r>
        <w:rPr>
          <w:rFonts w:ascii="Times New Roman" w:hAnsi="Times New Roman"/>
          <w:color w:val="000000"/>
          <w:sz w:val="20"/>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pending the sale of FibroGen International to AstraZeneca Treasury Limited,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disputes may be costly, time consuming, and may negatively affect our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may depend on our avoiding infringement of the patents and other proprietary rights of third parties as well as on enforcing our patents and other proprietary rights against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have challenged and may again challenge our patents and patent applications. In particular, patent challenges have been filed against our crystal form patents in Europe and China, and against our photostable formulations patent in Europe. In Europe, our European Patent No. 3470397 (the “`397 Patent”), which claims formulations comprising the commercial crystalline form of roxadustat was upheld in opposition, the opponents have appealed the decision in this case. In China, three roxadustat crystal form patents were revoked in first-round proceedings and the revocations were upheld on first appeal; however, all decisions currently remain on appeal. Final resolution of these proceedings in Europe and China will take time and we cannot be assured that these patents will survive these proceedings as originally granted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bidi w:val="0"/>
        <w:spacing w:before="360" w:after="283"/>
        <w:jc w:val="left"/>
        <w:rPr>
          <w:rFonts w:ascii="Times New Roman" w:hAnsi="Times New Roman"/>
          <w:sz w:val="20"/>
        </w:rPr>
      </w:pPr>
      <w:r>
        <w:rPr>
          <w:rFonts w:ascii="Times New Roman" w:hAnsi="Times New Roman"/>
          <w:b/>
          <w:i/>
          <w:color w:val="000000"/>
          <w:sz w:val="20"/>
        </w:rPr>
        <w:t>The laws of some foreign countries do not protect proprietary rights to the same extent as do the laws of the U.S., and we may encounter significant problems in securing and defending our intellectual property rights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For example, in China, we have had substantial difficulty effectively maintaining, prosecuting and enforcing our intellectual property rights. As we have experienced in multiple jurisdictions,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existence of counterfeit pharmaceutical products in pharmaceutical markets may compromise our brand and reputation and have a material adverse effect on our business,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is highly uncertain and we may not obtain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U.S., laws, regulations, and industry standards govern data privacy and security. For example, the European Union’s General Data Protection Regulation (“EU GDPR”), the United Kingdom’s GDPR, Brazil’s General Data Protection Law (Lei Geral de Proteção de Dados Pessoais) (Law No. 13,709/2018), and China’s Personal Information Protection Law (“PIPL”) impose strict requirements for processing personal data, including health-related information. Specifically, under the EU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have operations in China and are subject to new and emerging data privacy regimes in Asia, including China’s PIPL, Japan’s Act on the Protection of Personal Information, and Singapore’s Personal Data Protection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companies that transfer personal data out of the European Economic Area and the United Kingdom to other jurisdictions are subject to scrutiny from regulators, individual litigants, and activities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planning to bring artificial intelligence (“AI”) into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Preparing for and complying with these obligations requires us to devote resources and may necessitate changes to our services, information technologies, systems, and practices and to those of any third parties that process personal data on our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restrictions on use of AI tools which may involve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laws and regulations governing corruption, which require us to maintain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can be costly and such programs may be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it may result in material misstatements in our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pStyle w:val="TextBody"/>
        <w:bidi w:val="0"/>
        <w:spacing w:before="360" w:after="283"/>
        <w:jc w:val="left"/>
        <w:rPr>
          <w:rFonts w:ascii="Times New Roman" w:hAnsi="Times New Roman"/>
          <w:sz w:val="20"/>
        </w:rPr>
      </w:pPr>
      <w:r>
        <w:rPr>
          <w:rFonts w:ascii="Times New Roman" w:hAnsi="Times New Roman"/>
          <w:b/>
          <w:i/>
          <w:color w:val="000000"/>
          <w:sz w:val="20"/>
        </w:rPr>
        <w:t>The impact of U.S. healthcare reform may adversely affect 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reform in the U.S. in the future may include changes to Prescription Drug User Fee Act (PDUFA) funding, or other actions that impact FDA programs or personnel funded by user fees. If user fees are cut or eliminated, or if personnel funded by user fees are terminated at FDA, the result could increase uncertainty on review timelines or extend FDA review timelines (e.g., new drug applications, Biologics License Applications), which can result in delays for regulatory action and adversely impact drug development timelines.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Further, on February 14, 2023, HHS released a report outlining three new models for testing by the Centers for Medicare &amp; Medicaid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Roxadustat is considered a Class 2 substance on the 2019 World Anti-Doping Agency Prohibited List that could limit sales and increase security and distribution costs for our partners and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may engage in misconduct or improper activities, which could result in significant liability or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including intentional failure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FDA regulations or similar regulations of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accurate information to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manufacturing standards we have established;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data privacy and security laws protecting personal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federal and state healthcare fraud and abuse laws and regulations and similar laws and regulations established and enforced by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 FCPA and other anti-bribery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financial information or data accurately;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unauthorized activities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or safety laws and regulations, we could incur fines, penalties 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consummate the sale of FibroGen International to AstraZeneca Treasury Limited, our operations, business conditions, and the trading price of our common stock and our business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consummation of the sale of FibroGen International is subject to the satisfaction or waiver of various customary closing conditions, including the receipt of regulatory approval from the China State Administration for Market Regulation (“SAMR”). We cannot guarantee that the closing conditions set forth in the Share Purchase Agreement will be satisfied and if we are unable to satisfy the closing conditions, AstraZeneca Treasury Limited will not be obligated to purchase FibroGen International. In the event that the sale is not completed, the announcement of the termination of the Share Purchase Agreement may adversely affect the trading price of our common stock and our business, including that we will not have sufficient liquidity to continue operations in the U.S. for twelve months from the date of this Quarterly Report and will not be able to comply with our debt covenant under our senior secured term loan facilities that requires a minimum of $18.75 million of unrestricted cash and cash equivalents to be held in accounts in the U.S. If the sale is not completed within eight months of entering into the Share Purchase Agreement, both parties have a right to terminate the transaction. If the sale of FibroGen International is delayed past the third quarter of 2025, we may need to delay initiation of our planned Phase 2 monotherapy dose optimization study of FG-3246 for the treatment of mCRPC, currently expected in the third quarter of 2025. If the sale of FibroGen International to AstraZeneca Treasury Limited is not completed, our Board of Directors, may evaluate other strategic alternatives with respect to FibroGen International, if any are available, which alternatives may not be as favorable to our stockholders as the proposed sale to AstraZeneca Treasury Limited, and may not result in any definitive transaction or enhance stockholder value.</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established operations in China and there are a number of risks associated with international operations could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pandemics.</w:t>
      </w:r>
    </w:p>
    <w:p>
      <w:pPr>
        <w:pStyle w:val="TextBody"/>
        <w:bidi w:val="0"/>
        <w:spacing w:before="360" w:after="283"/>
        <w:jc w:val="left"/>
        <w:rPr>
          <w:rFonts w:ascii="Times New Roman" w:hAnsi="Times New Roman"/>
          <w:sz w:val="20"/>
        </w:rPr>
      </w:pPr>
      <w:r>
        <w:rPr>
          <w:rFonts w:ascii="Times New Roman" w:hAnsi="Times New Roman"/>
          <w:b/>
          <w:i/>
          <w:color w:val="000000"/>
          <w:sz w:val="20"/>
        </w:rPr>
        <w:t>The pharmaceutical industry in China is highly regulated and such regulations are subject to change.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and China relations, as well as relations with other countries, and/or regulations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 While we are attempting to import future quantities of drug substance from certain suppliers ahead of any new tariffs, if we are unable to do so before such new tariffs are introduced for clinical or commercial pharmaceuticals from China, the Company could encounter moderate additional costs to transfer remaining quantities of FG-3246 for completion of its clinical Phase 2 clinical study, and potentially significant additional costs for the transfer of commercial roxadustat inventory for commercial supply for Europe.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use our own manufacturing facility in China to produce roxadustat drug product for the market in China. There are risks inherent to operating commercial manufacturing facilities, and we may not be able to continually meet market demand.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comply with cGMP requirements but there can be no assurance that we will maintain all of the appropriate licenses required to manufacture our product candidates for clinical and commercial use in China. In addition to our product suppliers, we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but there can be no assurance that our efforts will continue to be successful in meeting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all countries we or our partners are selling in, other than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facility. Certain equipment, records and other materials located in such facility would be difficult to replace or would require substantial replacement lead-time that would impact our ability to successfully commercialize our product candidates in China.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of manufacturing disruption due to geopolitical tensions in China and related to U.S. legislation impacting WuXi AppTec, WuXi Biologics, and WuXi XDC.*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Wuxi XDC (Hong Kong) Limited (“WuXi XDC”) and companies that do business with WuXi Biologics and WuXi XDC.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 drug conjugate drug substance and antibody drug conjugate drug product at WuXi Biologics and WuXi XDC.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WuXi XDC,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difficulties in successfully growing and sustaining sales of roxadustat in China.*</w:t>
      </w:r>
    </w:p>
    <w:p>
      <w:pPr>
        <w:pStyle w:val="TextBody"/>
        <w:bidi w:val="0"/>
        <w:spacing w:before="120" w:after="283"/>
        <w:jc w:val="left"/>
        <w:rPr>
          <w:rFonts w:ascii="Times New Roman" w:hAnsi="Times New Roman"/>
          <w:sz w:val="20"/>
        </w:rPr>
      </w:pPr>
      <w:r>
        <w:rPr>
          <w:rFonts w:ascii="Times New Roman" w:hAnsi="Times New Roman"/>
          <w:color w:val="000000"/>
          <w:sz w:val="20"/>
        </w:rPr>
        <w:t>Pending the sale of FibroGen International to AstraZeneca Treasury Limited,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Roxadustat’s recent inclusion in the 2023 National Reimbursement Drug List came with a limited 7% price reduction. Such reimbursement pricing for China is effective for a standard two-year period (between January 1, 2024, and December 31, 2025). The China Health Authority has since accepted abbreviated NDAs for over 20 generics roxadustat applicants and approved multiple for marketing in China. In the third quarter, roxadustat was announced as being included in the 11</w:t>
      </w:r>
      <w:r>
        <w:rPr>
          <w:rFonts w:ascii="Times New Roman" w:hAnsi="Times New Roman"/>
          <w:color w:val="000000"/>
          <w:sz w:val="13"/>
        </w:rPr>
        <w:t>th</w:t>
      </w:r>
      <w:r>
        <w:rPr>
          <w:rFonts w:ascii="Times New Roman" w:hAnsi="Times New Roman"/>
          <w:color w:val="000000"/>
          <w:sz w:val="20"/>
        </w:rPr>
        <w:t xml:space="preserve"> round of the country’s volume-based purchasing program whereby a national tender has been called. We expect this to occur in the second half of 2025. As a result, we expect our access to the China market as the originator drug will be significantly impacted and our price would be further reduced, resulting in significant reductions in the topline revenue for roxadustat.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roxadustat in China may also be limited due to the complex nature of the healthcare system, low average personal income, pricing controls, still developing infrastructure, and potentially rapid competition from other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retail prices of any product candidates that we develop will be subject to pricing control in China and elsewhere.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are unpredictable, which may cause potential revenues from the sales of roxadustat to fluctuate from period to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FibroGen (China) Medical Technology Development Co., Ltd. (“FibroGen Beijing”) would be subject to restrictions on paying dividends or making other payments to us, which may restrict our ability to satisfy our liquidity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Pending the sale of FibroGen International to AstraZeneca Treasury Limited, we plan to conduct all of our business in China through FibroGen China Anemia Holdings, Ltd., FibroGen Beijing and its branch offices, and our joint venture distribution entity, Beijing Falikang Pharmaceutical Co., Ltd. (“Falikang”).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2025, approximately $96.5 million of our cash and cash equivalents is held in China, and was included in the held for sale assets on the condensed consolidated balance sheet, the entirety of which we will have access to upon the close of the sale of FibroGen International to AstraZeneca Treasury Limited.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capital contributions from us to FibroGen Beijing must be approved by the Ministry of Commerce in China, and failure to obtain such approval may materially and adversely affect the liquidity position of FibroGen Beijing.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currency exchange rate fluctuations and currency exchange restrictions with respect to our operations in China as well as our partner</w:t>
      </w:r>
      <w:r>
        <w:rPr>
          <w:rFonts w:ascii="Times New Roman" w:hAnsi="Times New Roman"/>
          <w:color w:val="000000"/>
          <w:sz w:val="20"/>
        </w:rPr>
        <w:t>’</w:t>
      </w:r>
      <w:r>
        <w:rPr>
          <w:rFonts w:ascii="Times New Roman" w:hAnsi="Times New Roman"/>
          <w:b/>
          <w:i/>
          <w:color w:val="000000"/>
          <w:sz w:val="20"/>
        </w:rPr>
        <w:t>s operations in Japan and Europe, which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FibroGen Beijing’s funds are held in banks that do not provide insurance, the failure of any bank in which FibroGen Beijing deposits its funds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tax inefficiencies associated with our offshore corporate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proposed to increase the U.S. corporate income tax rate from 21%, increase the U.S. taxation of our international business operations and impose a global minimum tax, although the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foreign operations, particularly those in China, are subject to significant risks involving the protection of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Uncertainties with respect to the China legal system and regulations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China’s economic, governmental, or social conditions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Chinese requirements, approvals or permissions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SAMR. Such business licenses list the business activities we are authorized to carry out and we would be noncompliant if we act outside of the scope of business activities set forth under the relevant business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required to obtain certain approvals from Chinese authorities before transferring certain scientific data abroad or to foreign parties or entities established or actually controlled by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hAnsi="Times New Roman"/>
          <w:i/>
          <w:color w:val="000000"/>
          <w:sz w:val="20"/>
        </w:rPr>
        <w:t>Uncertainties with respect to the China legal system and regulations could have a material adverse effect on us.</w:t>
      </w:r>
      <w:r>
        <w:rPr>
          <w:rFonts w:ascii="Times New Roman" w:hAnsi="Times New Roman"/>
          <w:color w:val="000000"/>
          <w:sz w:val="20"/>
        </w:rPr>
        <w:t>” There can be no assurance that we will not be subject to new or changing requirements, approvals or permissions in the future in order to operate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the sale of FibroGen International to AstraZeneca Treasury Limited, 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Chinese government determines that our corporate structure does not comply with Chinese regulations, or if Chinese regulations change or are interpreted differently in the future, the value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hAnsi="Times New Roman"/>
          <w:i/>
          <w:color w:val="000000"/>
          <w:sz w:val="20"/>
        </w:rPr>
        <w:t>Uncertainties with respect to the China legal system and regulations could have a material adverse effect on us.</w:t>
      </w:r>
      <w:r>
        <w:rPr>
          <w:rFonts w:ascii="Times New Roman" w:hAnsi="Times New Roman"/>
          <w:color w:val="000000"/>
          <w:sz w:val="20"/>
        </w:rPr>
        <w:t>” If in the future the Chinese government determines that our corporate structure does not comply with Chinese regulations, or if Chinese laws or regulations change or are interpreted differently from our understanding of these laws and regulations, the value of our common stock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in China subject us to various Chinese labor and social insurance laws, and our failure to comply with such laws may materially and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Operation of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with two lead product candidates in clinical development, roxadustat for chemotherapy-induced anemia in China, potentially anemia in lower-risk MDS in the U.S. and elsewhere, and FG-3246 (in conjunction with our PET imaging agent FG-3180) for mCRPC. Most of our revenue generated to date has been based on our collaboration agreements. We continue to incur significant research and development and other expenses related to our ongoing operations. Our net loss for the years ended December 31, 2024 and 2023 were $47.6 million and $284.2 million, respectively. As of June 30, 2025, we had an accumulated deficit of $1.9 billion. As of June 30, 2025, we had capital resources from cash and cash equivalents of $23.4 million for our continuing operations. In addition, as of June 30, 2025, we had $96.5 million of cash and cash equivalents and $22.1 million of accounts receivable in China, which were included in the held for sale assets on the condensed consolidated balance sheet. We will have access to the entirety of the cash, cash equivalents, and accounts receivable balances in China upon the close of the sales of FibroGen International to AstraZeneca Treasury Limited.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Furthermore, upon closing of the sale of FibroGen International to AstraZeneca Treasury Limited, we will not be due any royalty, development or milestone payments under the AstraZeneca China Agreement.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will continue to expend substantial resources for the foreseeable future as we continue our clinical development efforts.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If we are unable to complete the sale of FibroGen International, access additional cash from our China operations, or raise additional capital in the U.S., we will not have sufficient liquidity to continue operations in the U.S. for the twelve months from the date of this Quarterly Report and will not be able to comply with our debt covenant under our senior secured term loan facilities that requires a minimum balance of $18.75 million of unrestricted cash and cash equivalents to be held in accounts in the U.S. Upon an event of default, our senior secured term loan facilities could become immediately due and payable. We have evaluated measures to access additional cash from our China operations and we believe the sale of FibroGen International represents the most efficient way to access the entirety of our cash from China upon closing of the transaction. There is also the potential that we raise additional funds in the U.S. at any time through equity, equity-linked, or debt financing arrangements or from other sources. There can be no assurances that these plans will be successful. As a result of these factors, we have determined that there is substantial doubt about our ability to continue as a going concern within 12 months after the date that the financial statements are issued.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funding, we could delay, reduce or eliminate research and development programs, product portfolio development or future commercialization efforts which could adversely affect our business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recognize an impairment of our long-lived assets, which could adversely affect our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a $50 million RIFA financing with NovaQuest with respect to our revenues from Astellas’ sales of roxadustat in Europe, Japan and the other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material inducement for NovaQuest to enter into the RIFA, we granted NovaQuest a security interest over our rights, title and interest in and to the revenue interest payments and intellectual property related to roxadustat and the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RIFA includes customary reporting obligations and events of default by us. Upon the occurrence of an event of default, NovaQuest may exercise all remedies available to it at law or in equity in respect of the security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2023, we entered into a financing agreement (“Financing Agreement”) with a $75 million senior secured term loan with investment funds managed by Morgan Stanley Tactical Value, as lenders, and Wilmington Trust, National Association, as the administrative agent.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Financing Agreement with Morgan Stanley Tactical Value requires us to maintain a minimum balance of $18.75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these financing transactions, see Note 7, </w:t>
      </w:r>
      <w:r>
        <w:rPr>
          <w:rFonts w:ascii="Times New Roman" w:hAnsi="Times New Roman"/>
          <w:i/>
          <w:color w:val="000000"/>
          <w:sz w:val="20"/>
        </w:rPr>
        <w:t xml:space="preserve">Senior Secured Term Loan Facilities </w:t>
      </w:r>
      <w:r>
        <w:rPr>
          <w:rFonts w:ascii="Times New Roman" w:hAnsi="Times New Roman"/>
          <w:color w:val="000000"/>
          <w:sz w:val="20"/>
        </w:rPr>
        <w:t xml:space="preserve">and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these financing transactions could have significant negative consequences for our shareholders, and our business, results of operations and financial condition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obtain additional non-dilutive financing or enter into collaboration or partnership agreements of a certain size;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dedication of a portion of our cash flow from operations to service our indebtedness, which will reduce the amount of cash available for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we incur additional debt, the risks described above could increase. A default in one of such agreements could trigger a default in the other. Any of the above risks would negatively impact our ability to operate our business and obtain additional debt or equity financing on favorable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Most of our recent revenue has been earned through our roxadustat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either our Astellas collaboration or our AstraZeneca China collaboration were to be terminated, we could have a sudden decrease of revenue and require significant additional capital in order to help fund our operations. If adequate funds or partners are not available to us on a timely basis or on favorable terms, we may be required to delay, limit, reduce or terminate development or commercialization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in managing our growth and expanding our operations,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Loss of senior management and key personnel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we approved a reduction to our U.S. workforce of approximately 75% to lower our operating expenses, causing the loss of senior management and employees with valuable skills, experience, and productivity. If we are unable to continue to attract and retain personnel with the quality and experience necessary to advance the development of our product candidates, our ability to pursue our strategy will be limited and our business and operations would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Retaining and recruiting qualified commercial, development, scientific, clinical, and manufacturing personnel are and will continue to be critical to our success. Furthermore, replacing executive officers and key employees may be difficult and may take an extended period of time. We may be unable to hire, train, retain or motivate these key personnel on acceptable terms given the intense competition among numerous biopharmaceutical companies for similar personnel.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the risks associated with litigation, investigations, regulatory proceedings, and other legal matters, any of which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and certain of our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All seven Derivative Lawsuits have been dismissed.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While the Securities Class Action Litigation has been settled, we intend to vigorously defend the claims made in the Derivative Litigation; however, the outcome of these matters cannot be predicted.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claims raised in these lawsuits may result in further legal matters or actions against us, including, but not limited to, government enforcement actions or additional private litigation. In the fourth quarter of 2021, we received a subpoena from the SEC requesting documents related to roxadustat’s pooled cardiovascular safety data. The SEC followed up with a subpoena for additional documents in the second quarter of 2024. In May 2025, the Company entered into a settlement with the SEC, subject to Commission approval. As part of the settlement, and without admitting or denying the findings in the settlement offer or administrative order to be issued by the SEC, the Company agreed to pay a $1.25 million civil penalty.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additional similar demands.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have to limit commercial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further development of unapproved product candidates or significantly reduced demand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costs and expenses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time and resources across the entire organization, including our executive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product withdrawals or labeling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our collaboration relationships or disputes with our collaboration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damage negatively impacting our other product candidates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would suffer in the event of computer system failures.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In particular, severe ransomware attacks are becoming increasingly prevalent and can lead to significant interruptions in our operations, loss of </w:t>
      </w:r>
      <w:r>
        <w:rPr>
          <w:rFonts w:ascii="Times New Roman" w:hAnsi="Times New Roman"/>
          <w:color w:val="000000"/>
          <w:sz w:val="20"/>
        </w:rPr>
        <w:t xml:space="preserve">confidential, proprietary, and </w:t>
      </w:r>
      <w:r>
        <w:rPr>
          <w:rFonts w:ascii="Times New Roman" w:hAnsi="Times New Roman"/>
          <w:color w:val="231F20"/>
          <w:sz w:val="20"/>
        </w:rPr>
        <w:t xml:space="preserve">sensitive data and income, reputational harm, and diversion of funds. While it is possible that extortion payments may alleviate the negative impact of a ransomware attack, we may be unwilling or unable to make such payments. </w:t>
      </w:r>
    </w:p>
    <w:p>
      <w:pPr>
        <w:pStyle w:val="TextBody"/>
        <w:bidi w:val="0"/>
        <w:spacing w:before="240" w:after="283"/>
        <w:jc w:val="left"/>
        <w:rPr>
          <w:rFonts w:ascii="Times New Roman" w:hAnsi="Times New Roman"/>
          <w:sz w:val="20"/>
        </w:rPr>
      </w:pPr>
      <w:r>
        <w:rPr>
          <w:rFonts w:ascii="Times New Roman" w:hAnsi="Times New Roman"/>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third party service providers may be exposed to natural disasters and other catastrophes.*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 party service, cloud and software-as-a-services (SaaS) platform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 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 and you may not be able to resell your shares at or above your purchase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at times experienced price volatility and may continue to be volatile. For example, during the 12-month period ended June 30, 2025, the closing price of our common stock on the Nasdaq Global Select Market has ranged from $5.16 per share to $31.50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release of results of and regulatory updates regarding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issues with respect to our product candidates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 candidates and any approved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financial condition and operating results, which will be significantly affected by the manner in which we recognize revenue from the achievement of milestones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collaborations and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of a collaboration or the inability to establish additional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legislation or other regulatory developments affecting our product candidates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the biotechnology industry and particular companies perceived by investors to be comparable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of the government of China, including those related to the pharmaceutical industry as well as industrial policy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other U.S. publicly traded companies with significant operations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 for biopharmaceutical stocks;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other factors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we are therefore eligible for certain provisions of the Exchange Act, including only being required to provide two years of audited financial statements and reduced disclosure obligations regarding executive compensation in our periodic reports and proxy statements. If some investors find our common shares less attractive as a result of our reliance on these reduced disclosure obligations, there may be a less active trading market for our common shares and our price of our common shares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engage in acquisitions that could dilute stockholders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stock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debt and assume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amortization expenses related to intangible assets or incur large and immediate write-offs.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integrating the purchased business, products or technologies, or employees or other assets of the acquisition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to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or undisclosed liabilities of the acquired asset or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their day-to-day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reprioritization of our development programs and even cessation of development and commercialization of our current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operating results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entrance into markets in which we have limited or no prior experience;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particularly those of the acquired entity.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any acquisitions or effectively integrate the operations, products or personnel gained through any such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pursuant to a resolution adopted by a majority of the total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prior to the end of their term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or the majority vote of our Board of Directors to amend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to amend the classification of our Board of Directors into three classes and to amend certain other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tax provision or exposure to additional tax liabilities could adversely affect our earnings and financial condition.*</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tax regulations in the U.S. and other jurisdictions in which we operate are extremely complex and subject to change. Changes in tax regulations could have an adverse effect on our results of operations and financial condition. On July 4, 2025, the One Big Beautiful Bill Act was signed into law in the U.S. which contains a broad range of tax reform provisions affecting businesses. We are still in the process of evaluating the legislation and an estimate of the financial impact cannot be made at this time.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Federal and state tax laws impose substantial restrictions on the utilization of net operating loss and credit carryforwards in the event of an “ownership change” for tax purposes, as defined in IRC Section 382. We would undergo an ownership change if, among other things, the stockholders who own, directly or indirectly, 5% or more of our common stock, or are otherwise treated as “5% shareholders” under Section 382 of the U.S. Internal Revenue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In the event of an ownership change, Section 382 of the U.S. Internal Revenue Code imposes an annual limitation on the amount of taxable income a corporation may offset with NOL carryforwards. The annual limitation is generally equal to the value of the stock of the corporation immediately before the ownership change, multiplied by the long-term tax-exempt rate for the month in which the ownership change occurs (the long-term tax-exempt rate for March 2015 is 2.67%). Any unused annual limitation may generally be carried over to later years until the NOL carryforwards expire. The Company performed an IRC Section 382 analysis and do not believe there were ownership changes as of December 31, 2024. Thus, IRC Section 382 will not limit the use of our net operating loss and tax credit carryforwards. We continue to monitor trading activities in our shares which could cause ownership change in future years.</w:t>
      </w:r>
    </w:p>
    <w:p>
      <w:pPr>
        <w:pStyle w:val="TextBody"/>
        <w:bidi w:val="0"/>
        <w:spacing w:before="200" w:after="160"/>
        <w:jc w:val="left"/>
        <w:rPr>
          <w:rFonts w:ascii="Times New Roman" w:hAnsi="Times New Roman"/>
          <w:b/>
          <w:i/>
          <w:color w:val="000000"/>
          <w:sz w:val="20"/>
        </w:rPr>
      </w:pPr>
      <w:r>
        <w:rPr>
          <w:rFonts w:ascii="Times New Roman" w:hAnsi="Times New Roman"/>
          <w:b/>
          <w:i/>
          <w:color w:val="000000"/>
          <w:sz w:val="20"/>
        </w:rPr>
        <w:t>Tariffs or other trade policy changes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Changes in trade policies, tariffs, and geopolitical tensions may impact our business, supply chain, and costs of operations. Governments worldwide, including the U.S. and key trade partners like China, have imposed and may continue to impose tariffs, export controls, trade restrictions, and other measures that could impact our supply chain and our costs of doing business. If we are impacted by the changing trade relations between the U.S. and other countries, our business and results of operations may be negatively impacted.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designates courts located in Delaware as the sole forum for certain proceedings,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plan to pay dividends. Capital appreciation will be your sole possible source of gain, which may never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or our share price could be negatively affected as a result of shareholder proposals or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851"/>
        <w:gridCol w:w="146"/>
        <w:gridCol w:w="539"/>
        <w:gridCol w:w="146"/>
        <w:gridCol w:w="916"/>
        <w:gridCol w:w="146"/>
        <w:gridCol w:w="631"/>
        <w:gridCol w:w="146"/>
        <w:gridCol w:w="83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7"/>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FibroGen, Inc.</w:t>
              </w:r>
            </w:hyperlink>
            <w:hyperlink r:id="rId4">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8-K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04/04/2025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the Amended and Restated Certificate of Incorporation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001-36740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06/12/2025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Common Stock Purchase Agreement by and between FibroGen, Inc. and AstraZeneca AB, dated as of October 20, 2014.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10/24/2014</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10.1* 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jc w:val="left"/>
              <w:rPr/>
            </w:pPr>
            <w:hyperlink w:anchor="fgen-ex10_1.htm">
              <w:r>
                <w:rPr>
                  <w:rStyle w:val="InternetLink"/>
                  <w:rFonts w:ascii="Times New Roman" w:hAnsi="Times New Roman"/>
                  <w:color w:val="0000FF"/>
                  <w:sz w:val="20"/>
                  <w:u w:val="single"/>
                </w:rPr>
                <w:t>Amendment No.2 to the Collaboration Agreement by and between Astellas Pharma, Inc. and FibroGen, Inc., dated as of June 6, 2025.</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96"/>
        <w:gridCol w:w="146"/>
        <w:gridCol w:w="6592"/>
        <w:gridCol w:w="146"/>
        <w:gridCol w:w="362"/>
        <w:gridCol w:w="146"/>
        <w:gridCol w:w="735"/>
        <w:gridCol w:w="146"/>
        <w:gridCol w:w="466"/>
        <w:gridCol w:w="146"/>
        <w:gridCol w:w="724"/>
      </w:tblGrid>
      <w:tr>
        <w:trPr/>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Second Amendment to Financing Agreement, by and among FibroGen, Inc., NHTV Fairview Holding LLC, NHTV II Fairview Holding LLC, MSTV Fund II ESC Fairview Holding LLC, and Wilmington Trust, National Association, dated as of June 5,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001-36740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06/09/2025</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Third Amendment to Financing Agreement, by and among FibroGen, Inc., NHTV Fairview Holding LLC, NHTV II Fairview Holding LLC, MSTV Fund II ESC Fairview Holding LLC, and Wilmington Trust, National Association, dated as of July 14,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001-36740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07/14/2025</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1.htm">
              <w:r>
                <w:rPr>
                  <w:rStyle w:val="InternetLink"/>
                  <w:rFonts w:ascii="Times New Roman" w:hAnsi="Times New Roman"/>
                  <w:color w:val="0000FF"/>
                  <w:sz w:val="20"/>
                  <w:u w:val="single"/>
                </w:rPr>
                <w:t>Certification of Chief Executive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2.htm">
              <w:r>
                <w:rPr>
                  <w:rStyle w:val="InternetLink"/>
                  <w:rFonts w:ascii="Times New Roman" w:hAnsi="Times New Roman"/>
                  <w:color w:val="0000FF"/>
                  <w:sz w:val="20"/>
                  <w:u w:val="single"/>
                </w:rPr>
                <w:t>Certification of Chief Financial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2_1.htm">
              <w:r>
                <w:rPr>
                  <w:rStyle w:val="InternetLink"/>
                  <w:rFonts w:ascii="Times New Roman" w:hAnsi="Times New Roman"/>
                  <w:color w:val="0000FF"/>
                  <w:sz w:val="20"/>
                  <w:u w:val="single"/>
                </w:rPr>
                <w:t>Certification of Principal Executive Officer and Principal Financial Officer, as required by Rule 13a-14(b) or Rule 15d-14(b) and Section 1350 of Chapter 63 of Title 18 of the United States Code (18 U.S.C. §1350)(1)).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5054" w:type="dxa"/>
        <w:jc w:val="left"/>
        <w:tblInd w:w="0" w:type="dxa"/>
        <w:tblLayout w:type="fixed"/>
        <w:tblCellMar>
          <w:top w:w="28" w:type="dxa"/>
          <w:left w:w="28" w:type="dxa"/>
          <w:bottom w:w="28" w:type="dxa"/>
          <w:right w:w="28" w:type="dxa"/>
        </w:tblCellMar>
      </w:tblPr>
      <w:tblGrid>
        <w:gridCol w:w="1951"/>
        <w:gridCol w:w="146"/>
        <w:gridCol w:w="451"/>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FibroGen,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689" w:type="dxa"/>
        <w:jc w:val="left"/>
        <w:tblInd w:w="0" w:type="dxa"/>
        <w:tblLayout w:type="fixed"/>
        <w:tblCellMar>
          <w:top w:w="28" w:type="dxa"/>
          <w:left w:w="28" w:type="dxa"/>
          <w:bottom w:w="28" w:type="dxa"/>
          <w:right w:w="28" w:type="dxa"/>
        </w:tblCellMar>
      </w:tblPr>
      <w:tblGrid>
        <w:gridCol w:w="1951"/>
        <w:gridCol w:w="146"/>
        <w:gridCol w:w="451"/>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bookmarkStart w:id="23" w:name="fgen-ex10_1.htm"/>
      <w:bookmarkStart w:id="24" w:name="ksfgenex10_1"/>
      <w:bookmarkEnd w:id="23"/>
      <w:bookmarkEnd w:id="24"/>
      <w:r>
        <w:rPr>
          <w:rFonts w:ascii="Times New Roman" w:hAnsi="Times New Roman"/>
          <w:b/>
          <w:color w:val="000000"/>
          <w:sz w:val="22"/>
        </w:rPr>
        <w:t>[*] = Certain confidential information contained in this document, marked by brackets, has been omitted because it is both (i) not material and (ii) would likely cause competitive harm to the company if publicly disclosed.</w:t>
      </w:r>
      <w:r>
        <w:br w:type="page"/>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spacing w:before="0" w:after="160"/>
        <w:jc w:val="center"/>
        <w:rPr/>
      </w:pPr>
      <w:r>
        <w:rPr/>
        <w:t> </w:t>
      </w:r>
    </w:p>
    <w:p>
      <w:pPr>
        <w:pStyle w:val="TextBody"/>
        <w:bidi w:val="0"/>
        <w:spacing w:before="0" w:after="160"/>
        <w:jc w:val="center"/>
        <w:rPr>
          <w:rFonts w:ascii="Times New Roman" w:hAnsi="Times New Roman"/>
          <w:b/>
          <w:smallCaps/>
          <w:color w:val="000000"/>
          <w:sz w:val="24"/>
        </w:rPr>
      </w:pPr>
      <w:r>
        <w:rPr>
          <w:rFonts w:ascii="Times New Roman" w:hAnsi="Times New Roman"/>
          <w:b/>
          <w:smallCaps/>
          <w:color w:val="000000"/>
          <w:sz w:val="24"/>
        </w:rPr>
        <w:t>Amendment No. 2 to Collaboration Agreement</w:t>
      </w:r>
    </w:p>
    <w:p>
      <w:pPr>
        <w:pStyle w:val="TextBody"/>
        <w:bidi w:val="0"/>
        <w:spacing w:before="0" w:after="160"/>
        <w:jc w:val="center"/>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This Amendment No. 2</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Second Amendment</w:t>
      </w:r>
      <w:r>
        <w:rPr>
          <w:rFonts w:ascii="Times New Roman" w:hAnsi="Times New Roman"/>
          <w:color w:val="000000"/>
          <w:sz w:val="20"/>
        </w:rPr>
        <w:t>”</w:t>
      </w:r>
      <w:r>
        <w:rPr>
          <w:rFonts w:ascii="Times New Roman" w:hAnsi="Times New Roman"/>
          <w:color w:val="000000"/>
          <w:sz w:val="24"/>
        </w:rPr>
        <w:t>) is effective as of the 6</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June 2025 (the “</w:t>
      </w:r>
      <w:r>
        <w:rPr>
          <w:rFonts w:ascii="Times New Roman" w:hAnsi="Times New Roman"/>
          <w:b/>
          <w:color w:val="000000"/>
          <w:sz w:val="24"/>
        </w:rPr>
        <w:t>Second Amendment Effective Date</w:t>
      </w:r>
      <w:r>
        <w:rPr>
          <w:rFonts w:ascii="Times New Roman" w:hAnsi="Times New Roman"/>
          <w:color w:val="000000"/>
          <w:sz w:val="20"/>
        </w:rPr>
        <w:t>”</w:t>
      </w:r>
      <w:r>
        <w:rPr>
          <w:rFonts w:ascii="Times New Roman" w:hAnsi="Times New Roman"/>
          <w:color w:val="000000"/>
          <w:sz w:val="24"/>
        </w:rPr>
        <w:t>) by and between Astellas Pharma, Inc. (“</w:t>
      </w:r>
      <w:r>
        <w:rPr>
          <w:rFonts w:ascii="Times New Roman" w:hAnsi="Times New Roman"/>
          <w:b/>
          <w:color w:val="000000"/>
          <w:sz w:val="24"/>
        </w:rPr>
        <w:t>Astellas</w:t>
      </w:r>
      <w:r>
        <w:rPr>
          <w:rFonts w:ascii="Times New Roman" w:hAnsi="Times New Roman"/>
          <w:color w:val="000000"/>
          <w:sz w:val="20"/>
        </w:rPr>
        <w:t>”</w:t>
      </w:r>
      <w:r>
        <w:rPr>
          <w:rFonts w:ascii="Times New Roman" w:hAnsi="Times New Roman"/>
          <w:color w:val="000000"/>
          <w:sz w:val="24"/>
        </w:rPr>
        <w:t>) and FibroGen, Inc. (“</w:t>
      </w:r>
      <w:r>
        <w:rPr>
          <w:rFonts w:ascii="Times New Roman" w:hAnsi="Times New Roman"/>
          <w:b/>
          <w:color w:val="000000"/>
          <w:sz w:val="24"/>
        </w:rPr>
        <w:t>FG</w:t>
      </w:r>
      <w:r>
        <w:rPr>
          <w:rFonts w:ascii="Times New Roman" w:hAnsi="Times New Roman"/>
          <w:color w:val="000000"/>
          <w:sz w:val="20"/>
        </w:rPr>
        <w:t>”</w:t>
      </w:r>
      <w:r>
        <w:rPr>
          <w:rFonts w:ascii="Times New Roman" w:hAnsi="Times New Roman"/>
          <w:color w:val="000000"/>
          <w:sz w:val="24"/>
        </w:rPr>
        <w:t>). This Second Amendment amends the Collaboration Agreement entered into by and between Astellas and FG on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June 2005, as subsequently amended by the First Amendment, effective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January 2013 (collectively,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Astellas and FG shall be referred to individually herein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48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under the Agreement, Astellas and FG have agreed to modify the calculation of the API Batch Transfer Price as set forth in the Agreement; and</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4"/>
        </w:rPr>
        <w:t>, for good and valuable consideration, the receipt and sufficiency of which is hereby acknowledged, the Parties agree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Unless otherwise defined herein, all capitalized terms and phrases used in this Second Amendment shall have the meanings ascribed to them in the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With respect to the calculation of the API Batch Transfer Price as set forth in the second paragraph to Item Number 16 of the First Amendment, such paragraph will be replaced in its entirety with the following:</w:t>
      </w:r>
    </w:p>
    <w:p>
      <w:pPr>
        <w:pStyle w:val="TextBody"/>
        <w:bidi w:val="0"/>
        <w:spacing w:before="0" w:after="240"/>
        <w:jc w:val="both"/>
        <w:rPr/>
      </w:pPr>
      <w:r>
        <w:rPr>
          <w:color w:val="000000"/>
        </w:rPr>
        <w:t>“</w:t>
      </w:r>
      <w:r>
        <w:rPr>
          <w:rFonts w:ascii="Times New Roman" w:hAnsi="Times New Roman"/>
          <w:i/>
          <w:color w:val="000000"/>
          <w:sz w:val="24"/>
        </w:rPr>
        <w:t>The “</w:t>
      </w:r>
      <w:r>
        <w:rPr>
          <w:rFonts w:ascii="Times New Roman" w:hAnsi="Times New Roman"/>
          <w:b/>
          <w:i/>
          <w:color w:val="000000"/>
          <w:sz w:val="24"/>
        </w:rPr>
        <w:t>API Batch Transfer Price</w:t>
      </w:r>
      <w:r>
        <w:rPr>
          <w:rFonts w:ascii="Times New Roman" w:hAnsi="Times New Roman"/>
          <w:color w:val="000000"/>
          <w:sz w:val="20"/>
        </w:rPr>
        <w:t xml:space="preserve">” </w:t>
      </w:r>
      <w:r>
        <w:rPr>
          <w:rFonts w:ascii="Times New Roman" w:hAnsi="Times New Roman"/>
          <w:i/>
          <w:color w:val="000000"/>
          <w:sz w:val="24"/>
        </w:rPr>
        <w:t>shall be calculated based on (a) [*] to be manufactured by Astellas for the upcoming Astellas fiscal year derived from the manufacturing plan presented in the then-current Astellas supply forecast, and (ii) the [*], and (b) the [*] less (c) Bulk Product Manufacturing Cost.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4"/>
        </w:rPr>
        <w:t>In addition, the definition for “</w:t>
      </w:r>
      <w:r>
        <w:rPr>
          <w:rFonts w:ascii="Times New Roman" w:hAnsi="Times New Roman"/>
          <w:b/>
          <w:color w:val="000000"/>
          <w:sz w:val="24"/>
        </w:rPr>
        <w:t>FG Yield</w:t>
      </w:r>
      <w:r>
        <w:rPr>
          <w:rFonts w:ascii="Times New Roman" w:hAnsi="Times New Roman"/>
          <w:color w:val="000000"/>
          <w:sz w:val="20"/>
        </w:rPr>
        <w:t xml:space="preserve">” </w:t>
      </w:r>
      <w:r>
        <w:rPr>
          <w:rFonts w:ascii="Times New Roman" w:hAnsi="Times New Roman"/>
          <w:color w:val="000000"/>
          <w:sz w:val="24"/>
        </w:rPr>
        <w:t>shall be deleted from Item Number 16 of the First Amendment.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With respect to updates of the API Batch Transfer Price as set forth in Item Number 17 of the First Amendment, subparagraph (a) shall be replaced in its entirety with the following:</w:t>
      </w:r>
    </w:p>
    <w:p>
      <w:pPr>
        <w:pStyle w:val="TextBody"/>
        <w:bidi w:val="0"/>
        <w:spacing w:before="0" w:after="240"/>
        <w:jc w:val="both"/>
        <w:rPr/>
      </w:pPr>
      <w:r>
        <w:rPr>
          <w:color w:val="000000"/>
        </w:rPr>
        <w:t>“</w:t>
      </w:r>
      <w:r>
        <w:rPr>
          <w:rFonts w:ascii="Times New Roman" w:hAnsi="Times New Roman"/>
          <w:i/>
          <w:color w:val="000000"/>
          <w:sz w:val="24"/>
        </w:rPr>
        <w:t>(a) No later than the end of February of each calendar year, FG shall provide to Astellas [*] for the upcoming Astellas fiscal year based on the manufacturing plan presented in the then-current Astellas supply forecast.</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Amendment to Collaboration Agreement</w:t>
      </w:r>
      <w:r>
        <w:rPr>
          <w:rFonts w:ascii="Times New Roman" w:hAnsi="Times New Roman"/>
          <w:color w:val="000000"/>
          <w:sz w:val="20"/>
        </w:rPr>
        <w:t xml:space="preserve"> – Astellas Pharma and FibroGen</w:t>
      </w:r>
    </w:p>
    <w:p>
      <w:pPr>
        <w:pStyle w:val="TextBody"/>
        <w:bidi w:val="0"/>
        <w:jc w:val="left"/>
        <w:rPr>
          <w:rFonts w:ascii="Times New Roman" w:hAnsi="Times New Roman"/>
          <w:color w:val="000000"/>
          <w:sz w:val="20"/>
        </w:rPr>
      </w:pPr>
      <w:r>
        <w:rPr>
          <w:rFonts w:ascii="Times New Roman" w:hAnsi="Times New Roman"/>
          <w:color w:val="000000"/>
          <w:sz w:val="20"/>
        </w:rPr>
        <w:t xml:space="preserve">FibroGen C:00020151.2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rFonts w:ascii="Times New Roman" w:hAnsi="Times New Roman"/>
          <w:color w:val="000000"/>
          <w:sz w:val="24"/>
        </w:rPr>
      </w:pPr>
      <w:r>
        <w:rPr>
          <w:rFonts w:ascii="Times New Roman" w:hAnsi="Times New Roman"/>
          <w:color w:val="000000"/>
          <w:sz w:val="24"/>
        </w:rPr>
        <w:t>Section 20.6 (Notices) of the Agreement is hereby amended to reflect the Parties’ current notice information, including email addresses which may be utilized to provide notice via email transmission (with acknowledgement of receipt of such email) as follows:</w:t>
      </w:r>
    </w:p>
    <w:p>
      <w:pPr>
        <w:pStyle w:val="TextBody"/>
        <w:bidi w:val="0"/>
        <w:spacing w:before="0" w:after="240"/>
        <w:jc w:val="both"/>
        <w:rPr/>
      </w:pPr>
      <w:r>
        <w:rPr/>
        <w:t> </w:t>
      </w:r>
    </w:p>
    <w:tbl>
      <w:tblPr>
        <w:tblW w:w="2192" w:type="dxa"/>
        <w:jc w:val="left"/>
        <w:tblInd w:w="0" w:type="dxa"/>
        <w:tblLayout w:type="fixed"/>
        <w:tblCellMar>
          <w:top w:w="28" w:type="dxa"/>
          <w:left w:w="28" w:type="dxa"/>
          <w:bottom w:w="28" w:type="dxa"/>
          <w:right w:w="28" w:type="dxa"/>
        </w:tblCellMar>
      </w:tblPr>
      <w:tblGrid>
        <w:gridCol w:w="1756"/>
        <w:gridCol w:w="436"/>
      </w:tblGrid>
      <w:tr>
        <w:trPr/>
        <w:tc>
          <w:tcPr>
            <w:tcW w:w="17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Astellas:</w:t>
            </w:r>
          </w:p>
        </w:tc>
        <w:tc>
          <w:tcPr>
            <w:tcW w:w="43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w:t>
            </w:r>
          </w:p>
        </w:tc>
      </w:tr>
      <w:tr>
        <w:trPr/>
        <w:tc>
          <w:tcPr>
            <w:tcW w:w="1756" w:type="dxa"/>
            <w:tcBorders/>
            <w:tcMar>
              <w:top w:w="0" w:type="dxa"/>
              <w:left w:w="0" w:type="dxa"/>
              <w:bottom w:w="0" w:type="dxa"/>
              <w:right w:w="0" w:type="dxa"/>
            </w:tcMar>
            <w:vAlign w:val="center"/>
          </w:tcPr>
          <w:p>
            <w:pPr>
              <w:pStyle w:val="TableContents"/>
              <w:bidi w:val="0"/>
              <w:spacing w:before="0" w:after="240"/>
              <w:jc w:val="both"/>
              <w:rPr>
                <w:color w:val="000000"/>
              </w:rPr>
            </w:pPr>
            <w:r>
              <w:rPr>
                <w:color w:val="000000"/>
              </w:rPr>
              <w:t>   </w:t>
            </w:r>
            <w:r>
              <w:rPr>
                <w:rFonts w:ascii="Times New Roman" w:hAnsi="Times New Roman"/>
                <w:color w:val="000000"/>
                <w:sz w:val="24"/>
              </w:rPr>
              <w:t>with a copy to:</w:t>
            </w:r>
          </w:p>
        </w:tc>
        <w:tc>
          <w:tcPr>
            <w:tcW w:w="43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w:t>
            </w:r>
          </w:p>
        </w:tc>
      </w:tr>
      <w:tr>
        <w:trPr/>
        <w:tc>
          <w:tcPr>
            <w:tcW w:w="17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FG :</w:t>
            </w:r>
          </w:p>
        </w:tc>
        <w:tc>
          <w:tcPr>
            <w:tcW w:w="43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color w:val="000000"/>
                <w:sz w:val="24"/>
              </w:rPr>
              <w:t>[*</w:t>
            </w:r>
            <w:r>
              <w:rPr>
                <w:rFonts w:ascii="Aptos;sans-serif" w:hAnsi="Aptos;sans-serif"/>
                <w:color w:val="000000"/>
                <w:sz w:val="24"/>
              </w:rPr>
              <w:t>]</w:t>
            </w:r>
          </w:p>
        </w:tc>
      </w:tr>
      <w:tr>
        <w:trPr/>
        <w:tc>
          <w:tcPr>
            <w:tcW w:w="1756" w:type="dxa"/>
            <w:tcBorders/>
            <w:tcMar>
              <w:top w:w="0" w:type="dxa"/>
              <w:left w:w="0" w:type="dxa"/>
              <w:bottom w:w="0" w:type="dxa"/>
              <w:right w:w="0" w:type="dxa"/>
            </w:tcMar>
            <w:vAlign w:val="center"/>
          </w:tcPr>
          <w:p>
            <w:pPr>
              <w:pStyle w:val="TableContents"/>
              <w:bidi w:val="0"/>
              <w:spacing w:before="0" w:after="240"/>
              <w:jc w:val="both"/>
              <w:rPr>
                <w:color w:val="000000"/>
              </w:rPr>
            </w:pPr>
            <w:r>
              <w:rPr>
                <w:color w:val="000000"/>
              </w:rPr>
              <w:t>   </w:t>
            </w:r>
            <w:r>
              <w:rPr>
                <w:rFonts w:ascii="Times New Roman" w:hAnsi="Times New Roman"/>
                <w:color w:val="000000"/>
                <w:sz w:val="24"/>
              </w:rPr>
              <w:t>With a copy to:</w:t>
            </w:r>
          </w:p>
        </w:tc>
        <w:tc>
          <w:tcPr>
            <w:tcW w:w="43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color w:val="000000"/>
                <w:sz w:val="24"/>
              </w:rPr>
              <w:t>[*</w:t>
            </w:r>
            <w:r>
              <w:rPr>
                <w:rFonts w:ascii="Aptos;sans-serif" w:hAnsi="Aptos;sans-serif"/>
                <w:color w:val="000000"/>
                <w:sz w:val="24"/>
              </w:rPr>
              <w:t>]</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rFonts w:ascii="Times New Roman" w:hAnsi="Times New Roman"/>
          <w:color w:val="000000"/>
          <w:sz w:val="24"/>
        </w:rPr>
      </w:pPr>
      <w:r>
        <w:rPr>
          <w:rFonts w:ascii="Times New Roman" w:hAnsi="Times New Roman"/>
          <w:color w:val="000000"/>
          <w:sz w:val="24"/>
        </w:rPr>
        <w:t>The Agreement, as amended by this Second Amendment, contains the entire understanding of the Parties with respect to the subject matter hereof. The Parties acknowledge that the amendments to the Agreement contained in this Second Amendment are and shall be of no force or effect with respect to the EU Agreement.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rFonts w:ascii="Times New Roman" w:hAnsi="Times New Roman"/>
          <w:color w:val="000000"/>
          <w:sz w:val="24"/>
        </w:rPr>
      </w:pPr>
      <w:r>
        <w:rPr>
          <w:rFonts w:ascii="Times New Roman" w:hAnsi="Times New Roman"/>
          <w:color w:val="000000"/>
          <w:sz w:val="24"/>
        </w:rPr>
        <w:t>Except as otherwise provided herein this Second Amendment, the Agreement has not been modified or amended and remains in full force and effect. All express or implied agreements and understandings, either oral or written, heretofore made that conflict with respect to the subject matter herein are expressly superseded in this Second Amendment.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rFonts w:ascii="Times New Roman" w:hAnsi="Times New Roman"/>
          <w:color w:val="000000"/>
          <w:sz w:val="24"/>
        </w:rPr>
      </w:pPr>
      <w:r>
        <w:rPr>
          <w:rFonts w:ascii="Times New Roman" w:hAnsi="Times New Roman"/>
          <w:color w:val="000000"/>
          <w:sz w:val="24"/>
        </w:rPr>
        <w:t>This Second Amendment may be executed in counterparts, each of which shall be deemed an original, and all of which together shall constitute one and the same instrument. Counterparts may be signed, including electronic signature, and delivered by facsimile, via portable document format (.pdf), or by any other electronic means and that each Party may use such electronic document as evidence of the execution and delivery of this Second Amendment by all Parties to the same extent that an original signature could be used.</w:t>
      </w:r>
    </w:p>
    <w:p>
      <w:pPr>
        <w:pStyle w:val="TextBody"/>
        <w:bidi w:val="0"/>
        <w:spacing w:before="0" w:after="160"/>
        <w:jc w:val="both"/>
        <w:rPr/>
      </w:pPr>
      <w:r>
        <w:rPr/>
        <w:t> </w:t>
      </w:r>
    </w:p>
    <w:p>
      <w:pPr>
        <w:pStyle w:val="TextBody"/>
        <w:bidi w:val="0"/>
        <w:jc w:val="left"/>
        <w:rPr>
          <w:rFonts w:ascii="Times New Roman" w:hAnsi="Times New Roman"/>
          <w:sz w:val="20"/>
        </w:rPr>
      </w:pPr>
      <w:r>
        <w:rPr>
          <w:rFonts w:ascii="Times New Roman" w:hAnsi="Times New Roman"/>
          <w:b/>
          <w:color w:val="000000"/>
          <w:sz w:val="20"/>
        </w:rPr>
        <w:t>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Amendment to Collaboration Agreement</w:t>
      </w:r>
      <w:r>
        <w:rPr>
          <w:rFonts w:ascii="Times New Roman" w:hAnsi="Times New Roman"/>
          <w:color w:val="000000"/>
          <w:sz w:val="20"/>
        </w:rPr>
        <w:t xml:space="preserve"> – Astellas Pharma and FibroGen</w:t>
      </w:r>
    </w:p>
    <w:p>
      <w:pPr>
        <w:pStyle w:val="TextBody"/>
        <w:bidi w:val="0"/>
        <w:jc w:val="left"/>
        <w:rPr>
          <w:rFonts w:ascii="Times New Roman" w:hAnsi="Times New Roman"/>
          <w:color w:val="000000"/>
          <w:sz w:val="20"/>
        </w:rPr>
      </w:pPr>
      <w:r>
        <w:rPr>
          <w:rFonts w:ascii="Times New Roman" w:hAnsi="Times New Roman"/>
          <w:color w:val="000000"/>
          <w:sz w:val="20"/>
        </w:rPr>
        <w:t xml:space="preserve">FibroGen C:00020151.2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have executed this Second Amendment to the Agreement as of the Second Amendment Effective Date.</w:t>
      </w:r>
    </w:p>
    <w:p>
      <w:pPr>
        <w:pStyle w:val="TextBody"/>
        <w:bidi w:val="0"/>
        <w:spacing w:before="0" w:after="240"/>
        <w:jc w:val="both"/>
        <w:rPr/>
      </w:pPr>
      <w:r>
        <w:rPr/>
        <w:t> </w:t>
      </w:r>
    </w:p>
    <w:p>
      <w:pPr>
        <w:pStyle w:val="TextBody"/>
        <w:bidi w:val="0"/>
        <w:jc w:val="both"/>
        <w:rPr/>
      </w:pPr>
      <w:r>
        <w:rPr/>
        <w:t> </w:t>
      </w:r>
    </w:p>
    <w:p>
      <w:pPr>
        <w:pStyle w:val="TextBody"/>
        <w:bidi w:val="0"/>
        <w:jc w:val="both"/>
        <w:rPr/>
      </w:pPr>
      <w:r>
        <w:rPr/>
        <w:t> </w:t>
      </w:r>
    </w:p>
    <w:tbl>
      <w:tblPr>
        <w:tblW w:w="4738" w:type="dxa"/>
        <w:jc w:val="left"/>
        <w:tblInd w:w="0" w:type="dxa"/>
        <w:tblLayout w:type="fixed"/>
        <w:tblCellMar>
          <w:top w:w="28" w:type="dxa"/>
          <w:left w:w="28" w:type="dxa"/>
          <w:bottom w:w="28" w:type="dxa"/>
          <w:right w:w="28" w:type="dxa"/>
        </w:tblCellMar>
      </w:tblPr>
      <w:tblGrid>
        <w:gridCol w:w="1891"/>
        <w:gridCol w:w="146"/>
        <w:gridCol w:w="270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4"/>
              </w:rPr>
            </w:pPr>
            <w:r>
              <w:rPr>
                <w:rFonts w:ascii="Times New Roman" w:hAnsi="Times New Roman"/>
                <w:b/>
                <w:smallCaps/>
                <w:color w:val="000000"/>
                <w:sz w:val="24"/>
              </w:rPr>
              <w:t>FibroGen, Inc.</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4"/>
              </w:rPr>
            </w:pPr>
            <w:r>
              <w:rPr>
                <w:rFonts w:ascii="Times New Roman" w:hAnsi="Times New Roman"/>
                <w:b/>
                <w:smallCaps/>
                <w:color w:val="000000"/>
                <w:sz w:val="24"/>
              </w:rPr>
              <w:t>Astellas Pharma, Inc.</w:t>
            </w:r>
          </w:p>
        </w:tc>
      </w:tr>
      <w:tr>
        <w:trPr/>
        <w:tc>
          <w:tcPr>
            <w:tcW w:w="189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By: /s/ [*]</w:t>
            </w:r>
          </w:p>
        </w:tc>
        <w:tc>
          <w:tcPr>
            <w:tcW w:w="146" w:type="dxa"/>
            <w:tcBorders/>
            <w:tcMar>
              <w:top w:w="0" w:type="dxa"/>
              <w:left w:w="0" w:type="dxa"/>
              <w:bottom w:w="0" w:type="dxa"/>
              <w:right w:w="0" w:type="dxa"/>
            </w:tcMar>
            <w:vAlign w:val="center"/>
          </w:tcPr>
          <w:p>
            <w:pPr>
              <w:pStyle w:val="TableContents"/>
              <w:bidi w:val="0"/>
              <w:spacing w:before="120" w:after="120"/>
              <w:jc w:val="both"/>
              <w:rPr/>
            </w:pPr>
            <w:r>
              <w:rPr/>
              <w:t> </w:t>
            </w:r>
          </w:p>
        </w:tc>
        <w:tc>
          <w:tcPr>
            <w:tcW w:w="27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By: /s/ [*]</w:t>
            </w:r>
          </w:p>
        </w:tc>
      </w:tr>
      <w:tr>
        <w:trPr/>
        <w:tc>
          <w:tcPr>
            <w:tcW w:w="18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Name: [*]</w:t>
            </w:r>
          </w:p>
        </w:tc>
        <w:tc>
          <w:tcPr>
            <w:tcW w:w="146" w:type="dxa"/>
            <w:tcBorders/>
            <w:tcMar>
              <w:top w:w="0" w:type="dxa"/>
              <w:left w:w="0" w:type="dxa"/>
              <w:bottom w:w="0" w:type="dxa"/>
              <w:right w:w="0" w:type="dxa"/>
            </w:tcMar>
            <w:vAlign w:val="center"/>
          </w:tcPr>
          <w:p>
            <w:pPr>
              <w:pStyle w:val="TableContents"/>
              <w:bidi w:val="0"/>
              <w:spacing w:before="120" w:after="120"/>
              <w:jc w:val="both"/>
              <w:rPr/>
            </w:pPr>
            <w:r>
              <w:rPr/>
              <w:t> </w:t>
            </w:r>
          </w:p>
        </w:tc>
        <w:tc>
          <w:tcPr>
            <w:tcW w:w="2701" w:type="dxa"/>
            <w:tcBorders/>
            <w:tcMar>
              <w:top w:w="0" w:type="dxa"/>
              <w:left w:w="0" w:type="dxa"/>
              <w:bottom w:w="0" w:type="dxa"/>
              <w:right w:w="0" w:type="dxa"/>
            </w:tcMar>
            <w:vAlign w:val="center"/>
          </w:tcPr>
          <w:p>
            <w:pPr>
              <w:pStyle w:val="TableContents"/>
              <w:bidi w:val="0"/>
              <w:spacing w:before="120" w:after="120"/>
              <w:ind w:left="0" w:right="0" w:firstLine="617"/>
              <w:jc w:val="both"/>
              <w:rPr>
                <w:rFonts w:ascii="Times New Roman" w:hAnsi="Times New Roman"/>
                <w:color w:val="000000"/>
                <w:sz w:val="24"/>
              </w:rPr>
            </w:pPr>
            <w:r>
              <w:rPr>
                <w:rFonts w:ascii="Times New Roman" w:hAnsi="Times New Roman"/>
                <w:color w:val="000000"/>
                <w:sz w:val="24"/>
              </w:rPr>
              <w:t>Name: [*]</w:t>
            </w:r>
          </w:p>
        </w:tc>
      </w:tr>
      <w:tr>
        <w:trPr/>
        <w:tc>
          <w:tcPr>
            <w:tcW w:w="1891" w:type="dxa"/>
            <w:tcBorders/>
            <w:tcMar>
              <w:top w:w="0" w:type="dxa"/>
              <w:left w:w="0" w:type="dxa"/>
              <w:bottom w:w="0" w:type="dxa"/>
              <w:right w:w="0" w:type="dxa"/>
            </w:tcMar>
            <w:vAlign w:val="center"/>
          </w:tcPr>
          <w:p>
            <w:pPr>
              <w:pStyle w:val="TableContents"/>
              <w:bidi w:val="0"/>
              <w:spacing w:before="120" w:after="120"/>
              <w:ind w:left="0" w:right="0" w:firstLine="617"/>
              <w:jc w:val="both"/>
              <w:rPr>
                <w:rFonts w:ascii="Times New Roman" w:hAnsi="Times New Roman"/>
                <w:color w:val="000000"/>
                <w:sz w:val="24"/>
              </w:rPr>
            </w:pPr>
            <w:r>
              <w:rPr>
                <w:rFonts w:ascii="Times New Roman" w:hAnsi="Times New Roman"/>
                <w:color w:val="000000"/>
                <w:sz w:val="24"/>
              </w:rPr>
              <w:t>Title: [*]</w:t>
            </w:r>
          </w:p>
        </w:tc>
        <w:tc>
          <w:tcPr>
            <w:tcW w:w="146" w:type="dxa"/>
            <w:tcBorders/>
            <w:tcMar>
              <w:top w:w="0" w:type="dxa"/>
              <w:left w:w="0" w:type="dxa"/>
              <w:bottom w:w="0" w:type="dxa"/>
              <w:right w:w="0" w:type="dxa"/>
            </w:tcMar>
            <w:vAlign w:val="center"/>
          </w:tcPr>
          <w:p>
            <w:pPr>
              <w:pStyle w:val="TableContents"/>
              <w:bidi w:val="0"/>
              <w:spacing w:before="120" w:after="120"/>
              <w:jc w:val="both"/>
              <w:rPr/>
            </w:pPr>
            <w:r>
              <w:rPr/>
              <w:t> </w:t>
            </w:r>
          </w:p>
        </w:tc>
        <w:tc>
          <w:tcPr>
            <w:tcW w:w="27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Title: [*]</w:t>
            </w:r>
          </w:p>
        </w:tc>
      </w:tr>
      <w:tr>
        <w:trPr/>
        <w:tc>
          <w:tcPr>
            <w:tcW w:w="18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Date: 2025-Jun-06</w:t>
            </w:r>
          </w:p>
        </w:tc>
        <w:tc>
          <w:tcPr>
            <w:tcW w:w="146" w:type="dxa"/>
            <w:tcBorders/>
            <w:tcMar>
              <w:top w:w="0" w:type="dxa"/>
              <w:left w:w="0" w:type="dxa"/>
              <w:bottom w:w="0" w:type="dxa"/>
              <w:right w:w="0" w:type="dxa"/>
            </w:tcMar>
            <w:vAlign w:val="center"/>
          </w:tcPr>
          <w:p>
            <w:pPr>
              <w:pStyle w:val="TableContents"/>
              <w:bidi w:val="0"/>
              <w:spacing w:before="120" w:after="120"/>
              <w:jc w:val="both"/>
              <w:rPr/>
            </w:pPr>
            <w:r>
              <w:rPr/>
              <w:t> </w:t>
            </w:r>
          </w:p>
        </w:tc>
        <w:tc>
          <w:tcPr>
            <w:tcW w:w="27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Date: 2025 June 25 </w:t>
            </w:r>
          </w:p>
        </w:tc>
      </w:tr>
    </w:tbl>
    <w:p>
      <w:pPr>
        <w:pStyle w:val="TextBody"/>
        <w:bidi w:val="0"/>
        <w:jc w:val="both"/>
        <w:rPr/>
      </w:pPr>
      <w:r>
        <w:rPr/>
        <w:t> </w:t>
      </w:r>
    </w:p>
    <w:p>
      <w:pPr>
        <w:pStyle w:val="TextBody"/>
        <w:bidi w:val="0"/>
        <w:jc w:val="both"/>
        <w:rPr/>
      </w:pPr>
      <w:r>
        <w:rPr/>
        <w:t> </w:t>
      </w:r>
    </w:p>
    <w:p>
      <w:pPr>
        <w:pStyle w:val="TextBody"/>
        <w:bidi w:val="0"/>
        <w:spacing w:before="0" w:after="160"/>
        <w:jc w:val="both"/>
        <w:rPr/>
      </w:pPr>
      <w:r>
        <w:rPr/>
        <w:t> </w:t>
      </w:r>
    </w:p>
    <w:p>
      <w:pPr>
        <w:pStyle w:val="TextBody"/>
        <w:bidi w:val="0"/>
        <w:jc w:val="left"/>
        <w:rPr>
          <w:rFonts w:ascii="Times New Roman" w:hAnsi="Times New Roman"/>
          <w:sz w:val="20"/>
        </w:rPr>
      </w:pPr>
      <w:r>
        <w:rPr>
          <w:rFonts w:ascii="Times New Roman" w:hAnsi="Times New Roman"/>
          <w:b/>
          <w:color w:val="000000"/>
          <w:sz w:val="20"/>
        </w:rPr>
        <w:t>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Amendment to Collaboration Agreement</w:t>
      </w:r>
      <w:r>
        <w:rPr>
          <w:rFonts w:ascii="Times New Roman" w:hAnsi="Times New Roman"/>
          <w:color w:val="000000"/>
          <w:sz w:val="20"/>
        </w:rPr>
        <w:t xml:space="preserve"> – Astellas Pharma and FibroGen</w:t>
      </w:r>
    </w:p>
    <w:p>
      <w:pPr>
        <w:pStyle w:val="TextBody"/>
        <w:bidi w:val="0"/>
        <w:jc w:val="left"/>
        <w:rPr>
          <w:rFonts w:ascii="Times New Roman" w:hAnsi="Times New Roman"/>
          <w:color w:val="000000"/>
          <w:sz w:val="20"/>
        </w:rPr>
      </w:pPr>
      <w:r>
        <w:rPr>
          <w:rFonts w:ascii="Times New Roman" w:hAnsi="Times New Roman"/>
          <w:color w:val="000000"/>
          <w:sz w:val="20"/>
        </w:rPr>
        <w:t xml:space="preserve">FibroGen C:00020151.2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gen-ex31_1.htm"/>
      <w:bookmarkStart w:id="26" w:name="ksfgenex31_1"/>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Thane Wettig,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FibroGen,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472" w:type="dxa"/>
        <w:jc w:val="left"/>
        <w:tblInd w:w="0" w:type="dxa"/>
        <w:tblLayout w:type="fixed"/>
        <w:tblCellMar>
          <w:top w:w="28" w:type="dxa"/>
          <w:left w:w="28" w:type="dxa"/>
          <w:bottom w:w="28" w:type="dxa"/>
          <w:right w:w="28" w:type="dxa"/>
        </w:tblCellMar>
      </w:tblPr>
      <w:tblGrid>
        <w:gridCol w:w="1951"/>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Thane Wettig</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gen-ex31_2.htm"/>
      <w:bookmarkStart w:id="28" w:name="ksfgenex31_2"/>
      <w:bookmarkEnd w:id="27"/>
      <w:bookmarkEnd w:id="2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DeLucia,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FibroGen,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137" w:type="dxa"/>
        <w:jc w:val="left"/>
        <w:tblInd w:w="0" w:type="dxa"/>
        <w:tblLayout w:type="fixed"/>
        <w:tblCellMar>
          <w:top w:w="28" w:type="dxa"/>
          <w:left w:w="28" w:type="dxa"/>
          <w:bottom w:w="28" w:type="dxa"/>
          <w:right w:w="28" w:type="dxa"/>
        </w:tblCellMar>
      </w:tblPr>
      <w:tblGrid>
        <w:gridCol w:w="1951"/>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DeLucia</w:t>
            </w:r>
          </w:p>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fgen-ex32_1.htm"/>
      <w:bookmarkStart w:id="30" w:name="ksfgen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Thane Wettig, Chief Executive Officer of FibroGen, Inc. (the “Company”), and David DeLucia,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2025,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11, 2025</w:t>
      </w:r>
    </w:p>
    <w:p>
      <w:pPr>
        <w:pStyle w:val="TextBody"/>
        <w:bidi w:val="0"/>
        <w:spacing w:before="360" w:after="2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11</w:t>
      </w:r>
      <w:r>
        <w:rPr>
          <w:rFonts w:ascii="Times New Roman" w:hAnsi="Times New Roman"/>
          <w:color w:val="000000"/>
          <w:sz w:val="13"/>
        </w:rPr>
        <w:t>th</w:t>
      </w:r>
      <w:r>
        <w:rPr>
          <w:rFonts w:ascii="Times New Roman" w:hAnsi="Times New Roman"/>
          <w:color w:val="000000"/>
          <w:sz w:val="20"/>
        </w:rPr>
        <w:t xml:space="preserve"> day of August, 2025.</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2086"/>
        <w:gridCol w:w="146"/>
        <w:gridCol w:w="22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299/000119312514420380/d824859dex31.htm" TargetMode="External"/><Relationship Id="rId3" Type="http://schemas.openxmlformats.org/officeDocument/2006/relationships/hyperlink" Target="https://www.sec.gov/Archives/edgar/data/921299/000095017025051219/fgen-ex3_1.htm" TargetMode="External"/><Relationship Id="rId4" Type="http://schemas.openxmlformats.org/officeDocument/2006/relationships/hyperlink" Target="https://www.sec.gov/Archives/edgar/data/921299/000095017025051219/fgen-ex3_1.htm" TargetMode="External"/><Relationship Id="rId5" Type="http://schemas.openxmlformats.org/officeDocument/2006/relationships/hyperlink" Target="https://www.sec.gov/Archives/edgar/data/921299/000095017025085439/fgen-ex3_1.htm" TargetMode="External"/><Relationship Id="rId6" Type="http://schemas.openxmlformats.org/officeDocument/2006/relationships/hyperlink" Target="https://www.sec.gov/Archives/edgar/data/921299/000119312514420380/d824859dex41.htm" TargetMode="External"/><Relationship Id="rId7" Type="http://schemas.openxmlformats.org/officeDocument/2006/relationships/hyperlink" Target="https://www.sec.gov/Archives/edgar/data/0000921299/000119312514381669/d720189dex417.htm" TargetMode="External"/><Relationship Id="rId8" Type="http://schemas.openxmlformats.org/officeDocument/2006/relationships/hyperlink" Target="https://www.sec.gov/Archives/edgar/data/921299/000095017025083676/fgen-ex10_1.htm" TargetMode="External"/><Relationship Id="rId9" Type="http://schemas.openxmlformats.org/officeDocument/2006/relationships/hyperlink" Target="https://www.sec.gov/Archives/edgar/data/921299/000095017025095628/fgen-ex10_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54891</Words>
  <Characters>309482</Characters>
  <CharactersWithSpaces>365123</CharactersWithSpaces>
  <Paragraphs>6963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