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nb-20260331.htm"/>
      <w:bookmarkStart w:id="1" w:name="kskynb20260331"/>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20"/>
          <w:u w:val="single"/>
        </w:rPr>
        <w:t>_______</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 Bay Street,</w:t>
            </w:r>
            <w:r>
              <w:rPr>
                <w:rFonts w:ascii="Times New Roman" w:hAnsi="Times New Roman"/>
                <w:color w:val="000000"/>
                <w:sz w:val="20"/>
              </w:rPr>
              <w:t xml:space="preserve"> </w:t>
            </w:r>
            <w:r>
              <w:rPr>
                <w:rFonts w:ascii="Times New Roman" w:hAnsi="Times New Roman"/>
                <w:b/>
                <w:color w:val="000000"/>
                <w:sz w:val="20"/>
              </w:rPr>
              <w:t>Suite 100, #6009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Large accelerated filer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Accelerated filer </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Non-accelerated filer</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Smaller reporting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Emerging growth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Exchange Act Rule 12b-2). Yes ☐ No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number of shares of common stock outstanding as of April 30, 2026 was 4,048,112.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6"/>
        <w:gridCol w:w="8681"/>
        <w:gridCol w:w="146"/>
        <w:gridCol w:w="482"/>
      </w:tblGrid>
      <w:tr>
        <w:trPr/>
        <w:tc>
          <w:tcPr>
            <w:tcW w:w="89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equity">
              <w:r>
                <w:rPr>
                  <w:rStyle w:val="InternetLink"/>
                  <w:rFonts w:ascii="Times New Roman" w:hAnsi="Times New Roman"/>
                  <w:color w:val="0000FF"/>
                  <w:sz w:val="20"/>
                  <w:u w:val="single"/>
                </w:rPr>
                <w:t>Condensed Consolidated Statements of Changes in Redeemable Non-controlling Interests and Stockholders’ Deficit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9"/>
        <w:gridCol w:w="246"/>
        <w:gridCol w:w="208"/>
        <w:gridCol w:w="945"/>
        <w:gridCol w:w="246"/>
        <w:gridCol w:w="246"/>
        <w:gridCol w:w="226"/>
        <w:gridCol w:w="1025"/>
        <w:gridCol w:w="594"/>
      </w:tblGrid>
      <w:tr>
        <w:trPr/>
        <w:tc>
          <w:tcPr>
            <w:tcW w:w="64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99,073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109,629</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119,594</w:t>
            </w:r>
          </w:p>
        </w:tc>
        <w:tc>
          <w:tcPr>
            <w:tcW w:w="5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28,114</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29,242</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net of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related to sale of future revenues, non-current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125,000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 xml:space="preserve">shares issued </w:t>
              <w:br/>
              <w:t>   and outstanding at March 31, 2026 and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225,000</w:t>
            </w:r>
            <w:r>
              <w:rPr>
                <w:rFonts w:ascii="Times New Roman" w:hAnsi="Times New Roman"/>
                <w:color w:val="000000"/>
                <w:sz w:val="20"/>
              </w:rPr>
              <w:t> </w:t>
            </w:r>
            <w:r>
              <w:rPr>
                <w:rFonts w:ascii="Times New Roman" w:hAnsi="Times New Roman"/>
                <w:color w:val="000000"/>
                <w:sz w:val="16"/>
              </w:rPr>
              <w:t>shares authorized at March 31, 2026 and December 31, 2025; 4,048</w:t>
            </w:r>
            <w:r>
              <w:rPr>
                <w:rFonts w:ascii="Times New Roman" w:hAnsi="Times New Roman"/>
                <w:color w:val="000000"/>
                <w:sz w:val="20"/>
              </w:rPr>
              <w:t> </w:t>
            </w:r>
            <w:r>
              <w:rPr>
                <w:rFonts w:ascii="Times New Roman" w:hAnsi="Times New Roman"/>
                <w:color w:val="000000"/>
                <w:sz w:val="16"/>
              </w:rPr>
              <w:t>and 4,047</w:t>
            </w:r>
            <w:r>
              <w:rPr>
                <w:rFonts w:ascii="Times New Roman" w:hAnsi="Times New Roman"/>
                <w:color w:val="000000"/>
                <w:sz w:val="20"/>
              </w:rPr>
              <w:t> </w:t>
            </w:r>
            <w:r>
              <w:rPr>
                <w:rFonts w:ascii="Times New Roman" w:hAnsi="Times New Roman"/>
                <w:color w:val="000000"/>
                <w:sz w:val="16"/>
              </w:rPr>
              <w:t>shares issued and outstanding at March 31,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1,679,295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1,677,179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(1,721,245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(1,706,047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deficit attributable to Kyntra Bio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109,629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119,594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076" w:type="dxa"/>
        <w:jc w:val="left"/>
        <w:tblInd w:w="0" w:type="dxa"/>
        <w:tblLayout w:type="fixed"/>
        <w:tblCellMar>
          <w:top w:w="28" w:type="dxa"/>
          <w:left w:w="28" w:type="dxa"/>
          <w:bottom w:w="28" w:type="dxa"/>
          <w:right w:w="28" w:type="dxa"/>
        </w:tblCellMar>
      </w:tblPr>
      <w:tblGrid>
        <w:gridCol w:w="5941"/>
        <w:gridCol w:w="146"/>
        <w:gridCol w:w="229"/>
        <w:gridCol w:w="801"/>
        <w:gridCol w:w="180"/>
        <w:gridCol w:w="158"/>
        <w:gridCol w:w="229"/>
        <w:gridCol w:w="801"/>
        <w:gridCol w:w="59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(15,132</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used to calculate</w:t>
              <w:br/>
              <w:t>   net income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126" w:type="dxa"/>
        <w:jc w:val="left"/>
        <w:tblInd w:w="0" w:type="dxa"/>
        <w:tblLayout w:type="fixed"/>
        <w:tblCellMar>
          <w:top w:w="28" w:type="dxa"/>
          <w:left w:w="28" w:type="dxa"/>
          <w:bottom w:w="28" w:type="dxa"/>
          <w:right w:w="28" w:type="dxa"/>
        </w:tblCellMar>
      </w:tblPr>
      <w:tblGrid>
        <w:gridCol w:w="4191"/>
        <w:gridCol w:w="146"/>
        <w:gridCol w:w="248"/>
        <w:gridCol w:w="865"/>
        <w:gridCol w:w="195"/>
        <w:gridCol w:w="171"/>
        <w:gridCol w:w="248"/>
        <w:gridCol w:w="671"/>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 net of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786" w:type="dxa"/>
        <w:jc w:val="left"/>
        <w:tblInd w:w="0" w:type="dxa"/>
        <w:tblLayout w:type="fixed"/>
        <w:tblCellMar>
          <w:top w:w="28" w:type="dxa"/>
          <w:left w:w="28" w:type="dxa"/>
          <w:bottom w:w="28" w:type="dxa"/>
          <w:right w:w="28" w:type="dxa"/>
        </w:tblCellMar>
      </w:tblPr>
      <w:tblGrid>
        <w:gridCol w:w="1216"/>
        <w:gridCol w:w="146"/>
        <w:gridCol w:w="146"/>
        <w:gridCol w:w="826"/>
        <w:gridCol w:w="146"/>
        <w:gridCol w:w="146"/>
        <w:gridCol w:w="196"/>
        <w:gridCol w:w="511"/>
        <w:gridCol w:w="16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4,046,827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w:t>
              <w:br/>
              <w:t xml:space="preserve">   gain or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xml:space="preserve">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w:t>
              <w:br/>
              <w:t xml:space="preserve">   gain or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xml:space="preserve">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cost under </w:t>
              <w:br/>
              <w:t>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4,041,758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671" w:type="dxa"/>
        <w:jc w:val="left"/>
        <w:tblInd w:w="0" w:type="dxa"/>
        <w:tblLayout w:type="fixed"/>
        <w:tblCellMar>
          <w:top w:w="28" w:type="dxa"/>
          <w:left w:w="28" w:type="dxa"/>
          <w:bottom w:w="28" w:type="dxa"/>
          <w:right w:w="28" w:type="dxa"/>
        </w:tblCellMar>
      </w:tblPr>
      <w:tblGrid>
        <w:gridCol w:w="4726"/>
        <w:gridCol w:w="146"/>
        <w:gridCol w:w="218"/>
        <w:gridCol w:w="687"/>
        <w:gridCol w:w="181"/>
        <w:gridCol w:w="175"/>
        <w:gridCol w:w="218"/>
        <w:gridCol w:w="724"/>
        <w:gridCol w:w="596"/>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(loss) to net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accretion of premium and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 loss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52,584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(24,766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(31,706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expense related to sale of future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for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related to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Repayments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payroll taxes on restricted stock unit releases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issuance cost under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 of exchange rate change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47,872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102,178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106,200</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Inc. (“Kyntra Bio” or the “Company”) is a biopharmaceutical company focused on development of novel therapies in oncology and rare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 announced its rebranding from “FibroGen, Inc.” to “Kyntra Bio, Inc.,” representing the next step of its transformation to focus on oncology and rare disease assets. On January 8, 2026, the Company’s common stock began trading under the new Nasdaq symbol “KYNB.”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initiated a Phase 2 monotherapy dose optimization study of FG-3246 for the treatment of mCRPC, along with the exploratory sub-study of FG-3180, in the third quarter of 2025.</w:t>
      </w:r>
    </w:p>
    <w:p>
      <w:pPr>
        <w:pStyle w:val="TextBody"/>
        <w:bidi w:val="0"/>
        <w:spacing w:before="240" w:after="283"/>
        <w:jc w:val="left"/>
        <w:rPr/>
      </w:pPr>
      <w:r>
        <w:rPr>
          <w:rFonts w:ascii="Times New Roman" w:hAnsi="Times New Roman"/>
          <w:color w:val="000000"/>
          <w:sz w:val="20"/>
        </w:rPr>
        <w:t>The Company and its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Europe, Japan, the People’s Republic of China (“China”), and numerous other countries for the treatment of anemia in chronic kidney disease (“CKD”) patients on dialysis and not on dialysis.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the Company closed the sale of its China operations through FibroGen International (Hong Kong) Ltd. (“FibroGen International”) to AstraZeneca Treasury Limited pursuant to the share purchase agreement entered into by the Company and AstraZeneca Treasury Limited on February 20, 2025, as amended (the “Share Purchase Agreement”) for a total consideration of $220.4 million comprised of $85.0 million in enterprise value and $135.4 million in net cash held in China. AstraZeneca AB (“AstraZeneca”) was the Company’s long-time commercialization partner for roxadustat in greater China. This sale included all of its roxadustat assets in China, including FibroGen International’s subsidiary FibroGen (China) Medical Technology Development Co., Ltd (“FibroGen Beijing”) and its 51.1% interest in Beijing Falikang Pharmaceutical Co. Ltd. (“Falikang”). For additional details, refer to Note 2, </w:t>
      </w:r>
      <w:r>
        <w:rPr>
          <w:rFonts w:ascii="Times New Roman" w:hAnsi="Times New Roman"/>
          <w:i/>
          <w:color w:val="000000"/>
          <w:sz w:val="20"/>
        </w:rPr>
        <w:t>Discontinued Operations and Divestiture.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continues to advance its development plan for roxadustat in anemia associated with lower-risk myelodysplastic syndromes (“MDS”), a high-value indication with significant unmet medical need. The Company is now finalizing the Phase 3 trial protocol for roxadustat for the treatment of anemia in patients with lower-risk MDS and high transfusion burden after receiving further comments from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roxadustat Orphan Drug Designation for the treatment of MDS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2025, filed on March 16,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its wholly-owned subsidiaries and its majority-owned subsidiaries, as well as any variable interest entity (“VIE”) for which Kyntra Bio is the primary beneficiary. All inter-company transactions and balances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reportable segment — the development and commercialization of novel therapeutics to treat serious unmet medical needs.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(the “Transaction”). This sale included all of the Company’s roxadustat assets in China, including FibroGen International’s subsidiary FibroGen Beijing and its 51.1% interest in Falikang. The Transaction was closed on August 29, 2025 for a total consideration of $220.4 million, subject to certain customary adjustments as set forth in the purchase agreement, comprised of $85.0 million in enterprise value and $135.4 million in net cash held in China.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analyzed the quantitative and qualitative factors and concluded that the sale of FibroGen International represents a strategic shift in the Company’s business and qualified as a discontinued operation since December 31, 2024. As a result, the Company determined that FibroGen International met the “discontinued operations” criteria in accordance with Financial Accounting Standard Board (“FASB”) Accounting Standards Codification (“ASC”) 205, Presentation of Financial Statements. Accordingly, the operating results related to FibroGen International and the gain (loss) related to the Transaction are classified as discontinued operations, and have been reflected as discontinued operations in the condensed consolidated statements of operations for all periods presented. See Note 2, </w:t>
      </w:r>
      <w:r>
        <w:rPr>
          <w:rFonts w:ascii="Times New Roman" w:hAnsi="Times New Roman"/>
          <w:i/>
          <w:color w:val="000000"/>
          <w:sz w:val="20"/>
        </w:rPr>
        <w:t>Discontinued Operations and Divestiture</w:t>
      </w:r>
      <w:r>
        <w:rPr>
          <w:rFonts w:ascii="Times New Roman" w:hAnsi="Times New Roman"/>
          <w:color w:val="000000"/>
          <w:sz w:val="20"/>
        </w:rPr>
        <w:t>, for related disclosures. Unless otherwise noted, discussion in the notes to the condensed consolidated financial statements, relates to solely to the Company’s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16, 2025, the Company effected a 1-for-25 reverse stock split (the “Reverse Stock Split”). The Reverse Stock Split reduced the number of issued and outstanding shares of common stock from approximately 101.1 million shares to approximately 4.0 million shares. Proportionate adjustments have been made to the number of shares available for issuance under the Company’s equity incentive plans as well as outstanding equity awards, in accordance with their respective terms. All share amounts have been retroactively adjusted in the condensed consolidated financial statements and the notes to the condensed consolidated financial statements, where applicable, to reflect the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are prepared in accordance with the U.S. GAAP applicable to a going concern, which contemplates the realization of assets and the satisfaction of liabilities in the normal course of business. Based on its current operating plan, the Company believes that its existing cash and cash equivalents will be sufficient to fund the Company’s planned operating requirements for at least the 12 months following the issuance of the financial statements for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by the Company in its presentation of interim financial results are consistent with those presented in Note 2 to the consolidated financial statements included in the Company’s Annual Report on Form 10-K for the year ended December 31, 2025, filed on March 16,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common shares that would have the effect of increasing diluted earnings per share are considered to be anti-dilutive and as such, these shares are not included in the calculation of diluted earnings per share. The Company reported a loss from continuing operations for each of the three months ended March 31, 2026 and 2025. Therefore, dilutive common shares are not assumed to have been issued since their effect is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5299" w:type="dxa"/>
        <w:jc w:val="left"/>
        <w:tblInd w:w="0" w:type="dxa"/>
        <w:tblLayout w:type="fixed"/>
        <w:tblCellMar>
          <w:top w:w="28" w:type="dxa"/>
          <w:left w:w="28" w:type="dxa"/>
          <w:bottom w:w="28" w:type="dxa"/>
          <w:right w:w="28" w:type="dxa"/>
        </w:tblCellMar>
      </w:tblPr>
      <w:tblGrid>
        <w:gridCol w:w="2566"/>
        <w:gridCol w:w="146"/>
        <w:gridCol w:w="245"/>
        <w:gridCol w:w="708"/>
        <w:gridCol w:w="245"/>
        <w:gridCol w:w="245"/>
        <w:gridCol w:w="245"/>
        <w:gridCol w:w="708"/>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PRSUs and TSR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and relevantly in January 2025, the FASB issued ASU 2025-01, Income Statement - Reporting Comprehensive Income - Expense Disaggregation Disclosures (Subtopic 220-40): Clarifying the Effective Date. The guidance requires entities to disaggregate operating expenses into 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Discontinued Operations and Divestiture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This sale included all of the Company’s roxadustat assets in China, including FibroGen International’s subsidiary FibroGen Beijing and its 51.1% interest in Falikang. The Company determined that FibroGen International met the “held for sale” criteria and the “discontinued operations” criteria in accordance with FASB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the FibroGen International are classified as discontinued operations, and have been reflected as discontinued operations in the condensed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was closed on August 29, 2025 for a total consideration of $220.4 million comprised of $85.0 million in cash for the enterprise value of FibroGen International and $135.4 million in net cash held in China. The total consideration included a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The Company does not expect such adjustments to be material, therefore have recorded the holdbacks as other receivable. On November 6, 2025, the Company received a $6.4 million payment from AstraZeneca, which is in full satisfaction of the first holdback of $6.0 million, plus $0.4 million that was an additional payment following the final net cash adjustments after closing. The second holdback of $4.0 million was included in the prepaid expenses and other current assets on the condensed consolidated balance sheets as of March 31, 2026 and December 31,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Historical Agreements with AstraZeneca and China Performance Obligation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2013, the Company entered into a collaboration agreement with AstraZeneca for the development and commercialization of roxadustat for the treatment of anemia in the U.S. and all other countries in the world, other than China, not previously licensed under the Astellas Europe Agreement and Astellas Japan Agreement as discussed below in Note 3,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(“AstraZeneca U.S./RoW Agreement”). Later in 2024, the Company and AstraZeneca entered into an agreement to terminate the AstraZeneca U.S./RoW Agreement, effective as of February 25, 2024 (“AstraZeneca Termination and Transition Agreement”), as amended and restated on August 29, 2025. Neither party incurred any early termination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2013, the Company (through its subsidiaries affiliated with China) entered into a collaboration agreement with AstraZeneca for roxadustat for the treatment of anemia in China (“AstraZeneca China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AstraZeneca Termination and Transition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The promises identified under the AstraZeneca China Agreement, including the license, co-development services and manufacturing of commercial supplies have been bundled into a single performance obligation (“China Performance Obligation”).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2020, FibroGen China Anemia Holdings, Ltd., FibroGen Beijing, FibroGen International,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performed roxadustat distribution, as well as conducted sales and marketing through AstraZeneca.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direct roxadustat product sales to distributors in China were made by Falikang, while FibroGen Beijing continued to sell roxadustat product directly in limited areas in China. Product revenue, net, which is included in the discontinued operations, consists primarily of revenues from sales of roxadustat commercial product to Falikang. Substantially all direct roxadustat product sales to distributors in China were made by Falikang. The net transaction price for FibroGen Beijing’s product sales to Falikang was based on a gross transaction price, adjusted for the estimated profit share. </w:t>
      </w:r>
    </w:p>
    <w:p>
      <w:pPr>
        <w:pStyle w:val="TextBody"/>
        <w:bidi w:val="0"/>
        <w:spacing w:before="240" w:after="283"/>
        <w:jc w:val="left"/>
        <w:rPr>
          <w:rFonts w:ascii="Times New Roman" w:hAnsi="Times New Roman"/>
          <w:sz w:val="20"/>
        </w:rPr>
      </w:pPr>
      <w:r>
        <w:rPr>
          <w:rFonts w:ascii="Times New Roman" w:hAnsi="Times New Roman"/>
          <w:color w:val="000000"/>
          <w:sz w:val="20"/>
        </w:rPr>
        <w:t>The roxadustat sales to Falikang marked the beginning of the Company’s China Performance Obligation under the Company’s agreements with AstraZeneca</w:t>
      </w:r>
      <w:r>
        <w:rPr>
          <w:rFonts w:ascii="Times New Roman" w:hAnsi="Times New Roman"/>
          <w:i/>
          <w:color w:val="000000"/>
          <w:sz w:val="20"/>
        </w:rPr>
        <w:t>.</w:t>
      </w:r>
      <w:r>
        <w:rPr>
          <w:rFonts w:ascii="Times New Roman" w:hAnsi="Times New Roman"/>
          <w:color w:val="000000"/>
          <w:sz w:val="20"/>
        </w:rPr>
        <w:t xml:space="preserve"> Product revenue was based on the transaction price of the China Performance Obligation. Revenue was recognized when control of the product was transferred to Falikang, in an amount that reflects the allocation of the transaction price to the performance obligation satisfied during the reporting period. Periodically, the Company updated its assumptions such as total sales quantity, timing of China’s volume-based purchasing program, performance period, gross transaction price, profit share and other inputs including foreign currency translation impact, among others. Any net transaction price in excess of the revenue recognized was added to the deferred balance, and recognized in the periods as the performance obligation was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divestiture of FibroGen International on August 29, 2025, the performance obligation to AstraZeneca was completely satisfied upon the closing of the divestiture, and all the previously deferred revenues were recognized as revenue during the third quarter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Financial Information of the Discontinued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results of the discontinued operations with respect to FibroGen International reflected in the condensed consolidated statements of operations for the three months ended March 31, 2026 and 2025 were as follows (in thousands):</w:t>
      </w:r>
    </w:p>
    <w:p>
      <w:pPr>
        <w:pStyle w:val="TextBody"/>
        <w:bidi w:val="0"/>
        <w:jc w:val="left"/>
        <w:rPr/>
      </w:pPr>
      <w:r>
        <w:rPr/>
        <w:t> </w:t>
      </w:r>
    </w:p>
    <w:tbl>
      <w:tblPr>
        <w:tblW w:w="8126" w:type="dxa"/>
        <w:jc w:val="left"/>
        <w:tblInd w:w="0" w:type="dxa"/>
        <w:tblLayout w:type="fixed"/>
        <w:tblCellMar>
          <w:top w:w="28" w:type="dxa"/>
          <w:left w:w="28" w:type="dxa"/>
          <w:bottom w:w="28" w:type="dxa"/>
          <w:right w:w="28" w:type="dxa"/>
        </w:tblCellMar>
      </w:tblPr>
      <w:tblGrid>
        <w:gridCol w:w="4971"/>
        <w:gridCol w:w="146"/>
        <w:gridCol w:w="283"/>
        <w:gridCol w:w="505"/>
        <w:gridCol w:w="223"/>
        <w:gridCol w:w="196"/>
        <w:gridCol w:w="283"/>
        <w:gridCol w:w="908"/>
        <w:gridCol w:w="61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loss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product revenue, net, consists primarily of revenues from sales of roxadustat commercial product to Falikang, a distribution entity jointly owned by AstraZeneca and FibroGen Beijing, as discussed above. Falikang was an unconsolidated VIE accounted for as an equity method investment, and considered as a related party to the Company. The net product revenue from sales to Falikang was $36.9 million for the three months ended March 31, 2025. The other income from Falikang were immaterial for the three months ended March 31, 2025. The investment loss in Falikang was $0.6 million for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non-cash items and capital expenditures for the discontinued operations with respect to FibroGen International included in the condensed consolidated statements of cash flows for the three months ended March 31, 2025 were as follows (in thousands):</w:t>
      </w:r>
    </w:p>
    <w:p>
      <w:pPr>
        <w:pStyle w:val="TextBody"/>
        <w:bidi w:val="0"/>
        <w:jc w:val="both"/>
        <w:rPr/>
      </w:pPr>
      <w:r>
        <w:rPr/>
        <w:t> </w:t>
      </w:r>
    </w:p>
    <w:tbl>
      <w:tblPr>
        <w:tblW w:w="7793" w:type="dxa"/>
        <w:jc w:val="left"/>
        <w:tblInd w:w="0" w:type="dxa"/>
        <w:tblLayout w:type="fixed"/>
        <w:tblCellMar>
          <w:top w:w="28" w:type="dxa"/>
          <w:left w:w="28" w:type="dxa"/>
          <w:bottom w:w="28" w:type="dxa"/>
          <w:right w:w="28" w:type="dxa"/>
        </w:tblCellMar>
      </w:tblPr>
      <w:tblGrid>
        <w:gridCol w:w="5056"/>
        <w:gridCol w:w="146"/>
        <w:gridCol w:w="799"/>
        <w:gridCol w:w="1601"/>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Japan Agreement through March 31, 2026 totaled $105.1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Japan, the Company does not expect to receive most or all of the additional potential milestones under the Astellas Japan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recognized as license revenue and development revenue under the Astellas Japan Agreement were not material for the three months ended March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March 31, 2026 and accounts receivable has been allocated to each of the performance obligations under the Astellas Japan Agreement, including $100.3 million for license and $17.1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the three months ended March 31, 2026 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2018, the Company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Europe Agreement through March 31, 2026 totaled $685.0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Europe, the Company does not expect to receive most or all of the additional potential milestones under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license revenue and development revenue under the Astellas Europe Agreement were not material for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March 31, 2026 and accounts receivable has been allocated to each of the performance obligations under the Astellas Europe Agreement, including $619.0 million for license and $288.9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three months ended March 31, 2026 under the Astellas Europe Agreement. The Company does not expect material variable consideration from estimated future co-development billing beyond the development period in the transaction price related to the Astellas Europe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2021, the Company entered into an EU Supply Agreement with Astellas under the Astellas Europe Agreement (“Astellas EU Supply Agreement”) to define general forecast, order, supply and payment terms for Astellas to purchase roxadustat bulk drug product from the Company in support of commercial supplies.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product revenue from commercial-grade active pharmaceutical ingredient (“API”) or bulk drug product sales to Astellas and AstraZeneca was as follows for the three months ended March 31, 2026 and 2025 (in thousands):</w:t>
      </w:r>
    </w:p>
    <w:p>
      <w:pPr>
        <w:pStyle w:val="TextBody"/>
        <w:bidi w:val="0"/>
        <w:jc w:val="left"/>
        <w:rPr/>
      </w:pPr>
      <w:r>
        <w:rPr/>
        <w:t> </w:t>
      </w:r>
    </w:p>
    <w:tbl>
      <w:tblPr>
        <w:tblW w:w="5571" w:type="dxa"/>
        <w:jc w:val="left"/>
        <w:tblInd w:w="0" w:type="dxa"/>
        <w:tblLayout w:type="fixed"/>
        <w:tblCellMar>
          <w:top w:w="28" w:type="dxa"/>
          <w:left w:w="28" w:type="dxa"/>
          <w:bottom w:w="28" w:type="dxa"/>
          <w:right w:w="28" w:type="dxa"/>
        </w:tblCellMar>
      </w:tblPr>
      <w:tblGrid>
        <w:gridCol w:w="2536"/>
        <w:gridCol w:w="146"/>
        <w:gridCol w:w="261"/>
        <w:gridCol w:w="782"/>
        <w:gridCol w:w="205"/>
        <w:gridCol w:w="181"/>
        <w:gridCol w:w="261"/>
        <w:gridCol w:w="708"/>
        <w:gridCol w:w="4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updates its estimate of variable consideration related to the API shipments fulfilled under the terms of Astellas Japan Amendment at each balance sheet date. As a result, the Company recorded a reduction to the drug product revenue of $2.2 million for the three months ended March 31, 2026. Specifically, the change in estimated variable consideration was based on the API held by Astellas at period end, adjusted to reflect changes in the listed price,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Company updated its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balances related to the API price true-up under the Astellas Japan Agreement were $3.8 million in accrued liabilities, representing the Company’s best estimate of the timing for these amounts to be paid. As of December 31, 2025, the balances related to the API price true-up under the Astellas Japan Agreement were $1.6 million in accrued liabilities.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recorded $3.3 million in drug product revenue for intermediates under the terms of the Astellas Europe Agreement and the Astellas EU Supply Agreement, and received cash during the same quarter. Corresponding to the drug product revenue, the Company recorded the related cost of goods sold of $3.3 million during the three months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during the three months ended March 31, 2026, the Company transferred bulk drug product for commercial purposes under the terms of the Astellas Europe Agreement and the Astellas EU Supply Agreement, and recognized the related fully-burdened manufacturing costs of $0.9 million as drug product revenue, and recorded $6.2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three months ended March 31, 2026, the Company reclassified $0.5 million from the related deferred revenue to accrued liabilities. As of March 31, 2026, the balances related to the bulk drug product price true-up under the Astellas Europe Agreement and the Astellas EU Supply Agreement were $1.9 million in accrued liabilities, representing the Company’s best estimate that these amounts will be paid within the next 12 months. As of December 31, 2025, the related balance in accrued liabilities was $5.4 million, $3.8 million of which was paid to Astellas in the first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royalty revenue of $1.5 million and $0.8 million as drug product revenue from the deferred revenue under the Astellas Europe Agreement for the three months ended March 31, 2026 and 2025,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9"/>
        <w:gridCol w:w="146"/>
        <w:gridCol w:w="280"/>
        <w:gridCol w:w="839"/>
        <w:gridCol w:w="166"/>
        <w:gridCol w:w="146"/>
        <w:gridCol w:w="211"/>
        <w:gridCol w:w="631"/>
        <w:gridCol w:w="166"/>
        <w:gridCol w:w="146"/>
        <w:gridCol w:w="348"/>
        <w:gridCol w:w="944"/>
        <w:gridCol w:w="146"/>
        <w:gridCol w:w="146"/>
        <w:gridCol w:w="727"/>
        <w:gridCol w:w="1457"/>
        <w:gridCol w:w="146"/>
        <w:gridCol w:w="146"/>
        <w:gridCol w:w="255"/>
        <w:gridCol w:w="764"/>
        <w:gridCol w:w="296"/>
      </w:tblGrid>
      <w:tr>
        <w:trPr/>
        <w:tc>
          <w:tcPr>
            <w:tcW w:w="2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March 31, 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Consolidated Variable Interest Entity - Fortis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2023 (the “Option Acquisition Date”), the Company entered into an exclusive option agreement to acquire Fortis Therapeutics, Inc. (“Fortis”) with its novel Phase 1 ADC, FOR46 (now referred to as “FG-3246”) that targets CD46, a novel epitope preferentially expressed on certain cancer cells. FG-3246 is in development for the treatment of mCRPC with potential applicability in other solid tumors and hematologic malignancies. If the Company exercises the option to acquire Fortis, it will pay Fortis an </w:t>
      </w:r>
      <w:r>
        <w:rPr>
          <w:rFonts w:ascii="Times New Roman" w:hAnsi="Times New Roman"/>
          <w:color w:val="212529"/>
          <w:sz w:val="20"/>
        </w:rPr>
        <w:t xml:space="preserve">option exercise payment </w:t>
      </w:r>
      <w:r>
        <w:rPr>
          <w:rFonts w:ascii="Times New Roman" w:hAnsi="Times New Roman"/>
          <w:color w:val="000000"/>
          <w:sz w:val="20"/>
        </w:rPr>
        <w:t xml:space="preserve">of $80.0 million, and thereafter, legacy Fortis shareholders would be eligible to receive from the Company up to $200.0 million in contingent payments associated with the achievement of various regulatory approvals. If the Company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hAnsi="Times New Roman"/>
          <w:color w:val="212529"/>
          <w:sz w:val="20"/>
        </w:rPr>
        <w:t>licensing arrangement between Fortis and UCSF</w:t>
      </w:r>
      <w:r>
        <w:rPr>
          <w:rFonts w:ascii="Times New Roman" w:hAnsi="Times New Roman"/>
          <w:color w:val="000000"/>
          <w:sz w:val="20"/>
        </w:rPr>
        <w:t xml:space="preserve">. If the Company chooses not to acquire Fortis, its exclusive license to FG-3246 would expire.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(together the “Fortis Agreements”), the Company has exclusively licensed FG-3246 and will control and fund future research, development, including a Phase 2 clinical study sponsored by the Company, and manufacturing of FG-3246 during the option period (which ends on December 31, 2027). As part of the clinical development strategy, the Company will continue the work to develop a PET-based biomarker utilizing a radiolabeled version of the targeting antibody for patient selection.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guidance under ASC 810, </w:t>
      </w:r>
      <w:r>
        <w:rPr>
          <w:rFonts w:ascii="Times New Roman" w:hAnsi="Times New Roman"/>
          <w:i/>
          <w:color w:val="000000"/>
          <w:sz w:val="20"/>
        </w:rPr>
        <w:t>Consolidation</w:t>
      </w:r>
      <w:r>
        <w:rPr>
          <w:rFonts w:ascii="Times New Roman" w:hAnsi="Times New Roman"/>
          <w:color w:val="000000"/>
          <w:sz w:val="20"/>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Fortis has authorized and issued common shares and Series A preferred shares. The Company owned approximately 2% of Fortis’ Series A preferred shares, which was acquired prior to the Option Acquisition Date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 holders upon occurrence of certain events out of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total assets and liabilities of Fortis were immaterial. For the three months ended March 31, 2026 and 2025, Fortis’ net income (losses) was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assets that are measured on a recurring basis are as follows (in thousands):</w:t>
      </w:r>
    </w:p>
    <w:tbl>
      <w:tblPr>
        <w:tblW w:w="6820"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211"/>
        <w:gridCol w:w="676"/>
        <w:gridCol w:w="146"/>
        <w:gridCol w:w="146"/>
        <w:gridCol w:w="239"/>
        <w:gridCol w:w="39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months ended March 31, 2026 and 2025, a total of $6.0 million and $6.5 million, respectively,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consisted of the following (in thousands):</w:t>
      </w:r>
    </w:p>
    <w:p>
      <w:pPr>
        <w:pStyle w:val="TextBody"/>
        <w:bidi w:val="0"/>
        <w:jc w:val="left"/>
        <w:rPr/>
      </w:pPr>
      <w:r>
        <w:rPr/>
        <w:t> </w:t>
      </w:r>
    </w:p>
    <w:tbl>
      <w:tblPr>
        <w:tblW w:w="6490" w:type="dxa"/>
        <w:jc w:val="left"/>
        <w:tblInd w:w="0" w:type="dxa"/>
        <w:tblLayout w:type="fixed"/>
        <w:tblCellMar>
          <w:top w:w="28" w:type="dxa"/>
          <w:left w:w="28" w:type="dxa"/>
          <w:bottom w:w="28" w:type="dxa"/>
          <w:right w:w="28" w:type="dxa"/>
        </w:tblCellMar>
      </w:tblPr>
      <w:tblGrid>
        <w:gridCol w:w="2901"/>
        <w:gridCol w:w="146"/>
        <w:gridCol w:w="299"/>
        <w:gridCol w:w="961"/>
        <w:gridCol w:w="146"/>
        <w:gridCol w:w="146"/>
        <w:gridCol w:w="357"/>
        <w:gridCol w:w="114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Company’s investments consist primarily of available-for-sale debt investments. The amortized cost, gross unrealized holding gains or losses, and fair value of the Company’s investments by major investments type are summarized in the table below (in thousands):</w:t>
      </w:r>
    </w:p>
    <w:p>
      <w:pPr>
        <w:pStyle w:val="TextBody"/>
        <w:bidi w:val="0"/>
        <w:jc w:val="left"/>
        <w:rPr/>
      </w:pPr>
      <w:r>
        <w:rPr/>
        <w:t> </w:t>
      </w:r>
    </w:p>
    <w:tbl>
      <w:tblPr>
        <w:tblW w:w="8276" w:type="dxa"/>
        <w:jc w:val="left"/>
        <w:tblInd w:w="0" w:type="dxa"/>
        <w:tblLayout w:type="fixed"/>
        <w:tblCellMar>
          <w:top w:w="28" w:type="dxa"/>
          <w:left w:w="28" w:type="dxa"/>
          <w:bottom w:w="28" w:type="dxa"/>
          <w:right w:w="28" w:type="dxa"/>
        </w:tblCellMar>
      </w:tblPr>
      <w:tblGrid>
        <w:gridCol w:w="2011"/>
        <w:gridCol w:w="146"/>
        <w:gridCol w:w="296"/>
        <w:gridCol w:w="949"/>
        <w:gridCol w:w="146"/>
        <w:gridCol w:w="146"/>
        <w:gridCol w:w="510"/>
        <w:gridCol w:w="840"/>
        <w:gridCol w:w="146"/>
        <w:gridCol w:w="146"/>
        <w:gridCol w:w="484"/>
        <w:gridCol w:w="866"/>
        <w:gridCol w:w="166"/>
        <w:gridCol w:w="146"/>
        <w:gridCol w:w="211"/>
        <w:gridCol w:w="67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for all available for sale securities in an unrealized loss position, the fair value and gross unrealized loss by length of time the security has been in a continual unrealized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1"/>
        <w:gridCol w:w="146"/>
        <w:gridCol w:w="211"/>
        <w:gridCol w:w="676"/>
        <w:gridCol w:w="146"/>
        <w:gridCol w:w="146"/>
        <w:gridCol w:w="444"/>
        <w:gridCol w:w="794"/>
        <w:gridCol w:w="166"/>
        <w:gridCol w:w="146"/>
        <w:gridCol w:w="328"/>
        <w:gridCol w:w="542"/>
        <w:gridCol w:w="154"/>
        <w:gridCol w:w="154"/>
        <w:gridCol w:w="467"/>
        <w:gridCol w:w="770"/>
        <w:gridCol w:w="146"/>
        <w:gridCol w:w="146"/>
        <w:gridCol w:w="211"/>
        <w:gridCol w:w="676"/>
        <w:gridCol w:w="146"/>
        <w:gridCol w:w="146"/>
        <w:gridCol w:w="444"/>
        <w:gridCol w:w="794"/>
        <w:gridCol w:w="415"/>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March 31, 2026, the available-for-sale investments had remaining contractual maturities within two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credit related losses or other impairment loss during the three months ended March 31, 2026 and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8270" w:type="dxa"/>
        <w:jc w:val="left"/>
        <w:tblInd w:w="0" w:type="dxa"/>
        <w:tblLayout w:type="fixed"/>
        <w:tblCellMar>
          <w:top w:w="28" w:type="dxa"/>
          <w:left w:w="28" w:type="dxa"/>
          <w:bottom w:w="28" w:type="dxa"/>
          <w:right w:w="28" w:type="dxa"/>
        </w:tblCellMar>
      </w:tblPr>
      <w:tblGrid>
        <w:gridCol w:w="4681"/>
        <w:gridCol w:w="146"/>
        <w:gridCol w:w="340"/>
        <w:gridCol w:w="920"/>
        <w:gridCol w:w="146"/>
        <w:gridCol w:w="146"/>
        <w:gridCol w:w="403"/>
        <w:gridCol w:w="1097"/>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Holdback consideration receivable related to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As of March 31, 2026 and December 31, 2025, the Company recorded a $4.0 million receivable in prepaid expenses and other current assets for the holdbacks related to the closing of the divestiture of FibroGen International. See Note 2, </w:t>
      </w:r>
      <w:r>
        <w:rPr>
          <w:rFonts w:ascii="Times New Roman" w:hAnsi="Times New Roman"/>
          <w:i/>
          <w:color w:val="000000"/>
          <w:sz w:val="20"/>
        </w:rPr>
        <w:t xml:space="preserve">Discontinued Operations and Divestiture, </w:t>
      </w:r>
      <w:r>
        <w:rPr>
          <w:rFonts w:ascii="Times New Roman" w:hAnsi="Times New Roman"/>
          <w:color w:val="000000"/>
          <w:sz w:val="20"/>
        </w:rPr>
        <w:t>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tbl>
      <w:tblPr>
        <w:tblW w:w="8555" w:type="dxa"/>
        <w:jc w:val="left"/>
        <w:tblInd w:w="0" w:type="dxa"/>
        <w:tblLayout w:type="fixed"/>
        <w:tblCellMar>
          <w:top w:w="28" w:type="dxa"/>
          <w:left w:w="28" w:type="dxa"/>
          <w:bottom w:w="28" w:type="dxa"/>
          <w:right w:w="28" w:type="dxa"/>
        </w:tblCellMar>
      </w:tblPr>
      <w:tblGrid>
        <w:gridCol w:w="4966"/>
        <w:gridCol w:w="146"/>
        <w:gridCol w:w="299"/>
        <w:gridCol w:w="961"/>
        <w:gridCol w:w="146"/>
        <w:gridCol w:w="146"/>
        <w:gridCol w:w="357"/>
        <w:gridCol w:w="1143"/>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API and bulk drug product price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liability related to sale of future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accrued liabilities of $5.7 million and $7.0 million for API and bulk drug product price true-up as of March 31, 2026 and December 31, 2025, respectively, resulted from changes in estimated variable consideration associated with the API shipments fulfilled under the terms of the Astellas Japan Amendment, and the bulk drug product transferred under the terms of the Astellas Europe Agreement and the Astellas EU Supply Agreement.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for details.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Senior Secured Term Loan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financing agreement (“Financing Agreement”) with investment funds managed by MSTV, as lenders (the “Lenders”), and Wilmington Trust, National Association, as the administrative agent, providing for senior secured term loan facilities, and received $74.1 million, representing a $75.0 million initial term loan (the “Initial Term Loan”), net of $0.9 million issuance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Term Loan accrued interest at a fixed rate of 14.0% per annum, payable monthly in arrears. The Initial Term Loan would mature on May 8, 2026. The Initial Term Loan was subject to amortization payments. The Company was permitted to prepay the Initial Term Loan from time to time, in whole or in part, subject to payment of a make-whole amount equal to the unpaid principal amount of the portion of the Initial Term Loan being repaid or prepaid, plus accrued and unpaid interest of the portion of the Initial Term Loan being repaid or prepaid, plus an amount equal to the remaining scheduled interest payments due on such portion of the Initial Term Loan being repaid or prepaid as if such Initial Term Loan were to remain outstanding until the scheduled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29, 2025, upon the closing of the divestiture FibroGen International, the Company paid the Lenders a total of $80.9 million, including $75.0 million for paying off the senior secured term loan facilities, $0.4 million for outstanding interest and $5.5 million for related premium and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annual interest rate of the Initial Term Loan was 16.13% for the three months ended March 31, 2025. The Company recorded interest expense of $3.0 million for the three months ended March 31, 2025, which was included in discontinued operations as the Company was required to repay the loan upon the closing of the divestiture of FibroGen International.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Liability Related to Sale of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NovaQuest will retain this entitlement until it has reached the Payment Cap, at which point 100% of such revenue interest on future global net sales of Astellas will revert to the Company. Based on the current estimates of drug product revenue and revenue from milestone payments under the Astellas Agreements, and taking into the consideration of the terms discussed above, the Company anticipates reaching a Payment Cap up to $125.0 million by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15.19%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of the liability related to sale of future revenues for the three months ended March 31, 2026:</w:t>
      </w:r>
    </w:p>
    <w:p>
      <w:pPr>
        <w:pStyle w:val="TextBody"/>
        <w:bidi w:val="0"/>
        <w:jc w:val="left"/>
        <w:rPr/>
      </w:pPr>
      <w:r>
        <w:rPr/>
        <w:t> </w:t>
      </w:r>
    </w:p>
    <w:tbl>
      <w:tblPr>
        <w:tblW w:w="8728" w:type="dxa"/>
        <w:jc w:val="left"/>
        <w:tblInd w:w="0" w:type="dxa"/>
        <w:tblLayout w:type="fixed"/>
        <w:tblCellMar>
          <w:top w:w="28" w:type="dxa"/>
          <w:left w:w="28" w:type="dxa"/>
          <w:bottom w:w="28" w:type="dxa"/>
          <w:right w:w="28" w:type="dxa"/>
        </w:tblCellMar>
      </w:tblPr>
      <w:tblGrid>
        <w:gridCol w:w="5891"/>
        <w:gridCol w:w="146"/>
        <w:gridCol w:w="571"/>
        <w:gridCol w:w="1829"/>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During the three months ended March 31, 2026 and 2025, the Company recognized, under Astellas Agreements, development revenue of $0.2 million and $0.1 million, respectively, and drug product revenue of $3.5 million and $2.6 million, respectively. See Note 3, </w:t>
      </w:r>
      <w:r>
        <w:rPr>
          <w:rFonts w:ascii="Times New Roman" w:hAnsi="Times New Roman"/>
          <w:i/>
          <w:color w:val="000000"/>
          <w:sz w:val="20"/>
        </w:rPr>
        <w:t>Collaboration Agreements, License Agreement and Revenue</w:t>
      </w:r>
      <w:r>
        <w:rPr>
          <w:rFonts w:ascii="Times New Roman" w:hAnsi="Times New Roman"/>
          <w:color w:val="000000"/>
          <w:sz w:val="20"/>
        </w:rPr>
        <w:t xml:space="preserve">, for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the related interest expense of $2.3 million and $2.2 million, respectively. During the three months ended March 31, 2026 and 2025, the Company paid $1.3 million and $0.5 million accrued interest,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for the three months ended March 31, 2026 and 2025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Company had outstanding total non-cancelable purchase obligations of $1.5 million for manufacture and supply of roxadustat and $1.1 million for general purchases. The Company expects to fulfill its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see Note 8, </w:t>
      </w:r>
      <w:r>
        <w:rPr>
          <w:rFonts w:ascii="Times New Roman" w:hAnsi="Times New Roman"/>
          <w:i/>
          <w:color w:val="000000"/>
          <w:sz w:val="20"/>
        </w:rPr>
        <w:t xml:space="preserve">Liability Related to Sale of Future Revenues </w:t>
      </w:r>
      <w:r>
        <w:rPr>
          <w:rFonts w:ascii="Times New Roman" w:hAnsi="Times New Roman"/>
          <w:color w:val="000000"/>
          <w:sz w:val="20"/>
        </w:rPr>
        <w:t>for details of the related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April 2021 and May 2021, five putative securities class action complaints were filed against the Company and certain of its former executive officers in the U.S. District Court for the Northern District of California. On October 17, 2023, the parties reached an agreement in principle to settle the class action at $28.5 million. The Court approved the settlement Plan of Allocation on May 28, 2024 and Plaintiffs’ motion for attorney’s fees on August 1, 2024. The court entered a class distribution order on January 1, 2025 and the amount was fully distributed during the first quarter of 2025. The settlement was fully covered by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2021, the Company received a subpoena from the SEC requesting documents related to roxadustat’s pooled cardiovascular safety data. The SEC followed up with a subpoena for additional documents in the second quarter of 2024. In May 2025, the Company entered into a settlement with the SEC. As part of the settlement, and without admitting or denying the findings in the settlement offer or administrative order to be issued by the SEC, the Company agreed to pay a $1.25 million civil penalty. In September 2025, the agreement was approved by the Commission and the Company has been making payments to the agreed upon payment schedule.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derivative and securities class action lawsuits. The litigation demands have been withdrawn.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currently one SEC complaint against the Company's former Chief Medical Officer in U.S. District Court. While the Company is not a party to this proceeding, pursuant to its indemnification agreement with the former officer, the Company is obligated to advance certain legal expenses and may be required to indemnify certain costs and judgments; however, certain judgments, settlements, or fines sought by the SEC would not be covered by the Company under the indemnification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Company’s accrued liabilities related to these obligations were not material. The Company is unable to reasonably estimate the total amount of future indemnification costs beyond amounts currently accrued due to the early stage of the litigation and significant uncertainties regarding the duration, scope, and outcome of the proceedings.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condensed consolidated statements of operations. These significant segment expenses include cost of goods sold, research and development expenses, selling, general and administrative expenses, and restructuring charge. Other segment items that are presented on the condensed consolidated statements of operations include interest expense, interest income and other income (expense), net, and provision for (benefit from) income taxes. The measure of segment assets is reported on the balance sheet as total consolidated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subsidiary, FibroGen Europe Oy (“FibroGen Europe”), has product development obligations to the Technology Development Center of the Republic of Finland (“TEKES”), which consist of 11 separate advances (each in the form of a note agreement) received by FibroGen Europe between 1996 and 2008 from TEKES (“TEKES loans”). These advances were granted on a project-by-project basis to fund various product development efforts undertaken by FibroGen Europe only. Kyntra Bio, Inc. is not a guarantor of these loans and they are non-recourse to Kyntra Bio, Inc. The principal or the accrued interest of these loans are not repayable by FibroGen Europe until it has distributable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Europe voluntarily submitted for bankruptcy to the Finnish bankruptcy court in April 2026. FibroGen Europe was declared bankrupt by a decision of the Helsinki District Court on April 16, 2026 and the court has appointed an estate administrator of the bankruptcy estate.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U.S. Dollar equivalent of $10.9 million and $11.1 million of principal outstanding, respectively, and $8.4 million and $8.5 million of interest accrued, respectively, which were presented in the product development obligations line on the condensed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expects the above-mentioned bankruptcy process to result in an eventual relief of the TEKES loans, the definitive timing and the ultimate outcome of such debt relief remain uncertain. At this time, the Company cannot reasonably estimate the related financial effect on its consolidated financial position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2025 filed with the SEC on March 16, 2026 (“2025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Inc. (“Kyntra Bio” or “we”) is a biopharmaceutical company focused on development of novel therapies in oncology and rare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announced our rebranding from “FibroGen, Inc.” to “Kyntra Bio, Inc.,” representing the next step of our transformation and focus on oncology and rare disease assets. On January 8, 2026, our common stock began trading under the new Nasdaq symbol “KYNB.”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initiated a Phase 2 monotherapy dose optimization study of FG-3246 for the treatment of mCRPC, along with the exploratory sub-study of FG-3180, in the third quarter of 2025.</w:t>
      </w:r>
    </w:p>
    <w:p>
      <w:pPr>
        <w:pStyle w:val="TextBody"/>
        <w:bidi w:val="0"/>
        <w:spacing w:before="24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Europe, Japan, the People’s Republic of China (“China”), and numerous other countries for the treatment of anemia in chronic kidney disease (“CKD”) patients on dialysis and not on dialysis.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29, 2025, we closed the sale of our China operations through FibroGen International (Hong Kong) Ltd. (“FibroGen International”) to AstraZeneca Treasury Limited pursuant to the share purchase agreement entered into with AstraZeneca Treasury Limited on February 20, 2025, as amended (the “Share Purchase Agreement”) for a total consideration of $220.4 million comprised of $85.0 million in enterprise value and $135.4 million in net cash held in China. AstraZeneca AB (“AstraZeneca”) was our long-time commercialization partner for roxadustat in greater China. This sale included all of our roxadustat assets in China, including FibroGen International’s subsidiary FibroGen (China) Medical Technology Development Co., Ltd. (“FibroGen Beijing”) and its 51.1% interest in Beijing Falikang Pharmaceutical Co. Ltd. (“Falikang”). </w:t>
      </w:r>
    </w:p>
    <w:p>
      <w:pPr>
        <w:pStyle w:val="TextBody"/>
        <w:bidi w:val="0"/>
        <w:spacing w:before="240" w:after="283"/>
        <w:jc w:val="left"/>
        <w:rPr>
          <w:rFonts w:ascii="Times New Roman" w:hAnsi="Times New Roman"/>
          <w:sz w:val="20"/>
        </w:rPr>
      </w:pPr>
      <w:r>
        <w:rPr>
          <w:rFonts w:ascii="Times New Roman" w:hAnsi="Times New Roman"/>
          <w:color w:val="000000"/>
          <w:sz w:val="20"/>
        </w:rPr>
        <w:t>Kyntra Bio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advance our development plan for roxadustat in anemia associated with lower-risk myelodysplastic syndromes (“MDS”), a high-value indication with significant unmet medical need. We had a positive Type-C meeting with the U.S. Food and Drug Administration (“FDA”) in July 2025 and reached alignment on several elements of our proposed Phase 3 study design for roxadustat in anemia associated with lower-risk MDS, including the starting dose and the patient inclusion criteria. We are starting preparations for the Phase 3 trial, while evaluating internal development and potential partnership opportunities for this late-stage program. We are now finalizing the Phase 3 trial protocol for roxadustat for the treatment of anemia in patients with lower-risk MDS and high transfusion burden after receiving further comments from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roxadustat Orphan Drug Designation for the treatment of MDS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8663" w:type="dxa"/>
        <w:jc w:val="left"/>
        <w:tblInd w:w="0" w:type="dxa"/>
        <w:tblLayout w:type="fixed"/>
        <w:tblCellMar>
          <w:top w:w="28" w:type="dxa"/>
          <w:left w:w="28" w:type="dxa"/>
          <w:bottom w:w="28" w:type="dxa"/>
          <w:right w:w="28" w:type="dxa"/>
        </w:tblCellMar>
      </w:tblPr>
      <w:tblGrid>
        <w:gridCol w:w="5071"/>
        <w:gridCol w:w="146"/>
        <w:gridCol w:w="290"/>
        <w:gridCol w:w="1017"/>
        <w:gridCol w:w="228"/>
        <w:gridCol w:w="200"/>
        <w:gridCol w:w="333"/>
        <w:gridCol w:w="1167"/>
        <w:gridCol w:w="2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revenue for the three months ended March 31, 2026 and 2025 primarily included $3.5 million and $2.6 million, respectively, of drug product revenue from commercial-grade active pharmaceutical ingredient (“API”) or bulk drug product sales to Astellas.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costs and expenses for the three months ended March 31, 2026 remained relatively flat compared to the same period a year ago primarily as a result of the net effect of the following, respectively: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$1.4 million lower employee-related expenses primarily due to reduced headcount;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 million lower equipment and facilities-related expenses due to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 million lower stock-based compensation primarily resulting from lower stock price and reduced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 million higher cost of goods sold recorded during the three months ended March 31, 2026 corresponding to the drug product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had a loss from continuing operations of $15.1 million, or a loss per basic and diluted share of $3.74, as compared to a loss of $16.8 million, or a loss per basic and diluted share of $4.15, for the same period a year ago, primarily due to the increase in revenue as discussed above.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Cash and cash equivalents, investments and accounts receivable totaled $100.3 million at March 31, 2026, a decrease of $9.1 million from December 31, 2025, primarily due to the cash used by operations as discussed under the </w:t>
      </w:r>
      <w:r>
        <w:rPr>
          <w:rFonts w:ascii="Times New Roman" w:hAnsi="Times New Roman"/>
          <w:i/>
          <w:color w:val="000000"/>
          <w:sz w:val="20"/>
        </w:rPr>
        <w:t>Liquidity and Capital Resources</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an overview of our clinical, commercial, and research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FG-3246 and FG-3180 in mCRPC</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Prostate cancer is the second most common malignancy in men, contributing significantly to male mortality rates. Approximately 13% of men will be diagnosed with prostate cancer at some point during their lifetime. In any given year, there are approximately 65,000 drug treatable mCRPC cases in the U.S. across the various lines of therapy, and 5-year survival in mCRPC is approximately 30%.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Treatment choice in first and second line mCRPC significantly depends on patients’ prior treatments in the castration sensitive phase. Androgen receptor signaling inhibitors or androgen receptor pathway inhibitors (“ARSIs” / “ARPIs,” often used interchangeably) and chemotherapy are the preferred treatments in patients who have not been exposed to either in earlier lines of therapy. Most patients who previously progressed on an ARPI will subsequently receive chemotherapy. Switching to another ARPIs is another option for these patients but this approach is generally associated with suboptimal outcomes.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25-30% of patients with homologous recombination repair mutation (“HRRm”), poly (ADP-ribose) polymerase PARP inhibitors are the standard of care for mCRPC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recent approval of prostate-specific membrane antigen (“PSMA”)-targeted radiopharmaceutical Pluvicto (lutetium Lu 177 vipivotide tetraxetan) in the post-ARPI and pre-chemotherapy setting has diversified treatment options in first and second line mCRPC for PSMA positive patients. Furthermore, PSMA-PET has been validated as standard of care diagnostic in prostate cancer, while LOCAMETZ or an approved PSMA-11 imaging agent are approved to select patients for treatment with Pluvicto.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is developing FG-3246 in the post-ARPI, pre-chemotherapy mCRPC setting. This is an area of high unmet need, where radiographic progression free survival is short: Approximately 5-6 months after switching to a different ARPI, approximately 8 months with chemotherapy, and 9.3 months with Pluvicto in PSMA-positive patients, who are considered appropriate to delay taxane-based chemotherapy. Novel mechanisms of action that extend survival are critical in this setting as well as biomarker driven treatment approaches. FG-3246 and the potential patient selection biomarker FG-3180 are being developed to address these unmet medical needs.</w:t>
      </w:r>
    </w:p>
    <w:p>
      <w:pPr>
        <w:pStyle w:val="TextBody"/>
        <w:bidi w:val="0"/>
        <w:spacing w:before="360" w:after="283"/>
        <w:jc w:val="left"/>
        <w:rPr>
          <w:rFonts w:ascii="Times New Roman" w:hAnsi="Times New Roman"/>
          <w:sz w:val="20"/>
        </w:rPr>
      </w:pPr>
      <w:r>
        <w:rPr>
          <w:rFonts w:ascii="Times New Roman" w:hAnsi="Times New Roman"/>
          <w:b/>
          <w:color w:val="000000"/>
          <w:sz w:val="20"/>
        </w:rPr>
        <w:t>Phase 2 Monotherapy Clinical Trial of 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FG-3246 in mCRPC. FG-3246 is a potential first-in-class ADC targeting CD46, a novel epitope expressed on the surface of prostate and other cancer cells. In addition to CD46 being expressed at high levels in certain tumor types with limited expression in most normal tissues, CD46 is a cell receptor that induces internalization upon antibody binding, which makes it an ideal target for an ADC . The cytotoxic payload of FG-3246 is monomethyl auristatin E (“MMAE”), an anti-mitotic agent that has been utilized in four commercially approved ADC drugs.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actively enrolling our Phase 2 monotherapy dose optimization study of FG-3246 for the treatment of patients with mCRPC in the post-ARPI and pre-chemotherapy setting, with interim results expected in the fourth quarter of 2026. </w:t>
      </w:r>
    </w:p>
    <w:p>
      <w:pPr>
        <w:pStyle w:val="TextBody"/>
        <w:bidi w:val="0"/>
        <w:spacing w:before="240" w:after="283"/>
        <w:jc w:val="left"/>
        <w:rPr>
          <w:rFonts w:ascii="Times New Roman" w:hAnsi="Times New Roman"/>
          <w:sz w:val="20"/>
        </w:rPr>
      </w:pPr>
      <w:r>
        <w:rPr>
          <w:rFonts w:ascii="Times New Roman" w:hAnsi="Times New Roman"/>
          <w:color w:val="000000"/>
          <w:sz w:val="20"/>
        </w:rPr>
        <w:t>The trial is also assessing the diagnostic and predictive performance of FG-3180, a companion PET imaging agent, which shares the same CD46-targeted antibody used in FG-3246. The ability of FG-3180 to identify mCRPC lesions and predict response to FG-3246 is being evaluated</w:t>
      </w:r>
      <w:r>
        <w:rPr>
          <w:rFonts w:ascii="Arial" w:hAnsi="Arial"/>
          <w:color w:val="797979"/>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Our ongoing Phase 2 monotherapy trial (</w:t>
      </w:r>
      <w:r>
        <w:rPr>
          <w:rFonts w:ascii="Times New Roman" w:hAnsi="Times New Roman"/>
          <w:color w:val="000000"/>
          <w:sz w:val="20"/>
          <w:u w:val="single"/>
        </w:rPr>
        <w:t>NCT06842498</w:t>
      </w:r>
      <w:r>
        <w:rPr>
          <w:rFonts w:ascii="Times New Roman" w:hAnsi="Times New Roman"/>
          <w:color w:val="000000"/>
          <w:sz w:val="20"/>
        </w:rPr>
        <w:t xml:space="preserve">) is a randomized, open label, dose optimization trial designed to evaluate the safety, efficacy, tolerability, and pharmacokinetics (PK) of FG-3246 for the treatment of patients with mCRPC who have progressed following ARPI treatment and who have not received chemotherapy for their mCRPC. The trial is scheduled to enroll 75 patients who will be randomized 1:1:1 to receive either 1.8, 2.4 or 2.7 mg/kg AJBW of FG-3246. The primary endpoint of the trial is the determination of the optimal dose for the Phase 3 trial based on efficacy, safety, and PK parameters. Secondary endpoints include radiographic progression-free survival (“rPFS”), prostate-specific antigen (“PSA”) 50 response, and PSA90 response. An interim analysis, made up of a composite response rate of PSA50 response and overall response rate, is currently planned once 12 patients enrolled in each of the three dose arms have completed up to 12 weeks on study or discontinued and is anticipated in the fourth quarter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exploratory sub-study will evaluate FG-3180, a companion PET imaging agent, as a diagnostic radiopharmaceutical. All patients deemed eligible for participation in the Phase 2 trial will participate in the sub-study evaluating FG-3180 prior to randomization.</w:t>
      </w:r>
    </w:p>
    <w:p>
      <w:pPr>
        <w:pStyle w:val="TextBody"/>
        <w:bidi w:val="0"/>
        <w:spacing w:before="360" w:after="283"/>
        <w:jc w:val="left"/>
        <w:rPr>
          <w:rFonts w:ascii="Times New Roman" w:hAnsi="Times New Roman"/>
          <w:sz w:val="20"/>
        </w:rPr>
      </w:pPr>
      <w:r>
        <w:rPr>
          <w:rFonts w:ascii="Times New Roman" w:hAnsi="Times New Roman"/>
          <w:b/>
          <w:color w:val="000000"/>
          <w:sz w:val="20"/>
        </w:rPr>
        <w:t>Prior Studies of</w:t>
      </w:r>
      <w:r>
        <w:rPr>
          <w:rFonts w:ascii="Times New Roman" w:hAnsi="Times New Roman"/>
          <w:color w:val="000000"/>
          <w:sz w:val="20"/>
        </w:rPr>
        <w:t xml:space="preserve"> </w:t>
      </w:r>
      <w:r>
        <w:rPr>
          <w:rFonts w:ascii="Times New Roman" w:hAnsi="Times New Roman"/>
          <w:b/>
          <w:color w:val="000000"/>
          <w:sz w:val="20"/>
        </w:rPr>
        <w:t>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Kyntra Bio announced the peer-reviewed publication titled “A Phase 1, First-in-Human Study of FOR46 (FG-3246), an Immune-Modulating Antibody-Drug Conjugate Targeting CD46, in Patients with Metastatic Castration Resistant Prostate Cancer” in the Journal of Clinical Oncology. The manuscript included the complete results from the Fortis Therapeutics, Inc. (“Fortis”)-sponsored Phase 1 study of FG-3246 in heavily-pretreated, biomarker un-selected patients with mCRPC.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2026, the University of California, San Francisco (“UCSF”) presented positive results from the investigator-sponsored Phase 1b/2 study of FG-3246 in combination with enzalutamide in patients with mCRPC at the 2026 American Society of Clinical Oncology Genitourinary Cancers Symposium (ASCO GU). The presentation includes data from 44 biomarker unselected patients with progressive mCRPC, 17 of which were enrolled in the Phase 1b dose escalation portion of the study with 27 enrolled in the dose expansion phase of the study. Eligibility criteria for the trial included patients who progressed on at least one prior ARPI while patients who were treated with prior chemotherapy in the castration-resistant setting were excluded. Over 60% of the patients progressed on two or more prior ARPIs prior to enrollment, which included prior enzalutamide treatment. The primary endpoint of the escalation phase was assessment of dose-limiting toxicities (“DLT”) and determination of the maximum tolerated dose and recommended dose for the Phase 2 portion of the study – which was determined to be 2.1 mg/kg of FG-3246 and 160mg/day of enzalutamide. The primary endpoint of the Phase 2 expansion portion of the study was composite response rate (PSA50 response and/or objective response per RECIST v1.1). Secondary endpoints were PSA50 response rate, objective response rate, rPFS, overall survival, and treatment-related adverse events (“TRAEs”).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FG-3246 combined with enzalutamide demonstrated anti-tumor activity with a composite response rate of 21% in the overall cohort and 40% in patients who had progressed on only one prior ARPI. Median rPFS of 7.0 months was observed in the overall cohort. Notably, median rPFS of 10.1 months was observed in patients who had progressed on only one prior ARPI, a result which was consistent across the different prior ARPIs administered.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an exploratory analysis, tumor uptake of FG-3180 (our CD46-targeting PET imaging agent) was numerically associated with PSA50 response (nominal p=0.053), highlighting its potential as a biomarker for patient selection.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Combination therapy of FG-3246 and enzalutamide demonstrated a similar safety profile as was observed in the previous Phase 1 monotherapy trial of FG-3246. Neutropenia risk was successfully mitigated with use of granulocyte colony-stimulating factor (“G-CSF”) prophylaxis.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most frequent TRAEs with the combination therapy included fatigue, peripheral neuropathy, anorexia, and dysgeusia. Cumulative toxicities, including peripheral neuropathy, led to treatment discontinuation for some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ANEMIA ASSOCIATED WITH MDS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MDS are a diverse group of bone marrow disorders characterized by ineffective production of healthy blood cells and premature destruction of blood cells in the bone marrow, leading to anemia. In most MDS patients, the cause of the disease is unknown.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diagnosed prevalence of MDS in the U.S. is estimated to be between 60,000 and 170,000, and continues to rise as more therapies become available and patients are living longer with MDS. Annual incidence rates are estimated to be 4.9/100,000 adults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Anemia is the most common clinical presentation in MDS, seen in approximately 80% of MDS patients, and produces symptoms of fatigue, weakness, exercise intolerance, shortness of breath, dizziness, and cognitive impairment.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the Current Standard of Care for Anemia in MDS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Stem cell transplantation is the only potentially curative therapy for MDS, but it is not feasible in most patients due to their advanced age and frailty. The high rate of severe anemia leaves recurring red blood cell (“RBC”)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RBC transfusions may require an iron chelator in order to address toxic elements of iron overload such as lipid peroxidation and cell membrane, protein, DNA, and organ damage. Lower-risk MDS patients represent approximately 77% of the total diagnosed MDS population. National Comprehensive Cancer Network guidelines recommend the use of ESAs, luspatercept and imetelstat in lower risk MDS patients, depending on patients’ treatment history, serum erythropoietin (“EPO”) levels and </w:t>
      </w:r>
      <w:r>
        <w:rPr>
          <w:rFonts w:ascii="Times New Roman" w:hAnsi="Times New Roman"/>
          <w:i/>
          <w:color w:val="000000"/>
          <w:sz w:val="20"/>
        </w:rPr>
        <w:t>ring sideroblast status</w:t>
      </w:r>
      <w:r>
        <w:rPr>
          <w:rFonts w:ascii="Times New Roman" w:hAnsi="Times New Roman"/>
          <w:color w:val="000000"/>
          <w:sz w:val="20"/>
        </w:rPr>
        <w:t>. Currently available treatment options are effective in only ~50% patients, are challenging to dose-calibrate and can only be administered via subcutaneous injection or through IV infusion. New strategies that provide durable response and the convenience of oral administration are highly desired in managing patients with lower-risk MDS.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Opportunity for Roxadustat in MDS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need for a safe and convenient option to address anemia in patients with lower-risk MDS that is effective agnostic of ring sideroblast status. Roxadustat, our orally administered small molecule hypoxia-inducible factor prolyl hydroxylase inhibitor, stimulates the body’s natural mechanism of RBC production and iron hemostasis based on cellular-level oxygen-sensing and iron-regulation mechanisms. Unlike ESAs which are limited to providing exogenous EPO, roxadustat activates a coordinated erythropoietic response in the body that includes the stimulation of RBC progenitors, an increase in the body’s production of endogenous EPO, and an increase in iron availability for hemoglobin synthesis, which we believe is important in a broad range of lower-risk MDS patients. Moreover, in anemia of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lower-risk MDS anemia patients, where it is not uncommon for patients to present with autoimmune and inflammatory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 to Grand View Research, the global MDS market was estimated at approximately $3 billion in 2023 and is projected to reach approximately $5 billion by 2030 (approximately 9% CAGR from 2024 to 2030), attributed primarily to the rise in novel therapeutics.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MDS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our rights to roxadustat in the U.S., Canada, Mexico and in all markets not licensed to Astellas or held by AstraZeneca.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positive Type-C meeting with the FDA in July 2025, and reached alignment on several elements of our proposed Phase 3 study design for roxadustat in anemia associated with lower-risk MDS, including the starting dose and the patient inclusion criteria.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advancing preparations for the Phase 3 trial, while evaluating internal development and potential partnership opportunities for this late-stage program. We are now finalizing the Phase 3 trial protocol for roxadustat for the treatment of anemia in patients with lower-risk MDS and high transfusion burden after receiving further comments from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roxadustat Orphan Drug Designation for the treatment of MDS in December 2025. If roxadustat is approved for lower-risk MDS, Orphan Drug Designation would provide seven years regulatory exclusivity for roxadustat in lower-risk MDS in the U.S., along with additional economic and other benefits associated with Orphan Drug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Phase 3 trial is planned to assess the safety and efficacy of roxadustat in a randomized, double-blind, placebo-controlled design in approximately 200 patients with lower-risk MDS. Alignment was reached with the FDA on the patient population (patients requiring ≥ 4 RBC units in two consecutive 8-week periods prior to randomization, who are refractory to, intolerant to, or ineligible for prior erythropoiesis-stimulating agents (ESA) therapy), dose regimen. For the primary endpoint of RBC transfusion independence, we are considering independence over either an 8-week period or 16-week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2/3 Clinical Trial in MDS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Topline 28-week data from MATTERHORN, our Phase 2/3 placebo-controlled, double-blind clinical trial of roxadustat for the treatment of anemia in MDS, was presented in the fourth quarter of 2023 at the American Society of Hematology annual conference.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patients in the roxadustat arm (47.5% of 80 patients) achieved transfusion independence for 56 consecutive days (within the first 28 weeks) than the placebo arm (33.3% of 57 patients); however, the p-value was not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post-hoc analysis of patients with high transfusion burden (4 or more packed RBC units over two consecutive 8-week periods), 36% of the 22 roxadustat patients achieved transfusion independence, versus 7% of the 15 placebo patients (nominal p-value of 0.04).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in Anemia of CKD</w:t>
      </w:r>
    </w:p>
    <w:p>
      <w:pPr>
        <w:pStyle w:val="TextBody"/>
        <w:bidi w:val="0"/>
        <w:spacing w:before="12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China, Europe, Japan, and numerous other countries for the treatment of anemia in CKD patients on dialysis and not on dialysis.</w:t>
      </w:r>
    </w:p>
    <w:p>
      <w:pPr>
        <w:pStyle w:val="TextBody"/>
        <w:bidi w:val="0"/>
        <w:spacing w:before="360" w:after="283"/>
        <w:jc w:val="left"/>
        <w:rPr>
          <w:rFonts w:ascii="Times New Roman" w:hAnsi="Times New Roman"/>
          <w:sz w:val="20"/>
        </w:rPr>
      </w:pPr>
      <w:r>
        <w:rPr>
          <w:rFonts w:ascii="Times New Roman" w:hAnsi="Times New Roman"/>
          <w:b/>
          <w:color w:val="000000"/>
          <w:sz w:val="20"/>
        </w:rPr>
        <w:t>China – Roxadustat Commercial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29, 2025, we closed the sale of our China operations through FibroGen International to AstraZeneca Treasury Limited pursuant to the Share Purchase Agreement for a total consideration of $220.4 million, comprised of $85.0 million in enterprise value and $135.4 million in net cash held in China. This sale included all of our roxadustat assets in China, including FibroGen International’s subsidiary FibroGen Beijing and its 51.1% interest in Falikang.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to the condensed consolidated financial statements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U.S., Europe, Japan and Rest of World - Roxadustat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has retained the rights to roxadustat in the U.S., Canada, Mexico, and in all markets not held by AstraZeneca or licensed to Astellas. </w:t>
      </w:r>
    </w:p>
    <w:p>
      <w:pPr>
        <w:pStyle w:val="TextBody"/>
        <w:bidi w:val="0"/>
        <w:spacing w:before="240" w:after="283"/>
        <w:jc w:val="left"/>
        <w:rPr>
          <w:rFonts w:ascii="Times New Roman" w:hAnsi="Times New Roman"/>
          <w:sz w:val="20"/>
        </w:rPr>
      </w:pPr>
      <w:r>
        <w:rPr>
          <w:rFonts w:ascii="Times New Roman" w:hAnsi="Times New Roman"/>
          <w:color w:val="000000"/>
          <w:sz w:val="20"/>
        </w:rPr>
        <w:t>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and Option to Acquire Fortis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an exclusive option agreement to acquire Fortis with its novel Phase 1 ADC, FOR46 (now referred to as “FG-3246”) that targets CD46, a novel epitope preferentially expressed on certain cancer cells. FG-3246 is in development for the treatment of mCRPC with potential applicability in other solid tumors and hematologic malignancies.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an evaluation agreement entered into with Fortis concurrent with the option agreement, Kyntra Bio has exclusively licensed FG-3246 and will control and fund future research and development, including a Phase 2 clinical study sponsored by Kyntra Bio, and manufacturing of FG-3246 during the option period (which ends on December 31, 2027). As part of the clinical development strategy, we will continue the work to develop a PET-based biomarker utilizing a radiolabeled version of the targeting antibody for patient selection.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exercise the option to acquire Fortis, we will pay Fortis $80.0 million, and thereafter, Fortis would be eligible to receive from Kyntra Bio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Kyntra Bio chooses not to acquire Fortis, its exclusive license to FG-3246 would expire.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transaction, see the </w:t>
      </w:r>
      <w:r>
        <w:rPr>
          <w:rFonts w:ascii="Times New Roman" w:hAnsi="Times New Roman"/>
          <w:i/>
          <w:color w:val="000000"/>
          <w:sz w:val="20"/>
        </w:rPr>
        <w:t>Consolidated Variable Interest Entity - Fortis</w:t>
      </w:r>
      <w:r>
        <w:rPr>
          <w:rFonts w:ascii="Times New Roman" w:hAnsi="Times New Roman"/>
          <w:color w:val="000000"/>
          <w:sz w:val="20"/>
        </w:rPr>
        <w:t xml:space="preserve"> section in Note 4, </w:t>
      </w:r>
      <w:r>
        <w:rPr>
          <w:rFonts w:ascii="Times New Roman" w:hAnsi="Times New Roman"/>
          <w:i/>
          <w:color w:val="000000"/>
          <w:sz w:val="20"/>
        </w:rPr>
        <w:t>Variable Interest Entities</w:t>
      </w:r>
      <w:r>
        <w:rPr>
          <w:rFonts w:ascii="Times New Roman" w:hAnsi="Times New Roman"/>
          <w:color w:val="000000"/>
          <w:sz w:val="20"/>
        </w:rPr>
        <w:t>, to the condensed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License to Eluminex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we entered into an Amended and Restated Exclusive License Agreement with Eluminex (“A&amp;R Eluminex Agreement”) in order to add to the license rights to recombinant human collagen Type I (in addition to the rights to collagen Type III that were already licensed).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current and future research, development, manufacturing and commercialization efforts with respect to roxadustat depend on funds from our collaboration agreements with Astellas and AstraZeneca. See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we entered into a collaboration agreement with Astellas for the development and commercialization (but not manufacture) of roxadustat for the treatment of anemia in Japan (“Astellas Japan Agreement”). In April 2006, we entered into the Europe Agreement with Astellas for roxadustat for the treatment of anemia in Europe, the Commonwealth of Independent States, the Middle East, and South Africa (“Astellas Europe Agreement”). Under these agreements, the aggregate amount of consideration received through March 31, 2026 totaled $790.1 million. Based on the current development plans for roxadustat in Japan and Europe, we do not expect to receive most or all of the additional potential milestones under the Astellas Japan Agreement or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we and Astellas entered into an amendment to the Astellas Japan Agreement that allows Astellas to manufacture roxadustat drug product for commercialization in Japan (the “Astellas Japan Amendment”). The related drug product revenue was ($2.2) million and $1.8 million for the three months ended March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entered into an EU Supply Agreement with Astellas under the Astellas Europe Agreement to define general forecast, order, supply and payment terms for Astellas to purchase roxadustat bulk drug product from us in support of commercial supplies (the “Astellas EU Supply Agreement”). The related drug product revenue was $5.7 million and $0.8 million for the three months ended March 31, 2026 and 2025,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us in support of commercial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we entered into an agreement to terminate the AstraZeneca U.S./RoW Agreement with AstraZeneca, as amended and restated on August 29, 2025. Neither party incurred any early termination penalties. The aggregate amount of consideration for milestone and upfront payments received under the AstraZeneca U.S./RoW Agreement through the termination totaled $439.0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2013, through our China subsidiary and related affiliates, we entered into a collaboration agreement with AstraZeneca for roxadustat for the treatment of anemia in China (the “AstraZeneca China Agreement”). On August 29, 2025, we closed the sale of our China operations through FibroGen International to AstraZeneca Treasury Limited pursuant to the Share Purchase Agreement.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to the condensed consolidated financial statements. Under the AstraZeneca China Agreement, the aggregate amount of consideration received through the sale of our China operations totaled $81.2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2020, FibroGen China and AstraZeneca entered into an amendment to the AstraZeneca China Agreement, relating to the development and commercialization of roxadustat in China (the “AstraZeneca China Amendment”). Accordingly,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accounted for our investment in Falikang under the equity method, and Falikang was not consolidated into our consolidated financial statements. Our proportionate share of the reported profits or losses of Falikang, was included in the discontinued operations in the condensed consolidated statement of operations.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Product revenue, net, was $39.8 million for the three months ended March 31, 2025, majority of which were from the sales to Falikang, and was included in the discontinued operations. As discussed in Note 2, </w:t>
      </w:r>
      <w:r>
        <w:rPr>
          <w:rFonts w:ascii="Times New Roman" w:hAnsi="Times New Roman"/>
          <w:i/>
          <w:color w:val="000000"/>
          <w:sz w:val="20"/>
        </w:rPr>
        <w:t>Discontinued Operations and Divestiture,</w:t>
      </w:r>
      <w:r>
        <w:rPr>
          <w:rFonts w:ascii="Times New Roman" w:hAnsi="Times New Roman"/>
          <w:color w:val="000000"/>
          <w:sz w:val="20"/>
        </w:rPr>
        <w:t xml:space="preserve"> to the condensed consolidated financial statements, the divestiture of FibroGen International was completed on August 29, 2025 and accordingly, the performance obligation to AstraZeneca was completely satisfied upon the closing of the divestiture.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7998" w:type="dxa"/>
        <w:jc w:val="left"/>
        <w:tblInd w:w="0" w:type="dxa"/>
        <w:tblLayout w:type="fixed"/>
        <w:tblCellMar>
          <w:top w:w="28" w:type="dxa"/>
          <w:left w:w="28" w:type="dxa"/>
          <w:bottom w:w="28" w:type="dxa"/>
          <w:right w:w="28" w:type="dxa"/>
        </w:tblCellMar>
      </w:tblPr>
      <w:tblGrid>
        <w:gridCol w:w="2916"/>
        <w:gridCol w:w="146"/>
        <w:gridCol w:w="272"/>
        <w:gridCol w:w="738"/>
        <w:gridCol w:w="188"/>
        <w:gridCol w:w="188"/>
        <w:gridCol w:w="272"/>
        <w:gridCol w:w="738"/>
        <w:gridCol w:w="146"/>
        <w:gridCol w:w="146"/>
        <w:gridCol w:w="211"/>
        <w:gridCol w:w="421"/>
        <w:gridCol w:w="146"/>
        <w:gridCol w:w="146"/>
        <w:gridCol w:w="146"/>
        <w:gridCol w:w="316"/>
        <w:gridCol w:w="146"/>
        <w:gridCol w:w="716"/>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Development revenue includes co-development and other development related services. We recognize development services as revenue in the period in which they are billed to our partners, excluding China. As of March 31, 2026, we do not expect to incur significant future co-development services. Other revenues consist of contract manufacturing revenue, patent transfer and sales of research and development material. Development and other revenue have not been material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includes commercial-grade API or bulk drug product sales to Astellas in support of pre-commercial preparation prior to the new drug application or marketing authorization application approval, and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increased $1.0 million, or 36%, for the three months ended March 31, 2026, compared to the same period a year ago for the reasons discussed in the sections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p>
      <w:pPr>
        <w:pStyle w:val="TextBody"/>
        <w:bidi w:val="0"/>
        <w:jc w:val="left"/>
        <w:rPr/>
      </w:pPr>
      <w:r>
        <w:rPr/>
        <w:t> </w:t>
      </w:r>
    </w:p>
    <w:tbl>
      <w:tblPr>
        <w:tblW w:w="8645" w:type="dxa"/>
        <w:jc w:val="left"/>
        <w:tblInd w:w="0" w:type="dxa"/>
        <w:tblLayout w:type="fixed"/>
        <w:tblCellMar>
          <w:top w:w="28" w:type="dxa"/>
          <w:left w:w="28" w:type="dxa"/>
          <w:bottom w:w="28" w:type="dxa"/>
          <w:right w:w="28" w:type="dxa"/>
        </w:tblCellMar>
      </w:tblPr>
      <w:tblGrid>
        <w:gridCol w:w="3146"/>
        <w:gridCol w:w="146"/>
        <w:gridCol w:w="261"/>
        <w:gridCol w:w="782"/>
        <w:gridCol w:w="205"/>
        <w:gridCol w:w="181"/>
        <w:gridCol w:w="261"/>
        <w:gridCol w:w="708"/>
        <w:gridCol w:w="146"/>
        <w:gridCol w:w="146"/>
        <w:gridCol w:w="211"/>
        <w:gridCol w:w="631"/>
        <w:gridCol w:w="166"/>
        <w:gridCol w:w="146"/>
        <w:gridCol w:w="146"/>
        <w:gridCol w:w="481"/>
        <w:gridCol w:w="166"/>
        <w:gridCol w:w="716"/>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drug 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Drug product revenue, net increased $0.9 million, or 35%, for the three months ended March 31, 2026, compared to the same period a year ago.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changes in the listed price,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2025, we updated our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balances related to the API price true-up under the Astellas Japan Agreement were $3.8 million in accrued liabilities, representing our best estimate of the timing for these amounts to be paid.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we recorded $3.3 million to the drug product revenue for intermediates under the terms of the Astellas Europe Agreement and the Astellas EU Supply Agreement, and received cash during the same quarter. In addition, we transferred bulk drug product for commercial purposes under the terms of the Astellas Europe Agreement and the Astellas EU Supply Agreement, and recognized the related fully-burdened manufacturing costs of $0.9 million as drug product revenue, and recorded $6.2 million as deferred revenue due to a high degree of uncertainty associated with the variable consideration for revenue recognition purposes. In addition,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three months ended March 31, 2026, we reclassified $0.5 million from the related deferred revenue to accrued liabilities. As of March 31, 2026, the balances related to the bulk drug product price true-up under the Astellas Europe Agreement and the Astellas EU Supply Agreement were $1.9 million in accrued liabilities, representing our best estimate that these amounts will be paid within the next 12 month. As of December 31, 2025, we recorded $5.4 million related balance in accrued liabilities, $3.8 million of which was paid to Astellas in the first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recognized royalty revenue as drug product revenue, from the deferred revenue under the Astellas Europe Agreement, of $1.5 million and $0.8 million for the three months ended March 31, 2026 and 2025, respectively. It is our best estimate that the remainder of the deferred revenue will be recognized as revenue and when uncertainty is resolved, based on the performance of roxadustat product sales in the Astellas territory.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3356"/>
        <w:gridCol w:w="146"/>
        <w:gridCol w:w="245"/>
        <w:gridCol w:w="785"/>
        <w:gridCol w:w="169"/>
        <w:gridCol w:w="169"/>
        <w:gridCol w:w="245"/>
        <w:gridCol w:w="785"/>
        <w:gridCol w:w="146"/>
        <w:gridCol w:w="146"/>
        <w:gridCol w:w="211"/>
        <w:gridCol w:w="631"/>
        <w:gridCol w:w="166"/>
        <w:gridCol w:w="146"/>
        <w:gridCol w:w="146"/>
        <w:gridCol w:w="571"/>
        <w:gridCol w:w="166"/>
        <w:gridCol w:w="716"/>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operating costs and expenses decreased $0.1 million, or 1%, for the three months ended March 31, 2026, compared to the same period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increased $3.9 million, or 1,529%, for the three months ended March 31, 2026, compared to the same period a year ago, primarily due to the cost associated with the intermediates drug product revenue of $3.3 million and the costs of bulk drug product delivered to Astellas of $0.9 million during the three months ended March 31, 2026.</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independent research and development costs and the gross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We have implemented a significant cost reduction plan in the U.S. in the third quarter of 2024. As a result, research and development expenses have overall decreased and may continue to decrease in certain areas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three months ended March 31, 2026 and 2025:</w:t>
      </w:r>
    </w:p>
    <w:tbl>
      <w:tblPr>
        <w:tblW w:w="6467" w:type="dxa"/>
        <w:jc w:val="left"/>
        <w:tblInd w:w="0" w:type="dxa"/>
        <w:tblLayout w:type="fixed"/>
        <w:tblCellMar>
          <w:top w:w="28" w:type="dxa"/>
          <w:left w:w="28" w:type="dxa"/>
          <w:bottom w:w="28" w:type="dxa"/>
          <w:right w:w="28" w:type="dxa"/>
        </w:tblCellMar>
      </w:tblPr>
      <w:tblGrid>
        <w:gridCol w:w="1684"/>
        <w:gridCol w:w="163"/>
        <w:gridCol w:w="1887"/>
        <w:gridCol w:w="146"/>
        <w:gridCol w:w="272"/>
        <w:gridCol w:w="738"/>
        <w:gridCol w:w="188"/>
        <w:gridCol w:w="188"/>
        <w:gridCol w:w="272"/>
        <w:gridCol w:w="738"/>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 Candidate</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FG-3246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 Phase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$1.6 million, or 18%, for the three months ended March 31, 2026,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$1.1 million employee-related costs primarily due to lower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$0.7 million in stock-based compensation primarily resulting from lower stock price and reduced headcount; and</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Increase of $1.1 million in outside services due to higher activities associated with FG-3246 studies in the current year period, as compared to activities related to pamrevlumab programs, which were completed and terminated in the prior 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employee-related expenses for executive, operational, finance, legal, compliance, and human resource functions. SG&amp;A expenses also include professional fees, accounting and legal services, other outside services, recruiting fees and expenses associated with obtaining and maintaining patents. We have implemented a significant cost reduction plan in the U.S. in the third quarter of 2024. As a result, SG&amp;A expenses have overall decreased and may continue to decrease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decreased $2.2 million, or 28%, for the three months ended March 31, 2026, compared to the same period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$1.1 million in equipment and facilities-related expenses due to cost control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$0.6 million in stock-based compensation primarily resulting from lower stock price and reduced headcount.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9575" w:type="dxa"/>
        <w:jc w:val="left"/>
        <w:tblInd w:w="0" w:type="dxa"/>
        <w:tblLayout w:type="fixed"/>
        <w:tblCellMar>
          <w:top w:w="28" w:type="dxa"/>
          <w:left w:w="28" w:type="dxa"/>
          <w:bottom w:w="28" w:type="dxa"/>
          <w:right w:w="28" w:type="dxa"/>
        </w:tblCellMar>
      </w:tblPr>
      <w:tblGrid>
        <w:gridCol w:w="4266"/>
        <w:gridCol w:w="146"/>
        <w:gridCol w:w="253"/>
        <w:gridCol w:w="759"/>
        <w:gridCol w:w="199"/>
        <w:gridCol w:w="175"/>
        <w:gridCol w:w="253"/>
        <w:gridCol w:w="759"/>
        <w:gridCol w:w="166"/>
        <w:gridCol w:w="146"/>
        <w:gridCol w:w="211"/>
        <w:gridCol w:w="481"/>
        <w:gridCol w:w="166"/>
        <w:gridCol w:w="146"/>
        <w:gridCol w:w="146"/>
        <w:gridCol w:w="421"/>
        <w:gridCol w:w="166"/>
        <w:gridCol w:w="716"/>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the interest related to sale of future revenues and interest related to the Technology Development Center of the Republic of Finland product development obligations. Interest expense remained relatively flat for the three months ended March 31, 2026, compared to the same period a year ago.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and other income (expenses), net increased $0.7 million, or 169%, for the three months ended March 31, 2026, compared to the same period a year ago, primarily due to higher interest income resulting from overall higher cash equivalents and investment balances during the current year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4426"/>
        <w:gridCol w:w="146"/>
        <w:gridCol w:w="211"/>
        <w:gridCol w:w="736"/>
        <w:gridCol w:w="166"/>
        <w:gridCol w:w="271"/>
        <w:gridCol w:w="146"/>
        <w:gridCol w:w="211"/>
        <w:gridCol w:w="736"/>
        <w:gridCol w:w="166"/>
        <w:gridCol w:w="393"/>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Provision for income taxes for the three months ended March 31, 2026 and 2025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transaction was closed on August 29,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FibroGen International met the “held for sale” criteria and the “discontinued operations” criteria in accordance with Financial Accounting Standard Board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FibroGen International are classified as discontinued operations, and have been reflected as discontinued operations in the condensed consolidated statements of operations.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close of the sale of FibroGen International and its subsidiaries to AstraZeneca Treasury Limited on August 29, 2025, we received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On November 6, 2025, we received a $6.4 million payment from AstraZeneca, which is in full satisfaction of the first holdback of $6.0 million, plus $0.4 million that was an additional payment following the final net cash adjustments after closing.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2023, we entered into the Financing Agreement with investment funds managed by MSTV (“Lenders”), and Wilmington Trust, National Association, as the administrative agent, providing for senior secured term loan facilities consisting of a $75.0 million initial term loan. Upon the closing of the sale of FibroGen International and its subsidiaries to AstraZeneca Treasury Limited on August 29, 2025, we repaid our term loan facility with the Lenders. For additional details about this financing transaction, see Note 7, </w:t>
      </w:r>
      <w:r>
        <w:rPr>
          <w:rFonts w:ascii="Times New Roman" w:hAnsi="Times New Roman"/>
          <w:i/>
          <w:color w:val="000000"/>
          <w:sz w:val="20"/>
        </w:rPr>
        <w:t>Senior Secured Term Loan Facilities</w:t>
      </w:r>
      <w:r>
        <w:rPr>
          <w:rFonts w:ascii="Times New Roman" w:hAnsi="Times New Roman"/>
          <w:color w:val="000000"/>
          <w:sz w:val="20"/>
        </w:rPr>
        <w:t xml:space="preserve">, to the condensed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2022, we entered into a Revenue Interest Financing Agreement (“RIFA”) with an affiliate of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to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April 2026, we received a letter from the Nasdaq Listing Qualifications Staff of the Nasdaq Stock Market notifying us that Kyntra Bio no longer complies with the Nasdaq Global Select Market continued listing requirement of $50 million in total assets and total revenue for the most recently completed fiscal year (or two of the last three most recently completed fiscal years) per Listing Rule 5450(b)(3)(A). This is due to the revenue of FibroGen International being presented as held for sale (in discontinued operations) in our 2024 and 2025 10-Ks. The notification has no immediate effect on the listing of Kyntra Bio’s common stock on Nasdaq Global Select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intends to timely submit a compliance plan to Nasdaq. Kyntra Bio may also consider applying to transfer our securities to the Nasdaq Capital Market. If we are unable to maintain compliance or transfer and regain compliance, our common stock could become subject to delisting, which could adversely affect share price, liquidity, and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investments and accounts receivable totaled $100.3 million at March 31, 2026, compared to $109.4 million as of December 31, 2025. Cash is invested in accordance with our investment policy, primarily with a view to liquidity and capital preservation. Investments, consisting of available-for-sale securities, and stated at fair value, are also available as a source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is subject to specific risks, including: (i) indemnification obligations to current and former officers and directors, which may require us to advance legal expenses or satisfy judgments or settlements that are not fully covered by insurance, as our insurance policies are subject to exclusions, coverage limits, and potential disputes with insurers; and (ii) our obligations under the RIFA with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set forth below (in thousands), including both continuing operations and discontinued operations:</w:t>
      </w:r>
    </w:p>
    <w:p>
      <w:pPr>
        <w:pStyle w:val="TextBody"/>
        <w:bidi w:val="0"/>
        <w:spacing w:before="20" w:after="283"/>
        <w:jc w:val="left"/>
        <w:rPr/>
      </w:pPr>
      <w:r>
        <w:rPr/>
        <w:t> </w:t>
      </w:r>
    </w:p>
    <w:tbl>
      <w:tblPr>
        <w:tblW w:w="8421" w:type="dxa"/>
        <w:jc w:val="left"/>
        <w:tblInd w:w="0" w:type="dxa"/>
        <w:tblLayout w:type="fixed"/>
        <w:tblCellMar>
          <w:top w:w="28" w:type="dxa"/>
          <w:left w:w="28" w:type="dxa"/>
          <w:bottom w:w="28" w:type="dxa"/>
          <w:right w:w="28" w:type="dxa"/>
        </w:tblCellMar>
      </w:tblPr>
      <w:tblGrid>
        <w:gridCol w:w="5286"/>
        <w:gridCol w:w="146"/>
        <w:gridCol w:w="248"/>
        <w:gridCol w:w="865"/>
        <w:gridCol w:w="195"/>
        <w:gridCol w:w="171"/>
        <w:gridCol w:w="248"/>
        <w:gridCol w:w="671"/>
        <w:gridCol w:w="59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$13.9 million for the three months ended March 31, 2026 and consisted primarily of net loss of $15.2 million adjusted for non-operating cash items of $1.0 million, and a net increase in operating assets and liabilities of $0.3 million. The significant non-operating cash items included stock-based compensation expense of $1.2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Deferred revenue increased $4.2 million, driven by $6.2 million associated with the bulk drug product transferred to Astellas under the terms of the Astellas Europe Agreement and the Astellas EU Supply Agreement during the first quarter of 2026; partially offset by $1.5 million royalty revenue recognized, and $0.5 million reclassified to accrued liabilities, resulting from changes in estimated variable consideration associated with the bulk drug product transferred to Astellas. See the </w:t>
      </w:r>
      <w:r>
        <w:rPr>
          <w:rFonts w:ascii="Times New Roman" w:hAnsi="Times New Roman"/>
          <w:i/>
          <w:color w:val="000000"/>
          <w:sz w:val="20"/>
        </w:rPr>
        <w:t>Drug Product Revenue, Net</w:t>
      </w:r>
      <w:r>
        <w:rPr>
          <w:color w:val="000000"/>
        </w:rPr>
        <w:t xml:space="preserve">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increased $1.3 million driven by timing of invoicing and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Accrued interest expense related to sale of future revenues increased $1.0 million due to the interest expense of $2.3 million accrued, offset by the interest payment of $1.3 million during the period.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increased $4.8 million driven by the billing to Astellas for the bulk drug product transferred during the first quarter of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$2.5 million, driven by the bonus payment during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$2.7 million for the three months ended March 31, 2025 and consisted primarily of net income of $4.6 million adjusted for non-operating cash items of $3.7 million, and a net decrease in operating assets and liabilities of $5.7 million. The significant non-operating cash items included stock-based compensation expense of $2.9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$31.7 million, primarily driven by the $28.5 million distribution of litigation settlement related to our agreement in principle with plaintiffs to settle the class action lawsuit, and bonus and severance payouts totaling $5.1 million during the quarter. The accrued and other liabilities were also impacted by cost control efforts and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decreased $24.8 million, primarily driven by the payments made during the quarter to AstraZeneca under the settlement agreements entered in September 2024 between FibroGen China and AstraZeneca to settle certain historical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decreased $4.1 million, primarily related to the reclassification of $2.1 million to accrued liabilities, resulting from changes in estimated variable consideration associated with the bulk drug product transferred to Astellas under the terms of the Astellas Europe Agreement and the Astellas EU Supply Agreement during the year. In addition, the decrease in deferred revenue was also related to the $1.3 million product revenue recognized, which is included in the discontinued operations, from the previously deferred revenue of the China performance obligation during the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increased $3.2 million, primarily driven by the billings to Falikang based on the arrangements under the above-mentioned settlement agreements and related to the increase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$52.6 million, primarily due to the $28.5 million distribution of the above-mentioned litigation settlement during the quarter, which is fully recoverable under our insurance policies. The decrease in prepaid expenses and other current assets was also related to the collection from Falikang during the quarter based on the arrangements under the settlement agreements between FibroGen China and AstraZeneca to settle certain historical items, which was unbilled receivables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decreased $2.9 million primarily driven by lower inventory production in China as we have decommissioned our API manufacturing facility in Cangzhou, China in late 2024;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interest expense related to sale of future revenues increased $1.7 million due to the interest expense of $2.2 million accrued, offset by the interest paid, during the quarter.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 primarily consist of purchases of investments, proceeds from the maturity and sale of investments, and net proceeds from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$3.0 million for the three months ended March 31, 2026 and consisted primarily of $14.1 million proceeds from maturity of investments; partially offset by $11.1 million cash used in purchases of available-for-sale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immaterial for the three months ended March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primarily reflect proceeds from strategic financing arrangements, cash paid to shareholders and cash paid for payroll taxes on restricted stock unit releases, and repayments of our lease liabilities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immaterial for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We generate revenue from commercial sales of roxadustat product in Japan and Europe. Even with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development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as well as unknown factors that may adversely affect our business. We anticipate that we will need substantial additional funding in connection with our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outstanding total non-cancelable purchase obligations of $1.5 million for manufacture and supply of roxadustat and $1.1 million for general purchases, all of which are expected to be paid within the next 12 months. We expect to fulfill our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RIFA with NovaQuest, as of March 31, 2026, we had $68.3 million of liability related to sale of future revenues in the condensed consolidated balance sheets, $0.9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estimates and judgments during the three months ended March 31, 2026 compared with the disclosures in Part II, Item 7 of our 2025 Form 10-K.</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therefore, pursuant to Item 305(e) of Regulation S-K,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March 31, 2026,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evaluation, the Principal Executive Officer and Principal Financial Officer have concluded that our disclosure controls and procedures were effective at the reasonable assurance level as of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2026, we completed the implementation of an enterprise resource planning (“ERP”) system, with which we expect to improve the efficiency of certain financial and transactional processes. As a result, we have updated the design and documentation of internal controls, processes and procedures, which occurred following the ERP implementation to ensure we continue to maintain effective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described in the previous paragraph, there were no changes in our internal control over financial reporting identified in connection with the evaluation required by Rule 13a-15(d) and 15d-15(d) of the Exchange Act that occurred during the three months ended March 31,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March 31, 2026, as we could not predict the ultimate outcome of these matters, or reasonably estimate the potential exposure.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marked with an asterisk (*) those risks described below that reflect substantive changes from the risks described under Part I, Item 1A “Risk Factors” included in our Annual Report on Form 10-K for the year ended December 31, 2025, filed on March 16,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Kyntra Bio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lead products roxadustat and FG-3246 (in conjunction with our PET (as defined below) imaging agent FG-3180).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and obtaining marketing authorization are very difficult endeavors, and we may ultimately be unable to obtain regulatory approval for our various product candidates in one or more jurisdictions and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manufacturers or we cannot properly manufacture the appropriate volume of product, we may experience delays in development, regulatory approval, launch, or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in the development and commercialization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collaborations were terminated or if our partners were unwilling or unable to contribute or participate in the collaborations, our ability to successfully develop and commercialize the relevant product candidate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preclinical and clinical trial contractors do not properly perform their agreed-upon obligations, we may not be able to obtain or may be delayed in receiving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next year, we may face costs from the wind-up of the Cayman Subsidiary (as defined below), and may not receive some of the AZ Holdbacks (as defined below) related to the sale of FibroGen International and its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and China relations, as well as relations with other countries, and/or regulations may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third party suppliers in China, and there are risks inherent to utilizing third party manufacturing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of manufacturing disruption due to geopolitical tensions in China and related to U.S. legislation impacting WuXi AppTec, Wuxi Biologics, and Wuxi XDC.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lead products roxadustat and FG-3246 (in conjunction with our PET (as defined below) imaging agent FG-3180).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value drivers for Kyntra Bio, Inc. (“Kyntra Bio” or the “Company”) depend in large part on the continued commercial success of roxadustat in Europe and Japan, the potential of roxadustat for anemia associated with lower-risk myelodysplastic syndromes (“MDS”), and the development of FG-3246 (in conjunction with our positron emission tomography (“PET”) imaging agent FG-3180), which is in clinical development for metastatic castration-resistant prostate cancer (“mCRPC”).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efforts in these programs are unsuccessful, it may materially and adversely affect our business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are very difficult endeavors, and we may ultimately be unable to obtain regulatory approval for our various product candidates in one or more jurisdictions and in one or more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effective and has an acceptable safety profile for use in each indication for which approval is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development and approval processes are expensive and require substantial resources and time, and in general, very few product candidates that enter development ultimately receive regulatory approval. In addition, our collaboration partner for roxadustat may influence development decisions in their respective territories and they may make decisions with respect to development or regulatory authorities that limit or increase the cost of development. Accordingly, we may be unable to successfully develop any of our other product candidates in one or more indications and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demonstrate to the satisfaction of regulatory authorities or an independent advisory committee that our product candidate is effective and has an acceptable safety profile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regulatory authorities that additional information (including additional preclinical or clinical data or trials) is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exhibiting an unacceptable safety signal at any stage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third-party contractors manufacturing our product candidates to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by regulatory authorities to exclude the use of patient data from unreliable clinical trials, or disagreement with our interpretation of the data from our preclinical trials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approval of one of our clinical trial investigational new drug applications or protocol or protocol amendments (in particular, due to a government shutdown or other factor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collaboration partners or other third parties such as clinical investigators to perform or complete their clinical programs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data from investigator-sponsored clinical trials to meet GCP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obtain regulatory approval, our product candidates may be approved for narrower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have an investigator-sponsored trial, we would have to rely on sponsor’s data generated independently under sponsor’s institutional practices. As a result, there is an additional risk that results may differ in future trials run by Kyntra Bio as the sponsor.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obtain required regulatory or institutional review board approval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drug to pass interim futility criteria for efficacy in a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side effects that meet safety stopping rules for the study in a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recruitment, enrollment, or retention, clinical site initiation, or retention problems associated with civil unrest, military conflicts around the world,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manufacture sufficient quantities of product candidate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enrolling a sufficient number of patients to conduct our clinical trials, as well as, investigator-sponsored trials as planned;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and collect patient data adequately during and after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development plan becoming longer and more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our clinical trials, as well as, investigator-sponsored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terminating our existing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may not be able to accurately forecast clinical or commercial supply requirements and we may not meet or we may exceed our requirements as to quantities, scale-up, yield, cost, potency or quality in compliance with cGMP.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pStyle w:val="TextBody"/>
        <w:bidi w:val="0"/>
        <w:spacing w:before="240" w:after="283"/>
        <w:jc w:val="left"/>
        <w:rPr>
          <w:rFonts w:ascii="Times New Roman" w:hAnsi="Times New Roman"/>
          <w:sz w:val="20"/>
        </w:rPr>
      </w:pPr>
      <w:r>
        <w:rPr>
          <w:rFonts w:ascii="Times New Roman" w:hAnsi="Times New Roman"/>
          <w:color w:val="000000"/>
          <w:sz w:val="20"/>
        </w:rPr>
        <w:t>Please see also our risk factor titled “</w:t>
      </w:r>
      <w:r>
        <w:rPr>
          <w:rFonts w:ascii="Times New Roman" w:hAnsi="Times New Roman"/>
          <w:i/>
          <w:color w:val="000000"/>
          <w:sz w:val="20"/>
        </w:rPr>
        <w:t>We may have shortfalls, delays, or excesses in manufacturing.</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challenges associated with scale-up and attaining sufficient manufacturing yields;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additional suppliers and validation/qualification of additional facilities to meet growing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availability and shelf-life requirements of raw materials and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stability and product shelf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pandemics, floods, storms, earthquakes, tsunamis, and droughts, or accidents such as fire, that affect facilities, possibly limit or postpone production, and increase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 license to proprietary starting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may also elect to transition its manufacturing responsibilities to another party. There may be risks underlying this manufacturing transition, as well as new risks that may emerge after the new organization takes over manufacturing, if that were to happen.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narrower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in the development and commercialization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develop and commercialize new products with superior efficacy, convenience, tolerability, and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in many cases, the products that we commercialize will compete with existing marketed products of companies that have large, established commercial organizations.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will likely face competition from other companies developing products in the same diseases or indications in which we are developing or commercializing products, particularly for the prostate cancer market. We will also face competition for patient recruitment and enrollment for clinical trials.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Kyntra Bio are not able to compete effectively against existing and potential competitors, our business and financial condition may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publicity relating to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see the risk factor titled “</w:t>
      </w:r>
      <w:r>
        <w:rPr>
          <w:rFonts w:ascii="Times New Roman" w:hAnsi="Times New Roman"/>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for the evaluation period, we will be doing so under our investigational new drug application that references Fortis’s investigational new drug application. If Fortis were unwilling to cooperate with development efforts, our ability to develop FG-3246 (in conjunction with our PET biomarker) could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active collaboration agreements with respect to the development and commercialization of roxadustat with Astellas Pharma Inc.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agreements with Astellas provide them with the right to terminate their agreements for convenience or for breach, either of which could have an adverse effect on our business and operations. Moreover, if Astellas,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 collaboration agreement between the Company and AstraZeneca, effective as of July 2013, for the development and commercialization of roxadustat for the treatment of anemia in the U.S. and all other countries in the world, other than the People’s Republic of China (“China”), not previously licensed to Astellas (the “AstraZeneca U.S./RoW Agreement”) was terminated on February 25, 2024 as amended and restated on August 29, 2025 (except for South Korea). Our collaboration agreement with AstraZeneca for the development and commercialization of roxadustat for the treatment of anemia in China (the “AstraZeneca China Agreement”) culminated as a result of the completion of the sale of FibroGen International and its subsidiaries pursuant to the share purchase agreement entered into by the Company and AstraZeneca Treasury Limited on February 20, 2025, as amended on August 29, 2025 (the “Share Purchase Agreement”). This eliminates any additional potential milestones or other payments AstraZeneca could have made under the AstraZeneca U.S./RoW Agreement or the AstraZeneca China Agreement. And while we are now investigating new licensing opportunities for roxadustat, there can be no assurance that we will find such a partner or be able to agree to a license on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our collaboration partner Astellas is unsuccessful in their commercialization efforts in Europe and Japan, our results will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our own operating manufacturing facilities at this time.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manufacturing agreements, fees associated with such termination, or nonrenewal of manufacturing agreements with third parties may negatively impact our planned development and 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regulatory actions taken against one of our contract manufacturers for failure to adhere to GMP;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for Kyntra Bio to meet timing and volume obligations to Astellas or other partners due to insufficient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Kyntra Bio.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shortfalls, delays, or excesses in 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Kyntra 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additional delays in importing or exporting products, intermediates, or raw materials between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hAnsi="Times New Roman"/>
          <w:i/>
          <w:color w:val="000000"/>
          <w:sz w:val="20"/>
        </w:rPr>
        <w:t>inter partes</w:t>
      </w:r>
      <w:r>
        <w:rPr>
          <w:rFonts w:ascii="Times New Roman" w:hAnsi="Times New Roman"/>
          <w:color w:val="000000"/>
          <w:sz w:val="20"/>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disputes may be costly, time consuming, and may negatively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Counterfeit products, including counterfeit pharmaceutical products, can be a significant problem.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U.S., laws, regulations, and industry standards govern data privacy and security. For example, the European Union’s General Data Protection Regulation (“EU GDPR”) and the United Kingdom’s GDPR impose strict requirements for processing personal data, including health-related information. Specifically,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companies that transfer personal data out of the European Economic Area and the United Kingdom to other jurisdictions are subject to scrutiny from regulators, individual litigants, and activities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utilizing artificial intelligence (“AI”) within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restrictions on use of AI tools which may involve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a wide range of laws and regulations to prevent corruption, bribery, and other unethical business practices, including the U.S. Foreign Corrupt Practices Act (“FCPA”), anti-bribery and anti-corruption laws in other countries. The implementation and maintenance of compliance programs can be costly and such programs may be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these anti-bribery laws is expensive and difficult, particularly in countries in which corruption is a recognized problem.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it may result in material misstatements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impact of U.S. healthcare reform may adversely affect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new drug applications, Biologics License Applications), which can result in delays for regulatory action and adversely impact drug development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including intentional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manufacturing standards we have established;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unauthorized activities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Within the next year, we may face costs from the wind-up of the Cayman Subsidiary (as defined below), and may not receive some of the AZ Holdbacks (as defined below) related to the sale of FibroGen International and its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our Current Report on Form 8</w:t>
        <w:noBreakHyphen/>
        <w:t>K filed in February 20, 2025, we agreed to two holdback amounts from the consideration paid by AstraZeneca Treasury Limited (the “AZ Holdbacks”) in connection with the sale of FibroGen International and its subsidiaries. The AZ Holdbacks were subject to specified conditions, potential set</w:t>
        <w:noBreakHyphen/>
        <w:t>offs, indemnification claims, and dispute processes. While we received all of the $6.0 million holdback (plus an additional $0.4 million favorable net cash adjustment), we may not receive all of the $4.0 million remaining AZ holdback. We may not receive some of the second AZ Holdback, the amount may be reduced, and/or the timing of any release may be delayed, including due to claims or issues that are outside our control. In addition, there is a possibility that liabilities related to the sale of FibroGen International and its subsidiaries — such as post</w:t>
        <w:noBreakHyphen/>
        <w:t>closing adjustments, taxes, third</w:t>
        <w:noBreakHyphen/>
        <w:t xml:space="preserve">party or employee claims, product or commercial liabilities, compliance matters, or other indemnifiable losses—could exceed the AZ Holdback or fall outside its scope.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final AZ Holdback is received or finalized, we are planning on winding up FibroGen International (Cayman) Limited (the “Cayman Subsidiary”). The wind</w:t>
        <w:noBreakHyphen/>
        <w:t>up involves legal, regulatory, tax, accounting, and administrative steps. The timing, cost, and outcome of these steps are uncertain and may be impacted by claims or demands from stakeholders, which could require us to establish or increase reserves, provide additional documentation, or engage in dispute resolution or litigation. Any of these issues could delay any further distributions to shareholders of the Cayman Subsidiary and require additional management attention.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and China relations, as well as relations with other countries, and/or regulations may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including the SEC, has made statements and taken certain actions that have led to changes to U.S. and international relations, and will impact companies with connections to China, including imposing several rounds of tariffs affecting certain products manufactured in China. It is unknown whether and to what extent new legislation, executive orders, tariffs, laws or regulations will be adopted, or the effect that any such actions would have on companies with connections to China. We have business operations in the U.S., and conduct contract manufacturing in both the U.S. and China. Any unfavorable government policies on cross-border relations and/or international trade, including tariffs, may affect the import of products and product components from China. While we have thus far imported products manufactured in China under exemptions from tariffs, if we are unable to do so in the future, the Company could encounter additional costs to supply our product and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third party suppliers in China, and there are risks inherent to utilizing third-party manufacturing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suppliers are obligated to comply with cGMP requirements but there can be no assurance that they will maintain all of the appropriate licenses required to manufacture our product candidates for clinical and commercial use. Our product suppliers must continually spend time, money and effort in production, record-keeping and quality assurance and appropriate controls in order to ensure that any products manufactured in their facilities meet applicable specifications and other requirements for product safety, efficacy and quality but there can be no assurance that their efforts will continue to be successful in meeting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facilities in China are subject to periodic unannounced inspections by the National Medical Products Administration and other regulatory authorities. We expect to depend on these facilities for our product candidates, and we do not yet have a secondary source supplier for either roxadustat API. Consequently, we carry single source supplier risk for all countries we or our partners are selling in. Natural disasters or other unanticipated catastrophic events, including power interruptions, water shortages, storms, fires, pandemics, earthquakes, terrorist attacks, government appropriation of our facilities, and wars, could significantly impair our suppliers’ abilities to operate their manufacturing facilities. Certain equipment, records and other materials located in such facilities would be difficult to replace or would require substantial replacement lead-time that would impact our ability to successfully commercialize supply roxadustat API or other clinical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of manufacturing disruption due to geopolitical tensions in China and related to U.S. legislation impacting WuXi AppTec, WuXi Biologics, and WuXi XDC.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antibody-drug conjugate (“ADC”) drug substance and ADC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two lead product candidates in clinical development, roxadustat for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loss from continuing operations were $58.2 million and $153.1 million for the year ended December 31, 2025, and 2024, respectively. As of March 31, 2026, we had an accumulated deficit of $1.7 billion. As of March 31, 2026, we had capital resources from cash and cash equivalents of $37.0 million and short-term and long-term investments of $58.3 million. Despite the commercialization efforts of Astellas for roxadustat for the treatment of anemia caused by chronic kidney disease, we anticipate we will continue to incur losses on an annual basis for the foreseeable future. Furthermore, due to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financing may adversely affect the holdings or the rights of our stockholders. If we raise additional funds by issuing equity securities, dilution to our existing stockholders will result. Furthermore,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Our ability to satisfy and meet any future debt service obligations will depend upon our future performance, which will be subject to financial, business and other factors affecting our operations, many of which are beyond our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is subject to specific risks, including: (i) indemnification obligations to current and former officers and directors, which may require us to advance legal expenses or satisfy judgments or settlements that are not fully covered by insurance, as our insurance policies are subject to exclusions, coverage limits, and potential disputes with insurers; and (ii) our obligations under the Revenue Interest Financing Agreement (the “RIFA”) with an affiliate of NovaQuest Capital Management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material inducement for NovaQuest to enter into the RIFA, we granted NovaQuest a security interest over our rights, title and interest in and to the revenue interest payments and intellectual property related to roxadustat in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 RIFA with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this financing transaction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non-dilutive financing or enter into collaboration or partnership agreements of a certain size;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the above covenants may be affected by events beyond our control, and future breaches of any of the covenants could result in a default under the RIFA, or any future financing agreements. If not waived, future defaults could cause all of the outstanding indebtedness under either financing transaction to become immediately due and payable and NovaQuest could seek to enforce their security interest in assets that secure such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incur additional debt, the risks described above could increase.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regardless of their merits or their ultimate outcomes, are costly, divert management’s attention and may materially adversely affect our business, results of operations, financial condition, prospects, and stock price. Such costs may include indemnification for proceedings against our current or former officers, and there is one ongoing proceeding against a former officer where costs could be material but are uncertain at this time. Although we maintain insurance for certain potential liabilities, such insurance does not cover all types and amounts of potential liabilities and is subject to various exclusions and caps on amounts recoverable. Even if we believe a claim is covered by insurance, insurers may dispute its entitlement to recovery for a variety of potential reasons, which may affect the timing and, if the insurers prevail, the amount of our recovery.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time and resources across the entire organization, including our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product withdrawals or labeling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negatively impacting our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severe ransomware attacks are becoming increasingly prevalent and can lead to significant interruptions in our operations, loss of confidential, proprietary, and sensitive data and income, reputational harm, and diversion of funds. While it is possible that extortion payments may alleviate the negative impact of a ransomware attack, we may be unwilling or unable to make such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file timely public reports and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third party service providers may be exposed to natural disasters and other catastrophes.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party service, cloud and software-as-a-services (SaaS) platform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your purchase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at times experienced price volatility and may continue to be volatile. For example, during the 12-month period ended March 31, 2026, the closing price of our common stock on the Nasdaq Global Select Market has ranged from $5.16 per share to $12.38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release of results of and regulatory updates regarding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legislation or other regulatory developments affecting our product candidates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the biotechnology industry and particular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that our common stock could be delisted if we are unable to regain compliance with the Nasdaq Global Select Market or, if we are unable to transfer to the Nasdaq Capital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on April 2, 2026, we received a letter from the Nasdaq Listing Qualifications Staff of the Nasdaq Stock Market notifying us that Kyntra Bio no longer complies with the Nasdaq Global Select Market continued listing requirement of $50 million in total assets and total revenue for the most recently completed fiscal year (or two of the last three most recently completed fiscal years) per Listing Rule 5450(b)(3)(A). This is due to the revenue of FibroGen International being presented as held for sale (in discontinued operations) in our 2024 and 2025 10-Ks. We do not currently meet the alternative requirements of Listing Rule 5450(b) (either the shareholders’ equity or the market value of listed securities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notification received has no immediate effect on the listing of Kyntra Bio’s common stock on Nasdaq Global Select Market. Under the Nasdaq Rules, we have 45 days (May 18, 2026) to submit a plan to regain compliance and if such plan is accepted, Nasdaq may grant us with an extension of up to 180 days (September 29, 2026) to evidence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Listing Rule 5810(c)(2)(D), we may submit a plan that demonstrates current or near-term compliance with the listing requirements relating to stockholders’ equity or market value of listed securities. In determining whether to accept our plan, Nasdaq will consider such things as the likelihood that the plan will result in compliance with Nasdaq’s continued listing criteria, our past compliance history, the reasons for our current non-compliance, other corporate events that may occur within the review period, our overall financial condition, and our public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consider applying to transfer our securities to the Nasdaq Capital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stock is transferred from the Nasdaq Global Select Market to the Nasdaq Capital Market, we would continue to be listed on a Nasdaq market; however, such a transfer could be perceived negatively by investors. The Nasdaq Capital Market has less stringent listing requirements than the Nasdaq Global Select Market, and a transfer could signal to investors that we no longer meet the higher standards associated with the Nasdaq Global Select Market. As a result, the market price of our common stock could decline and the trading volume and liquidity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common stock would continue to be listed on a Nasdaq market following such a transfer, we could experience decrease analyst coverage and reduced market visibility compared to companies listed on the Nasdaq Global Select Market. This could make it more difficult for investors (including institutional investors) to obtain research coverage or accurate market information regarding our common stock. Any reduced liquidity or market interest could also result in negative publicity and could also make it more difficult for us to raise additional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compliance with the continued listing requirements of the Nasdaq Capital Market following such a transfer, or if we are unable to transfer and unable to regain compliance with the Nasdaq Global Select Market, our common stock could become subject to delisting. Delisting from the Nasdaq Global Select Market or any Nasdaq market could make trading our common stock more difficult for investors, potentially leading to declines in our share price and liquidity. In that event, the risks with respect to delisting include limited trading markets, ineligibility to sell securities under our current S-3 registration statement under certain circumstances, potential quotation on over-the-counter markets, and the possible application of “penny stock” rules (as “penny stock” is defined in the Exchange Act, and including coverage under Rule 15g-9 of the Exchange Act), and could further adversely affect the market for and value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stock that would dilute our existing stockholders’ percentage of ownership;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reprioritization of our development programs and even cessation of development and commercialization of our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operating results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particularly those of the acquired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prior to the end of their term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tax provision or exposure to additional tax liabilities could adversely affect our earnings and financial condition.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tax regulations in the U.S. and other jurisdictions in which we operate are extremely complex and subject to change. Changes in tax regulations could have an adverse effect on our results of operations and financial condition. On July 4, 2025, the One Big Beautiful Bill Act was signed into law in the U.S. which contains a broad range of tax reform provisions affecting businesses. We are still in the process of evaluating the legislation and an estimate of the financial impact cannot be made at this time.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Tariffs or other trade policy changes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Kyntra Bio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6104"/>
        <w:gridCol w:w="146"/>
        <w:gridCol w:w="511"/>
        <w:gridCol w:w="146"/>
        <w:gridCol w:w="749"/>
        <w:gridCol w:w="146"/>
        <w:gridCol w:w="631"/>
        <w:gridCol w:w="146"/>
        <w:gridCol w:w="731"/>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04/04/2025</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First Amendment to 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01/07/2026</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06/12/2025</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01/07/2026</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10_1.htm">
              <w:r>
                <w:rPr>
                  <w:rStyle w:val="InternetLink"/>
                  <w:rFonts w:ascii="Times New Roman" w:hAnsi="Times New Roman"/>
                  <w:color w:val="0000FF"/>
                  <w:sz w:val="20"/>
                  <w:u w:val="single"/>
                </w:rPr>
                <w:t>Non-Employee Director Compensation Policy, as amended April 10,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1_1.htm">
              <w:r>
                <w:rPr>
                  <w:rStyle w:val="InternetLink"/>
                  <w:rFonts w:ascii="Times New Roman" w:hAnsi="Times New Roman"/>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2_1.htm">
              <w:r>
                <w:rPr>
                  <w:rStyle w:val="InternetLink"/>
                  <w:rFonts w:ascii="Times New Roman" w:hAnsi="Times New Roman"/>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4844" w:type="dxa"/>
        <w:jc w:val="left"/>
        <w:tblInd w:w="0" w:type="dxa"/>
        <w:tblLayout w:type="fixed"/>
        <w:tblCellMar>
          <w:top w:w="28" w:type="dxa"/>
          <w:left w:w="28" w:type="dxa"/>
          <w:bottom w:w="28" w:type="dxa"/>
          <w:right w:w="28" w:type="dxa"/>
        </w:tblCellMar>
      </w:tblPr>
      <w:tblGrid>
        <w:gridCol w:w="1741"/>
        <w:gridCol w:w="146"/>
        <w:gridCol w:w="451"/>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KYNTRA BIO,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479" w:type="dxa"/>
        <w:jc w:val="left"/>
        <w:tblInd w:w="0" w:type="dxa"/>
        <w:tblLayout w:type="fixed"/>
        <w:tblCellMar>
          <w:top w:w="28" w:type="dxa"/>
          <w:left w:w="28" w:type="dxa"/>
          <w:bottom w:w="28" w:type="dxa"/>
          <w:right w:w="28" w:type="dxa"/>
        </w:tblCellMar>
      </w:tblPr>
      <w:tblGrid>
        <w:gridCol w:w="1741"/>
        <w:gridCol w:w="146"/>
        <w:gridCol w:w="451"/>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kynb-ex10_1.htm"/>
      <w:bookmarkStart w:id="24" w:name="kskynbex10_1"/>
      <w:bookmarkEnd w:id="23"/>
      <w:bookmarkEnd w:id="24"/>
      <w:r>
        <w:rPr>
          <w:rFonts w:ascii="Times New Roman" w:hAnsi="Times New Roman"/>
          <w:b/>
          <w:color w:val="000000"/>
          <w:sz w:val="20"/>
        </w:rPr>
        <w:t>Exhibit 10.1</w:t>
      </w:r>
      <w:r>
        <w:br w:type="page"/>
      </w:r>
    </w:p>
    <w:p>
      <w:pPr>
        <w:pStyle w:val="TextBody"/>
        <w:bidi w:val="0"/>
        <w:spacing w:before="0" w:after="16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Kyntra Bio, Inc.</w:t>
        <w:br/>
        <w:t>Non-Employee Director Compensation Policy</w:t>
      </w:r>
    </w:p>
    <w:p>
      <w:pPr>
        <w:pStyle w:val="TextBody"/>
        <w:bidi w:val="0"/>
        <w:spacing w:before="0" w:after="160"/>
        <w:jc w:val="left"/>
        <w:rPr>
          <w:rFonts w:ascii="Times New Roman" w:hAnsi="Times New Roman"/>
          <w:sz w:val="20"/>
        </w:rPr>
      </w:pPr>
      <w:r>
        <w:rPr>
          <w:rFonts w:ascii="Times New Roman" w:hAnsi="Times New Roman"/>
          <w:color w:val="000000"/>
          <w:sz w:val="20"/>
        </w:rPr>
        <w:t>This Non-Employee Director Compensation Policy (the “</w:t>
      </w:r>
      <w:r>
        <w:rPr>
          <w:rFonts w:ascii="Times New Roman" w:hAnsi="Times New Roman"/>
          <w:b/>
          <w:i/>
          <w:color w:val="000000"/>
          <w:sz w:val="20"/>
        </w:rPr>
        <w:t>Policy</w:t>
      </w:r>
      <w:r>
        <w:rPr>
          <w:rFonts w:ascii="Times New Roman" w:hAnsi="Times New Roman"/>
          <w:color w:val="000000"/>
          <w:sz w:val="20"/>
        </w:rPr>
        <w:t>”) documents the terms and conditions of the cash and equity compensation that non-employee members of the Board of Directors (the “</w:t>
      </w:r>
      <w:r>
        <w:rPr>
          <w:rFonts w:ascii="Times New Roman" w:hAnsi="Times New Roman"/>
          <w:b/>
          <w:i/>
          <w:color w:val="000000"/>
          <w:sz w:val="20"/>
        </w:rPr>
        <w:t>Board</w:t>
      </w:r>
      <w:r>
        <w:rPr>
          <w:rFonts w:ascii="Times New Roman" w:hAnsi="Times New Roman"/>
          <w:color w:val="000000"/>
          <w:sz w:val="20"/>
        </w:rPr>
        <w:t>”) of Kyntra Bio, Inc. (“</w:t>
      </w:r>
      <w:r>
        <w:rPr>
          <w:rFonts w:ascii="Times New Roman" w:hAnsi="Times New Roman"/>
          <w:b/>
          <w:i/>
          <w:color w:val="000000"/>
          <w:sz w:val="20"/>
        </w:rPr>
        <w:t>Kyntra Bio</w:t>
      </w:r>
      <w:r>
        <w:rPr>
          <w:rFonts w:ascii="Times New Roman" w:hAnsi="Times New Roman"/>
          <w:color w:val="000000"/>
          <w:sz w:val="20"/>
        </w:rPr>
        <w:t xml:space="preserve">”) may earn for their service on the Board from and after the initial public offering of the common stock of Kyntra Bio. </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Eligible Directors</w:t>
      </w:r>
    </w:p>
    <w:p>
      <w:pPr>
        <w:pStyle w:val="TextBody"/>
        <w:bidi w:val="0"/>
        <w:spacing w:before="0" w:after="160"/>
        <w:jc w:val="left"/>
        <w:rPr>
          <w:rFonts w:ascii="Times New Roman" w:hAnsi="Times New Roman"/>
          <w:sz w:val="20"/>
        </w:rPr>
      </w:pPr>
      <w:r>
        <w:rPr>
          <w:rFonts w:ascii="Times New Roman" w:hAnsi="Times New Roman"/>
          <w:color w:val="000000"/>
          <w:sz w:val="20"/>
        </w:rPr>
        <w:t>Only members of the Board who are not concurrently employees of Kyntra Bio are eligible for compensation under this Policy (each such member, a “</w:t>
      </w:r>
      <w:r>
        <w:rPr>
          <w:rFonts w:ascii="Times New Roman" w:hAnsi="Times New Roman"/>
          <w:b/>
          <w:i/>
          <w:color w:val="000000"/>
          <w:sz w:val="20"/>
        </w:rPr>
        <w:t>Director</w:t>
      </w:r>
      <w:r>
        <w:rPr>
          <w:rFonts w:ascii="Times New Roman" w:hAnsi="Times New Roman"/>
          <w:color w:val="000000"/>
          <w:sz w:val="20"/>
        </w:rPr>
        <w:t>”). Any director may also decline compensation per policy of their affiliated entity or for any other reason prior to the start of the period of service to which the compensation relates.</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Annual Cash Compensation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annual cash compensation set forth below is payable in equal quarterly installments, in arrears, on the last day of each quarter in which the service occurred, pro-rated for any partial quarters of service. All annual cash fees are vested upon payment.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Annual Board Service Retainer</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All Directors: $50,000</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Annual Committee Chair Service Fee (in lieu of non-Chair Service fee)</w:t>
      </w:r>
      <w:r>
        <w:rPr>
          <w:rFonts w:ascii="Times New Roman" w:hAnsi="Times New Roman"/>
          <w:color w:val="000000"/>
          <w:sz w:val="2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Chairman of the Audit Committee: $20,000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 Chairman of the Compensation Committee: $17,500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 Chairman of the Nominating and Governance Committee: $10,000</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Annual Committee Member (non-Chair) Service Fee</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Audit Committee: $10,000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 Compensation Committee: $7,500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 Nominating and Governance Committee: $5,000</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Annual Non-Executive Chairperson/Lead Independent Director Service Retainer</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Lead Independent Director: $22,500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 Non-Executive Chairperson: $50,000</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Annual Scientific Advisory Board Service Fee</w:t>
      </w:r>
      <w:r>
        <w:rPr>
          <w:rFonts w:ascii="Times New Roman" w:hAnsi="Times New Roman"/>
          <w:color w:val="000000"/>
          <w:sz w:val="2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$25,000</w:t>
      </w:r>
    </w:p>
    <w:p>
      <w:pPr>
        <w:pStyle w:val="TextBody"/>
        <w:bidi w:val="0"/>
        <w:spacing w:before="200" w:after="160"/>
        <w:jc w:val="both"/>
        <w:rPr>
          <w:rFonts w:ascii="Times New Roman" w:hAnsi="Times New Roman"/>
          <w:b/>
          <w:color w:val="000000"/>
          <w:sz w:val="20"/>
        </w:rPr>
      </w:pPr>
      <w:r>
        <w:rPr>
          <w:rFonts w:ascii="Times New Roman" w:hAnsi="Times New Roman"/>
          <w:b/>
          <w:color w:val="000000"/>
          <w:sz w:val="20"/>
        </w:rPr>
        <w:t>Equity Compensation</w:t>
      </w:r>
    </w:p>
    <w:p>
      <w:pPr>
        <w:pStyle w:val="TextBody"/>
        <w:bidi w:val="0"/>
        <w:spacing w:before="0" w:after="160"/>
        <w:jc w:val="both"/>
        <w:rPr>
          <w:rFonts w:ascii="Times New Roman" w:hAnsi="Times New Roman"/>
          <w:sz w:val="20"/>
        </w:rPr>
      </w:pPr>
      <w:r>
        <w:rPr>
          <w:rFonts w:ascii="Times New Roman" w:hAnsi="Times New Roman"/>
          <w:color w:val="000000"/>
          <w:sz w:val="20"/>
        </w:rPr>
        <w:t>Equity awards will be granted under the Kyntra Bio, Inc. 2024 Equity Incentive Plan (or any successor thereto, the “</w:t>
      </w:r>
      <w:r>
        <w:rPr>
          <w:rFonts w:ascii="Times New Roman" w:hAnsi="Times New Roman"/>
          <w:b/>
          <w:i/>
          <w:color w:val="000000"/>
          <w:sz w:val="20"/>
        </w:rPr>
        <w:t>Plan</w:t>
      </w:r>
      <w:r>
        <w:rPr>
          <w:rFonts w:ascii="Times New Roman" w:hAnsi="Times New Roman"/>
          <w:color w:val="000000"/>
          <w:sz w:val="20"/>
        </w:rPr>
        <w:t xml:space="preserve">”).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(or a duly authorized committee thereof) for Directors. The terms of the equity awards described in this Policy will be automatically adjusted upon any Capitalization Adjustment (as defined and provided for under the Plan).</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Initial Grant</w:t>
      </w:r>
      <w:r>
        <w:rPr>
          <w:rFonts w:ascii="Times New Roman" w:hAnsi="Times New Roman"/>
          <w:color w:val="000000"/>
          <w:sz w:val="20"/>
        </w:rPr>
        <w:t>. On the date of the Director’s initial election or appointment to the Board (or, if such date is not a market trading day, the first market trading day thereafter), the Director will be automatically, and without further action by the Board, granted a stock option award of 14,000 shares. Such awards will vest in equal quarterly installments over three years from the grant date, subject to the Director’s Continuous Service. A Director who, in the one year prior to his or her initial election to serve on the Board as a Director, served as an employee of Kyntra Bio or one of its subsidiaries, will not be eligible for an initial grant.</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Annual Grant</w:t>
      </w:r>
      <w:r>
        <w:rPr>
          <w:rFonts w:ascii="Times New Roman" w:hAnsi="Times New Roman"/>
          <w:color w:val="000000"/>
          <w:sz w:val="20"/>
        </w:rPr>
        <w:t xml:space="preserve">. Except as set forth in Paragraph 3 below,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 award of award of 7,000 shares. Such options vest in equal quarterly installments over one year from the grant date or on the annual meeting of the following year, whichever comes first. </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Prorated Annual Grants</w:t>
      </w:r>
      <w:r>
        <w:rPr>
          <w:rFonts w:ascii="Times New Roman" w:hAnsi="Times New Roman"/>
          <w:color w:val="000000"/>
          <w:sz w:val="20"/>
        </w:rPr>
        <w:t>. For any Director that is appointed on the day of an annual stockholder meeting, their initial grant (twice an annual grant) will be in lieu of their first annual grant. For any other newly elected or appointed Director, at their first annual stockholder meeting, their first annual grant will be automatically, and without further action by the Board, a stock option award of 7,000 shares multiplied by the Applicable Fraction (as defined below) (a “</w:t>
      </w:r>
      <w:r>
        <w:rPr>
          <w:rFonts w:ascii="Times New Roman" w:hAnsi="Times New Roman"/>
          <w:b/>
          <w:i/>
          <w:color w:val="000000"/>
          <w:sz w:val="20"/>
        </w:rPr>
        <w:t>Prorated Annual Grant</w:t>
      </w:r>
      <w:r>
        <w:rPr>
          <w:rFonts w:ascii="Times New Roman" w:hAnsi="Times New Roman"/>
          <w:color w:val="000000"/>
          <w:sz w:val="20"/>
        </w:rPr>
        <w:t>”). The “</w:t>
      </w:r>
      <w:r>
        <w:rPr>
          <w:rFonts w:ascii="Times New Roman" w:hAnsi="Times New Roman"/>
          <w:b/>
          <w:i/>
          <w:color w:val="000000"/>
          <w:sz w:val="20"/>
        </w:rPr>
        <w:t>Applicable Fraction</w:t>
      </w:r>
      <w:r>
        <w:rPr>
          <w:rFonts w:ascii="Times New Roman" w:hAnsi="Times New Roman"/>
          <w:color w:val="000000"/>
          <w:sz w:val="20"/>
        </w:rPr>
        <w:t xml:space="preserve">” means a fraction with (a) a numerator equal to the number of days between the date of the Director’s initial election or appointment to the Board and their first annual stockholder meeting, and (b) a denominator equal to 365. </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Option Value</w:t>
      </w:r>
      <w:r>
        <w:rPr>
          <w:rFonts w:ascii="Times New Roman" w:hAnsi="Times New Roman"/>
          <w:color w:val="000000"/>
          <w:sz w:val="20"/>
        </w:rPr>
        <w:t>. The value of a stock option to be granted under the Director Compensation Policy shall be determined using the same method the Company uses to calculate stock option awards to its employees, as approved by the Compensation Committee of the Board, using the grant date fair value, rounding down to the nearest share.</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RSU Value</w:t>
      </w:r>
      <w:r>
        <w:rPr>
          <w:rFonts w:ascii="Times New Roman" w:hAnsi="Times New Roman"/>
          <w:color w:val="000000"/>
          <w:sz w:val="20"/>
        </w:rPr>
        <w:t>. The number of shares subject to RSUs granted under the Director Compensation Policy shall be determined based on the closing price on the NASDAQ of the Company’s common on the grant date, rounded down to the nearest share.</w:t>
      </w:r>
    </w:p>
    <w:p>
      <w:pPr>
        <w:pStyle w:val="TextBody"/>
        <w:bidi w:val="0"/>
        <w:spacing w:before="80" w:after="160"/>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Vesting</w:t>
      </w:r>
      <w:r>
        <w:rPr>
          <w:rFonts w:ascii="Times New Roman" w:hAnsi="Times New Roman"/>
          <w:color w:val="000000"/>
          <w:sz w:val="20"/>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pStyle w:val="TextBody"/>
        <w:bidi w:val="0"/>
        <w:spacing w:before="200" w:after="160"/>
        <w:jc w:val="both"/>
        <w:rPr>
          <w:rFonts w:ascii="Times New Roman" w:hAnsi="Times New Roman"/>
          <w:b/>
          <w:color w:val="000000"/>
          <w:sz w:val="20"/>
        </w:rPr>
      </w:pPr>
      <w:r>
        <w:rPr>
          <w:rFonts w:ascii="Times New Roman" w:hAnsi="Times New Roman"/>
          <w:b/>
          <w:color w:val="000000"/>
          <w:sz w:val="20"/>
        </w:rPr>
        <w:t>Reimbursement of Expenses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will reimburse Directors for ordinary, necessary and reasonable out-of-pocket travel expenses to cover in-person attendance at and participation in Board meetings, and other activities performed in the course of their service on the Board.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360" w:after="160"/>
        <w:jc w:val="both"/>
        <w:rPr>
          <w:rFonts w:ascii="Times New Roman" w:hAnsi="Times New Roman"/>
          <w:b/>
          <w:color w:val="000000"/>
          <w:sz w:val="20"/>
        </w:rPr>
      </w:pPr>
      <w:r>
        <w:rPr>
          <w:rFonts w:ascii="Times New Roman" w:hAnsi="Times New Roman"/>
          <w:b/>
          <w:color w:val="000000"/>
          <w:sz w:val="20"/>
        </w:rPr>
        <w:t>Philosophy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Kyntra Bio, broader economic conditions, historical compensation structure, the advice of the compensation consultant that the Compensation Committee or the Board may retain from time to time, and the potential dilutive effect of equity awards on our stockholders.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Kyntra Bio’s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Adopted: September 17, 2014</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March 4, 2015</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February 23, 2016, Effective as of the 2016 Annual Meeting of Stockholders</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June 5, 2018</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June 5, 2019</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February 10, 2020</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April 13, 2022</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February 14, 2023</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January 1, 2024</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April 22, 2024</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April 10, 2026</w:t>
      </w:r>
    </w:p>
    <w:p>
      <w:pPr>
        <w:pStyle w:val="TextBody"/>
        <w:bidi w:val="0"/>
        <w:spacing w:before="0" w:after="160"/>
        <w:jc w:val="both"/>
        <w:rPr/>
      </w:pPr>
      <w:r>
        <w:rPr/>
        <w:t> </w:t>
      </w:r>
    </w:p>
    <w:p>
      <w:pPr>
        <w:pStyle w:val="TextBody"/>
        <w:bidi w:val="0"/>
        <w:spacing w:before="0" w:after="160"/>
        <w:jc w:val="center"/>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kynb-ex31_1.htm"/>
      <w:bookmarkStart w:id="26" w:name="kskynb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Thane Wettig,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Kyntra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262" w:type="dxa"/>
        <w:jc w:val="left"/>
        <w:tblInd w:w="0" w:type="dxa"/>
        <w:tblLayout w:type="fixed"/>
        <w:tblCellMar>
          <w:top w:w="28" w:type="dxa"/>
          <w:left w:w="28" w:type="dxa"/>
          <w:bottom w:w="28" w:type="dxa"/>
          <w:right w:w="28" w:type="dxa"/>
        </w:tblCellMar>
      </w:tblPr>
      <w:tblGrid>
        <w:gridCol w:w="1741"/>
        <w:gridCol w:w="2521"/>
      </w:tblGrid>
      <w:tr>
        <w:trPr/>
        <w:tc>
          <w:tcPr>
            <w:tcW w:w="174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Thane Wettig</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kynb-ex31_2.htm"/>
      <w:bookmarkStart w:id="28" w:name="kskynb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DeLucia,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Kyntra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927" w:type="dxa"/>
        <w:jc w:val="left"/>
        <w:tblInd w:w="0" w:type="dxa"/>
        <w:tblLayout w:type="fixed"/>
        <w:tblCellMar>
          <w:top w:w="28" w:type="dxa"/>
          <w:left w:w="28" w:type="dxa"/>
          <w:bottom w:w="28" w:type="dxa"/>
          <w:right w:w="28" w:type="dxa"/>
        </w:tblCellMar>
      </w:tblPr>
      <w:tblGrid>
        <w:gridCol w:w="1741"/>
        <w:gridCol w:w="4186"/>
      </w:tblGrid>
      <w:tr>
        <w:trPr/>
        <w:tc>
          <w:tcPr>
            <w:tcW w:w="174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DeLucia</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kynb-ex32_1.htm"/>
      <w:bookmarkStart w:id="30" w:name="kskynb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Thane Wettig, Chief Executive Officer of Kyntra Bio, Inc. (the “Company”), and David DeLucia,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12, 2026</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12</w:t>
      </w:r>
      <w:r>
        <w:rPr>
          <w:rFonts w:ascii="Times New Roman" w:hAnsi="Times New Roman"/>
          <w:color w:val="000000"/>
          <w:sz w:val="13"/>
        </w:rPr>
        <w:t>th</w:t>
      </w:r>
      <w:r>
        <w:rPr>
          <w:rFonts w:ascii="Times New Roman" w:hAnsi="Times New Roman"/>
          <w:color w:val="000000"/>
          <w:sz w:val="20"/>
        </w:rPr>
        <w:t xml:space="preserve"> day of May,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Kyntra Bio,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095017025051219/fgen-ex3_1.htm" TargetMode="External"/><Relationship Id="rId4" Type="http://schemas.openxmlformats.org/officeDocument/2006/relationships/hyperlink" Target="https://www.sec.gov/Archives/edgar/data/921299/000119312526006327/fgen-ex3_2.htm" TargetMode="External"/><Relationship Id="rId5" Type="http://schemas.openxmlformats.org/officeDocument/2006/relationships/hyperlink" Target="https://www.sec.gov/Archives/edgar/data/921299/000095017025085439/fgen-ex3_1.htm" TargetMode="External"/><Relationship Id="rId6" Type="http://schemas.openxmlformats.org/officeDocument/2006/relationships/hyperlink" Target="https://www.sec.gov/Archives/edgar/data/921299/000119312526006327/fgen-ex3_1.htm" TargetMode="External"/><Relationship Id="rId7" Type="http://schemas.openxmlformats.org/officeDocument/2006/relationships/hyperlink" Target="https://www.sec.gov/Archives/edgar/data/921299/000119312514420380/d824859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45104</Words>
  <Characters>254652</Characters>
  <CharactersWithSpaces>299885</CharactersWithSpaces>
  <Paragraphs>5042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