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gen-20230930.htm"/>
      <w:bookmarkStart w:id="1" w:name="ksfgen20230930"/>
      <w:bookmarkEnd w:id="0"/>
      <w:bookmarkEnd w:id="1"/>
      <w:r>
        <w:rPr/>
        <w:t> </w:t>
      </w:r>
    </w:p>
    <w:p>
      <w:pPr>
        <w:pStyle w:val="TextBody"/>
        <w:bidi w:val="0"/>
        <w:jc w:val="left"/>
        <w:rPr/>
      </w:pPr>
      <w:r>
        <w:rPr/>
        <w:t> </w:t>
      </w:r>
    </w:p>
    <w:p>
      <w:pPr>
        <w:pStyle w:val="TextBody"/>
        <w:bidi w:val="0"/>
        <w:jc w:val="left"/>
        <w:rPr/>
      </w:pPr>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aps/>
          <w:color w:val="000000"/>
          <w:sz w:val="36"/>
        </w:rPr>
        <w:t>F</w:t>
      </w:r>
      <w:r>
        <w:rPr>
          <w:rFonts w:ascii="Times New Roman" w:hAnsi="Times New Roman"/>
          <w:b/>
          <w:color w:val="000000"/>
          <w:sz w:val="36"/>
        </w:rPr>
        <w:t>orm 10-Q</w:t>
      </w:r>
    </w:p>
    <w:p>
      <w:pPr>
        <w:pStyle w:val="TextBody"/>
        <w:pBdr>
          <w:bottom w:val="single" w:sz="4" w:space="1" w:color="000000"/>
        </w:pBdr>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001-36740</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FIBROGEN,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063" w:type="dxa"/>
        <w:jc w:val="left"/>
        <w:tblInd w:w="0" w:type="dxa"/>
        <w:tblLayout w:type="fixed"/>
        <w:tblCellMar>
          <w:top w:w="28" w:type="dxa"/>
          <w:left w:w="28" w:type="dxa"/>
          <w:bottom w:w="28" w:type="dxa"/>
          <w:right w:w="28" w:type="dxa"/>
        </w:tblCellMar>
      </w:tblPr>
      <w:tblGrid>
        <w:gridCol w:w="2431"/>
        <w:gridCol w:w="146"/>
        <w:gridCol w:w="148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77-0357827</w:t>
            </w:r>
          </w:p>
        </w:tc>
      </w:tr>
      <w:tr>
        <w:trPr/>
        <w:tc>
          <w:tcPr>
            <w:tcW w:w="243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tbl>
      <w:tblPr>
        <w:tblW w:w="4093" w:type="dxa"/>
        <w:jc w:val="left"/>
        <w:tblInd w:w="0" w:type="dxa"/>
        <w:tblLayout w:type="fixed"/>
        <w:tblCellMar>
          <w:top w:w="28" w:type="dxa"/>
          <w:left w:w="28" w:type="dxa"/>
          <w:bottom w:w="28" w:type="dxa"/>
          <w:right w:w="28" w:type="dxa"/>
        </w:tblCellMar>
      </w:tblPr>
      <w:tblGrid>
        <w:gridCol w:w="3016"/>
        <w:gridCol w:w="146"/>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409 Illinois Street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pPr>
            <w:r>
              <w:rPr/>
              <w:t> </w:t>
            </w:r>
          </w:p>
        </w:tc>
      </w:tr>
      <w:tr>
        <w:trPr/>
        <w:tc>
          <w:tcPr>
            <w:tcW w:w="30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94158</w:t>
            </w:r>
          </w:p>
        </w:tc>
      </w:tr>
      <w:tr>
        <w:trPr/>
        <w:tc>
          <w:tcPr>
            <w:tcW w:w="30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(415) 978-1200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2731"/>
        <w:gridCol w:w="1501"/>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5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7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$0.01 par value</w:t>
            </w:r>
          </w:p>
        </w:tc>
        <w:tc>
          <w:tcPr>
            <w:tcW w:w="15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FGEN</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The Nasdaq Global Select Market</w:t>
            </w:r>
          </w:p>
        </w:tc>
      </w:tr>
    </w:tbl>
    <w:p>
      <w:pPr>
        <w:pStyle w:val="TextBody"/>
        <w:bidi w:val="0"/>
        <w:spacing w:before="80" w:after="283"/>
        <w:jc w:val="left"/>
        <w:rPr>
          <w:rFonts w:ascii="Times New Roman" w:hAnsi="Times New Roman"/>
          <w:sz w:val="20"/>
        </w:rPr>
      </w:pPr>
      <w:r>
        <w:rPr>
          <w:rFonts w:ascii="Times New Roman" w:hAnsi="Times New Roman"/>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20"/>
        </w:rPr>
        <w:t>No ☐</w:t>
      </w:r>
    </w:p>
    <w:p>
      <w:pPr>
        <w:pStyle w:val="TextBody"/>
        <w:bidi w:val="0"/>
        <w:spacing w:before="80" w:after="283"/>
        <w:jc w:val="left"/>
        <w:rPr>
          <w:rFonts w:ascii="Times New Roman" w:hAnsi="Times New Roman"/>
          <w:sz w:val="20"/>
        </w:rPr>
      </w:pPr>
      <w:r>
        <w:rPr>
          <w:rFonts w:ascii="Times New Roman" w:hAnsi="Times New Roman"/>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20"/>
        </w:rPr>
        <w:t>No ☐</w:t>
      </w:r>
    </w:p>
    <w:p>
      <w:pPr>
        <w:pStyle w:val="TextBody"/>
        <w:bidi w:val="0"/>
        <w:spacing w:before="80" w:after="283"/>
        <w:jc w:val="left"/>
        <w:rPr>
          <w:rFonts w:ascii="Times New Roman" w:hAnsi="Times New Roman"/>
          <w:b w:val="false"/>
          <w:color w:val="000000"/>
          <w:sz w:val="20"/>
        </w:rPr>
      </w:pPr>
      <w:r>
        <w:rPr>
          <w:rFonts w:ascii="Times New Roman" w:hAnsi="Times New Roman"/>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58" w:type="dxa"/>
        <w:jc w:val="left"/>
        <w:tblInd w:w="0" w:type="dxa"/>
        <w:tblLayout w:type="fixed"/>
        <w:tblCellMar>
          <w:top w:w="28" w:type="dxa"/>
          <w:left w:w="28" w:type="dxa"/>
          <w:bottom w:w="28" w:type="dxa"/>
          <w:right w:w="28" w:type="dxa"/>
        </w:tblCellMar>
      </w:tblPr>
      <w:tblGrid>
        <w:gridCol w:w="2142"/>
        <w:gridCol w:w="492"/>
        <w:gridCol w:w="2487"/>
        <w:gridCol w:w="537"/>
      </w:tblGrid>
      <w:tr>
        <w:trPr/>
        <w:tc>
          <w:tcPr>
            <w:tcW w:w="214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ind w:left="0" w:right="0" w:firstLine="176"/>
              <w:jc w:val="left"/>
              <w:rPr>
                <w:sz w:val="4"/>
                <w:szCs w:val="4"/>
              </w:rPr>
            </w:pPr>
            <w:r>
              <w:rPr>
                <w:sz w:val="4"/>
                <w:szCs w:val="4"/>
              </w:rPr>
            </w:r>
          </w:p>
        </w:tc>
      </w:tr>
      <w:tr>
        <w:trPr/>
        <w:tc>
          <w:tcPr>
            <w:tcW w:w="2142" w:type="dxa"/>
            <w:tcBorders/>
            <w:vAlign w:val="center"/>
          </w:tcPr>
          <w:p>
            <w:pPr>
              <w:pStyle w:val="TableContents"/>
              <w:bidi w:val="0"/>
              <w:spacing w:before="0" w:after="283"/>
              <w:ind w:left="0" w:right="0" w:firstLine="176"/>
              <w:jc w:val="left"/>
              <w:rPr>
                <w:rFonts w:ascii="Times New Roman" w:hAnsi="Times New Roman"/>
                <w:sz w:val="20"/>
              </w:rPr>
            </w:pPr>
            <w:r>
              <w:rPr>
                <w:rFonts w:ascii="Times New Roman" w:hAnsi="Times New Roman"/>
                <w:b w:val="false"/>
                <w:color w:val="000000"/>
                <w:sz w:val="20"/>
              </w:rPr>
              <w:t>Large accelerated filer</w:t>
            </w:r>
            <w:r>
              <w:rPr>
                <w:rFonts w:ascii="Times New Roman" w:hAnsi="Times New Roman"/>
                <w:color w:val="000000"/>
                <w:sz w:val="20"/>
              </w:rPr>
              <w:t xml:space="preserve"> </w:t>
            </w:r>
          </w:p>
        </w:tc>
        <w:tc>
          <w:tcPr>
            <w:tcW w:w="492" w:type="dxa"/>
            <w:tcBorders/>
            <w:vAlign w:val="center"/>
          </w:tcPr>
          <w:p>
            <w:pPr>
              <w:pStyle w:val="TableContents"/>
              <w:bidi w:val="0"/>
              <w:spacing w:before="0" w:after="283"/>
              <w:ind w:left="0" w:right="0" w:firstLine="176"/>
              <w:jc w:val="left"/>
              <w:rPr>
                <w:color w:val="000000"/>
              </w:rPr>
            </w:pPr>
            <w:r>
              <w:rPr>
                <w:color w:val="000000"/>
              </w:rPr>
              <w:t>☑</w:t>
            </w:r>
          </w:p>
        </w:tc>
        <w:tc>
          <w:tcPr>
            <w:tcW w:w="2487" w:type="dxa"/>
            <w:tcBorders/>
            <w:vAlign w:val="center"/>
          </w:tcPr>
          <w:p>
            <w:pPr>
              <w:pStyle w:val="TableContents"/>
              <w:bidi w:val="0"/>
              <w:spacing w:before="0" w:after="283"/>
              <w:ind w:left="0" w:right="0" w:firstLine="176"/>
              <w:jc w:val="left"/>
              <w:rPr>
                <w:rFonts w:ascii="Times New Roman" w:hAnsi="Times New Roman"/>
                <w:sz w:val="20"/>
              </w:rPr>
            </w:pPr>
            <w:r>
              <w:rPr>
                <w:rFonts w:ascii="Times New Roman" w:hAnsi="Times New Roman"/>
                <w:b w:val="false"/>
                <w:color w:val="000000"/>
                <w:sz w:val="20"/>
              </w:rPr>
              <w:t>Accelerated filer</w:t>
            </w:r>
            <w:r>
              <w:rPr>
                <w:rFonts w:ascii="Times New Roman" w:hAnsi="Times New Roman"/>
                <w:color w:val="000000"/>
                <w:sz w:val="20"/>
              </w:rPr>
              <w:t xml:space="preserve"> </w:t>
            </w:r>
          </w:p>
        </w:tc>
        <w:tc>
          <w:tcPr>
            <w:tcW w:w="537" w:type="dxa"/>
            <w:tcBorders/>
            <w:vAlign w:val="center"/>
          </w:tcPr>
          <w:p>
            <w:pPr>
              <w:pStyle w:val="TableContents"/>
              <w:bidi w:val="0"/>
              <w:spacing w:before="0" w:after="283"/>
              <w:ind w:left="0" w:right="0" w:firstLine="176"/>
              <w:jc w:val="left"/>
              <w:rPr>
                <w:color w:val="000000"/>
              </w:rPr>
            </w:pPr>
            <w:r>
              <w:rPr>
                <w:color w:val="000000"/>
              </w:rPr>
              <w:t>☐</w:t>
            </w:r>
          </w:p>
        </w:tc>
      </w:tr>
      <w:tr>
        <w:trPr/>
        <w:tc>
          <w:tcPr>
            <w:tcW w:w="2142" w:type="dxa"/>
            <w:tcBorders/>
            <w:vAlign w:val="center"/>
          </w:tcPr>
          <w:p>
            <w:pPr>
              <w:pStyle w:val="TableContents"/>
              <w:bidi w:val="0"/>
              <w:spacing w:before="0" w:after="283"/>
              <w:ind w:left="0" w:right="0" w:firstLine="176"/>
              <w:jc w:val="left"/>
              <w:rPr>
                <w:rFonts w:ascii="Times New Roman" w:hAnsi="Times New Roman"/>
                <w:b w:val="false"/>
                <w:color w:val="000000"/>
                <w:sz w:val="20"/>
              </w:rPr>
            </w:pPr>
            <w:r>
              <w:rPr>
                <w:rFonts w:ascii="Times New Roman" w:hAnsi="Times New Roman"/>
                <w:b w:val="false"/>
                <w:color w:val="000000"/>
                <w:sz w:val="20"/>
              </w:rPr>
              <w:t>Non-accelerated filer</w:t>
            </w:r>
          </w:p>
        </w:tc>
        <w:tc>
          <w:tcPr>
            <w:tcW w:w="492" w:type="dxa"/>
            <w:tcBorders/>
            <w:vAlign w:val="center"/>
          </w:tcPr>
          <w:p>
            <w:pPr>
              <w:pStyle w:val="TableContents"/>
              <w:bidi w:val="0"/>
              <w:spacing w:before="0" w:after="283"/>
              <w:ind w:left="0" w:right="0" w:firstLine="176"/>
              <w:jc w:val="left"/>
              <w:rPr>
                <w:color w:val="000000"/>
              </w:rPr>
            </w:pPr>
            <w:r>
              <w:rPr>
                <w:color w:val="000000"/>
              </w:rPr>
              <w:t>☐</w:t>
            </w:r>
          </w:p>
        </w:tc>
        <w:tc>
          <w:tcPr>
            <w:tcW w:w="2487" w:type="dxa"/>
            <w:tcBorders/>
            <w:vAlign w:val="center"/>
          </w:tcPr>
          <w:p>
            <w:pPr>
              <w:pStyle w:val="TableContents"/>
              <w:bidi w:val="0"/>
              <w:spacing w:before="0" w:after="283"/>
              <w:ind w:left="0" w:right="0" w:firstLine="176"/>
              <w:jc w:val="left"/>
              <w:rPr>
                <w:rFonts w:ascii="Times New Roman" w:hAnsi="Times New Roman"/>
                <w:b w:val="false"/>
                <w:color w:val="000000"/>
                <w:sz w:val="20"/>
              </w:rPr>
            </w:pPr>
            <w:r>
              <w:rPr>
                <w:rFonts w:ascii="Times New Roman" w:hAnsi="Times New Roman"/>
                <w:b w:val="false"/>
                <w:color w:val="000000"/>
                <w:sz w:val="20"/>
              </w:rPr>
              <w:t>Smaller reporting company</w:t>
            </w:r>
          </w:p>
        </w:tc>
        <w:tc>
          <w:tcPr>
            <w:tcW w:w="537" w:type="dxa"/>
            <w:tcBorders/>
            <w:vAlign w:val="center"/>
          </w:tcPr>
          <w:p>
            <w:pPr>
              <w:pStyle w:val="TableContents"/>
              <w:bidi w:val="0"/>
              <w:spacing w:before="0" w:after="283"/>
              <w:ind w:left="0" w:right="0" w:firstLine="176"/>
              <w:jc w:val="left"/>
              <w:rPr>
                <w:color w:val="000000"/>
              </w:rPr>
            </w:pPr>
            <w:r>
              <w:rPr>
                <w:color w:val="000000"/>
              </w:rPr>
              <w:t>☐</w:t>
            </w:r>
          </w:p>
        </w:tc>
      </w:tr>
      <w:tr>
        <w:trPr/>
        <w:tc>
          <w:tcPr>
            <w:tcW w:w="2142" w:type="dxa"/>
            <w:tcBorders/>
            <w:vAlign w:val="center"/>
          </w:tcPr>
          <w:p>
            <w:pPr>
              <w:pStyle w:val="TableContents"/>
              <w:bidi w:val="0"/>
              <w:spacing w:before="0" w:after="283"/>
              <w:ind w:left="0" w:right="0" w:firstLine="176"/>
              <w:jc w:val="left"/>
              <w:rPr/>
            </w:pPr>
            <w:r>
              <w:rPr/>
              <w:t> </w:t>
            </w:r>
          </w:p>
        </w:tc>
        <w:tc>
          <w:tcPr>
            <w:tcW w:w="492" w:type="dxa"/>
            <w:tcBorders/>
            <w:vAlign w:val="center"/>
          </w:tcPr>
          <w:p>
            <w:pPr>
              <w:pStyle w:val="TableContents"/>
              <w:bidi w:val="0"/>
              <w:spacing w:before="0" w:after="283"/>
              <w:ind w:left="0" w:right="0" w:firstLine="176"/>
              <w:jc w:val="left"/>
              <w:rPr>
                <w:sz w:val="4"/>
                <w:szCs w:val="4"/>
              </w:rPr>
            </w:pPr>
            <w:r>
              <w:rPr>
                <w:sz w:val="4"/>
                <w:szCs w:val="4"/>
              </w:rPr>
            </w:r>
          </w:p>
        </w:tc>
        <w:tc>
          <w:tcPr>
            <w:tcW w:w="2487" w:type="dxa"/>
            <w:tcBorders/>
            <w:vAlign w:val="center"/>
          </w:tcPr>
          <w:p>
            <w:pPr>
              <w:pStyle w:val="TableContents"/>
              <w:bidi w:val="0"/>
              <w:spacing w:before="0" w:after="283"/>
              <w:ind w:left="0" w:right="0" w:firstLine="176"/>
              <w:jc w:val="left"/>
              <w:rPr>
                <w:rFonts w:ascii="Times New Roman" w:hAnsi="Times New Roman"/>
                <w:b w:val="false"/>
                <w:color w:val="000000"/>
                <w:sz w:val="20"/>
              </w:rPr>
            </w:pPr>
            <w:r>
              <w:rPr>
                <w:rFonts w:ascii="Times New Roman" w:hAnsi="Times New Roman"/>
                <w:b w:val="false"/>
                <w:color w:val="000000"/>
                <w:sz w:val="20"/>
              </w:rPr>
              <w:t>Emerging growth company</w:t>
            </w:r>
          </w:p>
        </w:tc>
        <w:tc>
          <w:tcPr>
            <w:tcW w:w="537" w:type="dxa"/>
            <w:tcBorders/>
            <w:vAlign w:val="center"/>
          </w:tcPr>
          <w:p>
            <w:pPr>
              <w:pStyle w:val="TableContents"/>
              <w:bidi w:val="0"/>
              <w:spacing w:before="0" w:after="283"/>
              <w:ind w:left="176" w:right="0" w:firstLine="176"/>
              <w:jc w:val="left"/>
              <w:rPr>
                <w:color w:val="000000"/>
              </w:rPr>
            </w:pPr>
            <w:r>
              <w:rPr>
                <w:color w:val="000000"/>
              </w:rPr>
              <w:t>☐</w:t>
            </w:r>
          </w:p>
        </w:tc>
      </w:tr>
    </w:tbl>
    <w:p>
      <w:pPr>
        <w:pStyle w:val="TextBody"/>
        <w:bidi w:val="0"/>
        <w:spacing w:before="40" w:after="283"/>
        <w:jc w:val="left"/>
        <w:rPr>
          <w:rFonts w:ascii="Times New Roman" w:hAnsi="Times New Roman"/>
          <w:sz w:val="20"/>
        </w:rPr>
      </w:pPr>
      <w:r>
        <w:rPr>
          <w:rFonts w:ascii="Times New Roman" w:hAnsi="Times New Roman"/>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 xml:space="preserve">Indicate by check mark whether the registrant is a shell company (as defined in Exchange Act Rule 12b-2). Yes </w:t>
      </w:r>
      <w:r>
        <w:rPr>
          <w:rFonts w:ascii="Times New Roman" w:hAnsi="Times New Roman"/>
          <w:color w:val="000000"/>
          <w:sz w:val="20"/>
        </w:rPr>
        <w:t xml:space="preserve">☐ </w:t>
      </w:r>
      <w:r>
        <w:rPr>
          <w:rFonts w:ascii="Times New Roman" w:hAnsi="Times New Roman"/>
          <w:b w:val="false"/>
          <w:color w:val="000000"/>
          <w:sz w:val="20"/>
        </w:rPr>
        <w:t>No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number of shares of common stock outstanding as of October 31, 2023</w:t>
      </w:r>
      <w:r>
        <w:rPr>
          <w:rFonts w:ascii="Times New Roman" w:hAnsi="Times New Roman"/>
          <w:color w:val="000000"/>
          <w:sz w:val="20"/>
        </w:rPr>
        <w:t xml:space="preserve"> </w:t>
      </w:r>
      <w:r>
        <w:rPr>
          <w:rFonts w:ascii="Times New Roman" w:hAnsi="Times New Roman"/>
          <w:b w:val="false"/>
          <w:color w:val="000000"/>
          <w:sz w:val="20"/>
        </w:rPr>
        <w:t>was 98,340,219.</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2" w:name="toc"/>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8"/>
        <w:gridCol w:w="8649"/>
        <w:gridCol w:w="146"/>
        <w:gridCol w:w="482"/>
      </w:tblGrid>
      <w:tr>
        <w:trPr/>
        <w:tc>
          <w:tcPr>
            <w:tcW w:w="928" w:type="dxa"/>
            <w:tcBorders/>
            <w:vAlign w:val="center"/>
          </w:tcPr>
          <w:p>
            <w:pPr>
              <w:pStyle w:val="TableContents"/>
              <w:bidi w:val="0"/>
              <w:spacing w:before="0" w:after="283"/>
              <w:jc w:val="left"/>
              <w:rPr>
                <w:sz w:val="4"/>
                <w:szCs w:val="4"/>
              </w:rPr>
            </w:pPr>
            <w:r>
              <w:rPr>
                <w:sz w:val="4"/>
                <w:szCs w:val="4"/>
              </w:rPr>
            </w:r>
          </w:p>
        </w:tc>
        <w:tc>
          <w:tcPr>
            <w:tcW w:w="8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957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Page</w:t>
            </w:r>
          </w:p>
        </w:tc>
      </w:tr>
      <w:tr>
        <w:trPr/>
        <w:tc>
          <w:tcPr>
            <w:tcW w:w="9577" w:type="dxa"/>
            <w:gridSpan w:val="2"/>
            <w:tcBorders/>
            <w:vAlign w:val="center"/>
          </w:tcPr>
          <w:p>
            <w:pPr>
              <w:pStyle w:val="TableContents"/>
              <w:bidi w:val="0"/>
              <w:spacing w:before="0" w:after="283"/>
              <w:jc w:val="center"/>
              <w:rPr/>
            </w:pPr>
            <w:hyperlink w:anchor="part_ifinancial_information">
              <w:r>
                <w:rPr>
                  <w:rStyle w:val="InternetLink"/>
                  <w:rFonts w:ascii="Times New Roman" w:hAnsi="Times New Roman"/>
                  <w:b/>
                  <w:color w:val="0000FF"/>
                  <w:sz w:val="20"/>
                  <w:u w:val="single"/>
                </w:rPr>
                <w:t>PART I—FINANCIAL INFORMATION</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r>
      <w:tr>
        <w:trPr/>
        <w:tc>
          <w:tcPr>
            <w:tcW w:w="928" w:type="dxa"/>
            <w:tcBorders/>
            <w:vAlign w:val="center"/>
          </w:tcPr>
          <w:p>
            <w:pPr>
              <w:pStyle w:val="TableContents"/>
              <w:bidi w:val="0"/>
              <w:spacing w:before="0" w:after="283"/>
              <w:jc w:val="left"/>
              <w:rPr/>
            </w:pPr>
            <w:r>
              <w:rPr/>
              <w:t> </w:t>
            </w:r>
          </w:p>
        </w:tc>
        <w:tc>
          <w:tcPr>
            <w:tcW w:w="8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r>
      <w:tr>
        <w:trPr/>
        <w:tc>
          <w:tcPr>
            <w:tcW w:w="928" w:type="dxa"/>
            <w:tcBorders/>
            <w:vAlign w:val="center"/>
          </w:tcPr>
          <w:p>
            <w:pPr>
              <w:pStyle w:val="TableContents"/>
              <w:bidi w:val="0"/>
              <w:spacing w:before="0" w:after="283"/>
              <w:ind w:left="0" w:right="0" w:firstLine="245"/>
              <w:jc w:val="left"/>
              <w:rPr>
                <w:rFonts w:ascii="Times New Roman" w:hAnsi="Times New Roman"/>
                <w:b w:val="false"/>
                <w:color w:val="000000"/>
                <w:sz w:val="20"/>
              </w:rPr>
            </w:pPr>
            <w:r>
              <w:rPr>
                <w:rFonts w:ascii="Times New Roman" w:hAnsi="Times New Roman"/>
                <w:b w:val="false"/>
                <w:color w:val="000000"/>
                <w:sz w:val="20"/>
              </w:rPr>
              <w:t>Item 1.</w:t>
            </w:r>
          </w:p>
        </w:tc>
        <w:tc>
          <w:tcPr>
            <w:tcW w:w="8649" w:type="dxa"/>
            <w:tcBorders/>
            <w:vAlign w:val="center"/>
          </w:tcPr>
          <w:p>
            <w:pPr>
              <w:pStyle w:val="TableContents"/>
              <w:pBdr/>
              <w:bidi w:val="0"/>
              <w:spacing w:before="0" w:after="283"/>
              <w:ind w:left="0" w:right="0" w:hanging="245"/>
              <w:jc w:val="left"/>
              <w:rPr/>
            </w:pPr>
            <w:hyperlink w:anchor="item_1_condensed_consolidated_financial">
              <w:r>
                <w:rPr>
                  <w:rStyle w:val="InternetLink"/>
                  <w:rFonts w:ascii="Times New Roman" w:hAnsi="Times New Roman"/>
                  <w:b w:val="false"/>
                  <w:color w:val="0000FF"/>
                  <w:sz w:val="20"/>
                  <w:u w:val="single"/>
                </w:rPr>
                <w:t>Financial Statements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928" w:type="dxa"/>
            <w:tcBorders/>
            <w:vAlign w:val="center"/>
          </w:tcPr>
          <w:p>
            <w:pPr>
              <w:pStyle w:val="TableContents"/>
              <w:bidi w:val="0"/>
              <w:spacing w:before="0" w:after="283"/>
              <w:ind w:left="0" w:right="0" w:firstLine="245"/>
              <w:jc w:val="left"/>
              <w:rPr/>
            </w:pPr>
            <w:r>
              <w:rPr/>
              <w:t> </w:t>
            </w:r>
          </w:p>
        </w:tc>
        <w:tc>
          <w:tcPr>
            <w:tcW w:w="8649" w:type="dxa"/>
            <w:tcBorders/>
            <w:vAlign w:val="center"/>
          </w:tcPr>
          <w:p>
            <w:pPr>
              <w:pStyle w:val="TableContents"/>
              <w:pBdr/>
              <w:bidi w:val="0"/>
              <w:spacing w:before="0" w:after="283"/>
              <w:ind w:left="0" w:right="0" w:hanging="245"/>
              <w:jc w:val="left"/>
              <w:rPr/>
            </w:pPr>
            <w:hyperlink w:anchor="condensed_consolidated_balance_sheets">
              <w:r>
                <w:rPr>
                  <w:rStyle w:val="InternetLink"/>
                  <w:rFonts w:ascii="Times New Roman" w:hAnsi="Times New Roman"/>
                  <w:b w:val="false"/>
                  <w:color w:val="0000FF"/>
                  <w:sz w:val="20"/>
                  <w:u w:val="single"/>
                </w:rPr>
                <w:t>Condensed Consolidated Balance Sheets as of September 30, 2023 and December 31, 2022 (Unaudited)</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928" w:type="dxa"/>
            <w:tcBorders/>
            <w:vAlign w:val="center"/>
          </w:tcPr>
          <w:p>
            <w:pPr>
              <w:pStyle w:val="TableContents"/>
              <w:bidi w:val="0"/>
              <w:spacing w:before="0" w:after="283"/>
              <w:ind w:left="0" w:right="0" w:firstLine="245"/>
              <w:jc w:val="left"/>
              <w:rPr/>
            </w:pPr>
            <w:r>
              <w:rPr/>
              <w:t> </w:t>
            </w:r>
          </w:p>
        </w:tc>
        <w:tc>
          <w:tcPr>
            <w:tcW w:w="8649" w:type="dxa"/>
            <w:tcBorders/>
            <w:vAlign w:val="center"/>
          </w:tcPr>
          <w:p>
            <w:pPr>
              <w:pStyle w:val="TableContents"/>
              <w:pBdr/>
              <w:bidi w:val="0"/>
              <w:spacing w:before="0" w:after="283"/>
              <w:ind w:left="0" w:right="0" w:hanging="245"/>
              <w:jc w:val="left"/>
              <w:rPr/>
            </w:pPr>
            <w:hyperlink w:anchor="condensed_consolidated_statements_operat">
              <w:r>
                <w:rPr>
                  <w:rStyle w:val="InternetLink"/>
                  <w:rFonts w:ascii="Times New Roman" w:hAnsi="Times New Roman"/>
                  <w:b w:val="false"/>
                  <w:color w:val="0000FF"/>
                  <w:sz w:val="20"/>
                  <w:u w:val="single"/>
                </w:rPr>
                <w:t>Condensed Consolidated Statements of Operations for the Three and Nine Months Ended September 30, 2023 and 2022 (Unaudited)</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928" w:type="dxa"/>
            <w:tcBorders/>
            <w:vAlign w:val="center"/>
          </w:tcPr>
          <w:p>
            <w:pPr>
              <w:pStyle w:val="TableContents"/>
              <w:bidi w:val="0"/>
              <w:spacing w:before="0" w:after="283"/>
              <w:ind w:left="0" w:right="0" w:firstLine="245"/>
              <w:jc w:val="left"/>
              <w:rPr/>
            </w:pPr>
            <w:r>
              <w:rPr/>
              <w:t> </w:t>
            </w:r>
          </w:p>
        </w:tc>
        <w:tc>
          <w:tcPr>
            <w:tcW w:w="8649" w:type="dxa"/>
            <w:tcBorders/>
            <w:vAlign w:val="center"/>
          </w:tcPr>
          <w:p>
            <w:pPr>
              <w:pStyle w:val="TableContents"/>
              <w:pBdr/>
              <w:bidi w:val="0"/>
              <w:spacing w:before="0" w:after="283"/>
              <w:ind w:left="0" w:right="0" w:hanging="245"/>
              <w:jc w:val="left"/>
              <w:rPr/>
            </w:pPr>
            <w:hyperlink w:anchor="condensed_consolidated_statements_compre">
              <w:r>
                <w:rPr>
                  <w:rStyle w:val="InternetLink"/>
                  <w:rFonts w:ascii="Times New Roman" w:hAnsi="Times New Roman"/>
                  <w:b w:val="false"/>
                  <w:color w:val="0000FF"/>
                  <w:sz w:val="20"/>
                  <w:u w:val="single"/>
                </w:rPr>
                <w:t>Condensed Consolidated Statements of Comprehensive Loss for the Three and Nine Months Ended September 30, 2023 and 2022 (Unaudited)</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928" w:type="dxa"/>
            <w:tcBorders/>
            <w:vAlign w:val="center"/>
          </w:tcPr>
          <w:p>
            <w:pPr>
              <w:pStyle w:val="TableContents"/>
              <w:bidi w:val="0"/>
              <w:spacing w:before="0" w:after="283"/>
              <w:ind w:left="0" w:right="0" w:firstLine="245"/>
              <w:jc w:val="left"/>
              <w:rPr/>
            </w:pPr>
            <w:r>
              <w:rPr/>
              <w:t> </w:t>
            </w:r>
          </w:p>
        </w:tc>
        <w:tc>
          <w:tcPr>
            <w:tcW w:w="8649" w:type="dxa"/>
            <w:tcBorders/>
            <w:vAlign w:val="center"/>
          </w:tcPr>
          <w:p>
            <w:pPr>
              <w:pStyle w:val="TableContents"/>
              <w:pBdr/>
              <w:bidi w:val="0"/>
              <w:spacing w:before="0" w:after="283"/>
              <w:ind w:left="0" w:right="0" w:hanging="245"/>
              <w:jc w:val="left"/>
              <w:rPr/>
            </w:pPr>
            <w:hyperlink w:anchor="condensed_consolidated_statements_equity">
              <w:r>
                <w:rPr>
                  <w:rStyle w:val="InternetLink"/>
                  <w:rFonts w:ascii="Times New Roman" w:hAnsi="Times New Roman"/>
                  <w:b w:val="false"/>
                  <w:color w:val="0000FF"/>
                  <w:sz w:val="20"/>
                  <w:u w:val="single"/>
                </w:rPr>
                <w:t>Condensed Consolidated Statements of Changes in Stockholders’ Equity (Deficit) for the Three and Nine Months Ended September 30, 2023 and 2022 (Unaudited)</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928" w:type="dxa"/>
            <w:tcBorders/>
            <w:vAlign w:val="center"/>
          </w:tcPr>
          <w:p>
            <w:pPr>
              <w:pStyle w:val="TableContents"/>
              <w:bidi w:val="0"/>
              <w:spacing w:before="0" w:after="283"/>
              <w:ind w:left="0" w:right="0" w:firstLine="245"/>
              <w:jc w:val="left"/>
              <w:rPr/>
            </w:pPr>
            <w:r>
              <w:rPr/>
              <w:t> </w:t>
            </w:r>
          </w:p>
        </w:tc>
        <w:tc>
          <w:tcPr>
            <w:tcW w:w="8649" w:type="dxa"/>
            <w:tcBorders/>
            <w:vAlign w:val="center"/>
          </w:tcPr>
          <w:p>
            <w:pPr>
              <w:pStyle w:val="TableContents"/>
              <w:pBdr/>
              <w:bidi w:val="0"/>
              <w:spacing w:before="0" w:after="283"/>
              <w:ind w:left="0" w:right="0" w:hanging="245"/>
              <w:jc w:val="left"/>
              <w:rPr/>
            </w:pPr>
            <w:hyperlink w:anchor="condensed_consolidated_statements_cash_f">
              <w:r>
                <w:rPr>
                  <w:rStyle w:val="InternetLink"/>
                  <w:rFonts w:ascii="Times New Roman" w:hAnsi="Times New Roman"/>
                  <w:b w:val="false"/>
                  <w:color w:val="0000FF"/>
                  <w:sz w:val="20"/>
                  <w:u w:val="single"/>
                </w:rPr>
                <w:t>Condensed Consolidated Statements of Cash Flows for the Nine Months Ended September 30, 2023 and 2022 (Unaudited)</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928" w:type="dxa"/>
            <w:tcBorders/>
            <w:vAlign w:val="center"/>
          </w:tcPr>
          <w:p>
            <w:pPr>
              <w:pStyle w:val="TableContents"/>
              <w:bidi w:val="0"/>
              <w:spacing w:before="0" w:after="283"/>
              <w:ind w:left="0" w:right="0" w:firstLine="245"/>
              <w:jc w:val="left"/>
              <w:rPr/>
            </w:pPr>
            <w:r>
              <w:rPr/>
              <w:t> </w:t>
            </w:r>
          </w:p>
        </w:tc>
        <w:tc>
          <w:tcPr>
            <w:tcW w:w="8649" w:type="dxa"/>
            <w:tcBorders/>
            <w:vAlign w:val="center"/>
          </w:tcPr>
          <w:p>
            <w:pPr>
              <w:pStyle w:val="TableContents"/>
              <w:pBdr/>
              <w:bidi w:val="0"/>
              <w:spacing w:before="0" w:after="283"/>
              <w:ind w:left="0" w:right="0" w:hanging="245"/>
              <w:jc w:val="left"/>
              <w:rPr/>
            </w:pPr>
            <w:hyperlink w:anchor="notes_to_condensed_consolidated_financia">
              <w:r>
                <w:rPr>
                  <w:rStyle w:val="InternetLink"/>
                  <w:rFonts w:ascii="Times New Roman" w:hAnsi="Times New Roman"/>
                  <w:b w:val="false"/>
                  <w:color w:val="0000FF"/>
                  <w:sz w:val="20"/>
                  <w:u w:val="single"/>
                </w:rPr>
                <w:t>Notes to the Condensed Consolidated Financial Statements (Unaudited)</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r>
      <w:tr>
        <w:trPr/>
        <w:tc>
          <w:tcPr>
            <w:tcW w:w="928" w:type="dxa"/>
            <w:tcBorders/>
            <w:vAlign w:val="center"/>
          </w:tcPr>
          <w:p>
            <w:pPr>
              <w:pStyle w:val="TableContents"/>
              <w:bidi w:val="0"/>
              <w:spacing w:before="0" w:after="283"/>
              <w:ind w:left="0" w:right="0" w:firstLine="245"/>
              <w:jc w:val="left"/>
              <w:rPr>
                <w:rFonts w:ascii="Times New Roman" w:hAnsi="Times New Roman"/>
                <w:b w:val="false"/>
                <w:color w:val="000000"/>
                <w:sz w:val="20"/>
              </w:rPr>
            </w:pPr>
            <w:r>
              <w:rPr>
                <w:rFonts w:ascii="Times New Roman" w:hAnsi="Times New Roman"/>
                <w:b w:val="false"/>
                <w:color w:val="000000"/>
                <w:sz w:val="20"/>
              </w:rPr>
              <w:t>Item 2.</w:t>
            </w:r>
          </w:p>
        </w:tc>
        <w:tc>
          <w:tcPr>
            <w:tcW w:w="8649" w:type="dxa"/>
            <w:tcBorders/>
            <w:vAlign w:val="center"/>
          </w:tcPr>
          <w:p>
            <w:pPr>
              <w:pStyle w:val="TableContents"/>
              <w:pBdr/>
              <w:bidi w:val="0"/>
              <w:spacing w:before="0" w:after="283"/>
              <w:ind w:left="0" w:right="0" w:hanging="245"/>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r>
        <w:trPr/>
        <w:tc>
          <w:tcPr>
            <w:tcW w:w="928" w:type="dxa"/>
            <w:tcBorders/>
            <w:vAlign w:val="center"/>
          </w:tcPr>
          <w:p>
            <w:pPr>
              <w:pStyle w:val="TableContents"/>
              <w:bidi w:val="0"/>
              <w:spacing w:before="0" w:after="283"/>
              <w:ind w:left="0" w:right="0" w:firstLine="245"/>
              <w:jc w:val="left"/>
              <w:rPr>
                <w:rFonts w:ascii="Times New Roman" w:hAnsi="Times New Roman"/>
                <w:b w:val="false"/>
                <w:color w:val="000000"/>
                <w:sz w:val="20"/>
              </w:rPr>
            </w:pPr>
            <w:r>
              <w:rPr>
                <w:rFonts w:ascii="Times New Roman" w:hAnsi="Times New Roman"/>
                <w:b w:val="false"/>
                <w:color w:val="000000"/>
                <w:sz w:val="20"/>
              </w:rPr>
              <w:t>Item 3.</w:t>
            </w:r>
          </w:p>
        </w:tc>
        <w:tc>
          <w:tcPr>
            <w:tcW w:w="8649" w:type="dxa"/>
            <w:tcBorders/>
            <w:vAlign w:val="center"/>
          </w:tcPr>
          <w:p>
            <w:pPr>
              <w:pStyle w:val="TableContents"/>
              <w:pBdr/>
              <w:bidi w:val="0"/>
              <w:spacing w:before="0" w:after="283"/>
              <w:ind w:left="0" w:right="0" w:hanging="245"/>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r>
      <w:tr>
        <w:trPr/>
        <w:tc>
          <w:tcPr>
            <w:tcW w:w="928" w:type="dxa"/>
            <w:tcBorders/>
            <w:vAlign w:val="center"/>
          </w:tcPr>
          <w:p>
            <w:pPr>
              <w:pStyle w:val="TableContents"/>
              <w:bidi w:val="0"/>
              <w:spacing w:before="0" w:after="283"/>
              <w:ind w:left="0" w:right="0" w:firstLine="245"/>
              <w:jc w:val="left"/>
              <w:rPr>
                <w:rFonts w:ascii="Times New Roman" w:hAnsi="Times New Roman"/>
                <w:b w:val="false"/>
                <w:color w:val="000000"/>
                <w:sz w:val="20"/>
              </w:rPr>
            </w:pPr>
            <w:r>
              <w:rPr>
                <w:rFonts w:ascii="Times New Roman" w:hAnsi="Times New Roman"/>
                <w:b w:val="false"/>
                <w:color w:val="000000"/>
                <w:sz w:val="20"/>
              </w:rPr>
              <w:t>Item 4.</w:t>
            </w:r>
          </w:p>
        </w:tc>
        <w:tc>
          <w:tcPr>
            <w:tcW w:w="8649" w:type="dxa"/>
            <w:tcBorders/>
            <w:vAlign w:val="center"/>
          </w:tcPr>
          <w:p>
            <w:pPr>
              <w:pStyle w:val="TableContents"/>
              <w:pBdr/>
              <w:bidi w:val="0"/>
              <w:spacing w:before="0" w:after="283"/>
              <w:ind w:left="0" w:right="0" w:hanging="245"/>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r>
      <w:tr>
        <w:trPr/>
        <w:tc>
          <w:tcPr>
            <w:tcW w:w="928" w:type="dxa"/>
            <w:tcBorders/>
            <w:vAlign w:val="center"/>
          </w:tcPr>
          <w:p>
            <w:pPr>
              <w:pStyle w:val="TableContents"/>
              <w:bidi w:val="0"/>
              <w:spacing w:before="0" w:after="283"/>
              <w:jc w:val="left"/>
              <w:rPr/>
            </w:pPr>
            <w:r>
              <w:rPr/>
              <w:t> </w:t>
            </w:r>
          </w:p>
        </w:tc>
        <w:tc>
          <w:tcPr>
            <w:tcW w:w="8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r>
      <w:tr>
        <w:trPr/>
        <w:tc>
          <w:tcPr>
            <w:tcW w:w="9577" w:type="dxa"/>
            <w:gridSpan w:val="2"/>
            <w:tcBorders/>
            <w:vAlign w:val="center"/>
          </w:tcPr>
          <w:p>
            <w:pPr>
              <w:pStyle w:val="TableContents"/>
              <w:bidi w:val="0"/>
              <w:spacing w:before="0" w:after="283"/>
              <w:jc w:val="center"/>
              <w:rPr/>
            </w:pPr>
            <w:hyperlink w:anchor="part_iior_information">
              <w:r>
                <w:rPr>
                  <w:rStyle w:val="InternetLink"/>
                  <w:rFonts w:ascii="Times New Roman" w:hAnsi="Times New Roman"/>
                  <w:b/>
                  <w:color w:val="0000FF"/>
                  <w:sz w:val="20"/>
                  <w:u w:val="single"/>
                </w:rPr>
                <w:t>PART II—OTHER INFORMATION</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r>
      <w:tr>
        <w:trPr/>
        <w:tc>
          <w:tcPr>
            <w:tcW w:w="928" w:type="dxa"/>
            <w:tcBorders/>
            <w:vAlign w:val="center"/>
          </w:tcPr>
          <w:p>
            <w:pPr>
              <w:pStyle w:val="TableContents"/>
              <w:bidi w:val="0"/>
              <w:spacing w:before="0" w:after="283"/>
              <w:jc w:val="left"/>
              <w:rPr/>
            </w:pPr>
            <w:r>
              <w:rPr/>
              <w:t> </w:t>
            </w:r>
          </w:p>
        </w:tc>
        <w:tc>
          <w:tcPr>
            <w:tcW w:w="8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pPr>
            <w:r>
              <w:rPr/>
              <w:t> </w:t>
            </w:r>
          </w:p>
        </w:tc>
      </w:tr>
      <w:tr>
        <w:trPr/>
        <w:tc>
          <w:tcPr>
            <w:tcW w:w="928" w:type="dxa"/>
            <w:tcBorders/>
            <w:vAlign w:val="center"/>
          </w:tcPr>
          <w:p>
            <w:pPr>
              <w:pStyle w:val="TableContents"/>
              <w:bidi w:val="0"/>
              <w:spacing w:before="0" w:after="283"/>
              <w:ind w:left="0" w:right="0" w:firstLine="245"/>
              <w:jc w:val="left"/>
              <w:rPr>
                <w:rFonts w:ascii="Times New Roman" w:hAnsi="Times New Roman"/>
                <w:b w:val="false"/>
                <w:color w:val="000000"/>
                <w:sz w:val="20"/>
              </w:rPr>
            </w:pPr>
            <w:r>
              <w:rPr>
                <w:rFonts w:ascii="Times New Roman" w:hAnsi="Times New Roman"/>
                <w:b w:val="false"/>
                <w:color w:val="000000"/>
                <w:sz w:val="20"/>
              </w:rPr>
              <w:t>Item 1.</w:t>
            </w:r>
          </w:p>
        </w:tc>
        <w:tc>
          <w:tcPr>
            <w:tcW w:w="8649" w:type="dxa"/>
            <w:tcBorders/>
            <w:vAlign w:val="center"/>
          </w:tcPr>
          <w:p>
            <w:pPr>
              <w:pStyle w:val="TableContents"/>
              <w:pBdr/>
              <w:bidi w:val="0"/>
              <w:spacing w:before="0" w:after="283"/>
              <w:ind w:left="0" w:right="0" w:hanging="245"/>
              <w:jc w:val="left"/>
              <w:rPr/>
            </w:pPr>
            <w:hyperlink w:anchor="item_1_legal_proceedings">
              <w:r>
                <w:rPr>
                  <w:rStyle w:val="InternetLink"/>
                  <w:rFonts w:ascii="Times New Roman" w:hAnsi="Times New Roman"/>
                  <w:b w:val="false"/>
                  <w:color w:val="0000FF"/>
                  <w:sz w:val="20"/>
                  <w:u w:val="single"/>
                </w:rPr>
                <w:t>Legal Proceedings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r>
      <w:tr>
        <w:trPr/>
        <w:tc>
          <w:tcPr>
            <w:tcW w:w="928" w:type="dxa"/>
            <w:tcBorders/>
            <w:vAlign w:val="center"/>
          </w:tcPr>
          <w:p>
            <w:pPr>
              <w:pStyle w:val="TableContents"/>
              <w:bidi w:val="0"/>
              <w:spacing w:before="0" w:after="283"/>
              <w:ind w:left="0" w:right="0" w:firstLine="245"/>
              <w:jc w:val="left"/>
              <w:rPr>
                <w:rFonts w:ascii="Times New Roman" w:hAnsi="Times New Roman"/>
                <w:b w:val="false"/>
                <w:color w:val="000000"/>
                <w:sz w:val="20"/>
              </w:rPr>
            </w:pPr>
            <w:r>
              <w:rPr>
                <w:rFonts w:ascii="Times New Roman" w:hAnsi="Times New Roman"/>
                <w:b w:val="false"/>
                <w:color w:val="000000"/>
                <w:sz w:val="20"/>
              </w:rPr>
              <w:t>Item 1A.</w:t>
            </w:r>
          </w:p>
        </w:tc>
        <w:tc>
          <w:tcPr>
            <w:tcW w:w="8649" w:type="dxa"/>
            <w:tcBorders/>
            <w:vAlign w:val="center"/>
          </w:tcPr>
          <w:p>
            <w:pPr>
              <w:pStyle w:val="TableContents"/>
              <w:pBdr/>
              <w:bidi w:val="0"/>
              <w:spacing w:before="0" w:after="283"/>
              <w:ind w:left="0" w:right="0" w:hanging="245"/>
              <w:jc w:val="left"/>
              <w:rPr/>
            </w:pPr>
            <w:hyperlink w:anchor="item_1a_risk_factors">
              <w:r>
                <w:rPr>
                  <w:rStyle w:val="InternetLink"/>
                  <w:rFonts w:ascii="Times New Roman" w:hAnsi="Times New Roman"/>
                  <w:b w:val="false"/>
                  <w:color w:val="0000FF"/>
                  <w:sz w:val="20"/>
                  <w:u w:val="single"/>
                </w:rPr>
                <w:t>Risk Factors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r>
      <w:tr>
        <w:trPr/>
        <w:tc>
          <w:tcPr>
            <w:tcW w:w="928" w:type="dxa"/>
            <w:tcBorders/>
            <w:vAlign w:val="center"/>
          </w:tcPr>
          <w:p>
            <w:pPr>
              <w:pStyle w:val="TableContents"/>
              <w:bidi w:val="0"/>
              <w:spacing w:before="0" w:after="283"/>
              <w:ind w:left="0" w:right="0" w:firstLine="245"/>
              <w:jc w:val="left"/>
              <w:rPr>
                <w:rFonts w:ascii="Times New Roman" w:hAnsi="Times New Roman"/>
                <w:b w:val="false"/>
                <w:color w:val="000000"/>
                <w:sz w:val="20"/>
              </w:rPr>
            </w:pPr>
            <w:r>
              <w:rPr>
                <w:rFonts w:ascii="Times New Roman" w:hAnsi="Times New Roman"/>
                <w:b w:val="false"/>
                <w:color w:val="000000"/>
                <w:sz w:val="20"/>
              </w:rPr>
              <w:t>Item 2.</w:t>
            </w:r>
          </w:p>
        </w:tc>
        <w:tc>
          <w:tcPr>
            <w:tcW w:w="8649" w:type="dxa"/>
            <w:tcBorders/>
            <w:vAlign w:val="center"/>
          </w:tcPr>
          <w:p>
            <w:pPr>
              <w:pStyle w:val="TableContents"/>
              <w:pBdr/>
              <w:bidi w:val="0"/>
              <w:spacing w:before="0" w:after="283"/>
              <w:ind w:left="0" w:right="0" w:hanging="245"/>
              <w:jc w:val="left"/>
              <w:rPr/>
            </w:pPr>
            <w:hyperlink w:anchor="item_2_unregistered_sales_equity_securit">
              <w:r>
                <w:rPr>
                  <w:rStyle w:val="InternetLink"/>
                  <w:rFonts w:ascii="Times New Roman" w:hAnsi="Times New Roman"/>
                  <w:b w:val="false"/>
                  <w:color w:val="0000FF"/>
                  <w:sz w:val="20"/>
                  <w:u w:val="single"/>
                </w:rPr>
                <w:t>Unregistered Sales of Equity Securities and Use of Proceeds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r>
      <w:tr>
        <w:trPr/>
        <w:tc>
          <w:tcPr>
            <w:tcW w:w="928" w:type="dxa"/>
            <w:tcBorders/>
            <w:vAlign w:val="center"/>
          </w:tcPr>
          <w:p>
            <w:pPr>
              <w:pStyle w:val="TableContents"/>
              <w:bidi w:val="0"/>
              <w:spacing w:before="0" w:after="283"/>
              <w:ind w:left="0" w:right="0" w:firstLine="245"/>
              <w:jc w:val="left"/>
              <w:rPr>
                <w:rFonts w:ascii="Times New Roman" w:hAnsi="Times New Roman"/>
                <w:b w:val="false"/>
                <w:color w:val="000000"/>
                <w:sz w:val="20"/>
              </w:rPr>
            </w:pPr>
            <w:r>
              <w:rPr>
                <w:rFonts w:ascii="Times New Roman" w:hAnsi="Times New Roman"/>
                <w:b w:val="false"/>
                <w:color w:val="000000"/>
                <w:sz w:val="20"/>
              </w:rPr>
              <w:t>Item 3.</w:t>
            </w:r>
          </w:p>
        </w:tc>
        <w:tc>
          <w:tcPr>
            <w:tcW w:w="8649" w:type="dxa"/>
            <w:tcBorders/>
            <w:vAlign w:val="center"/>
          </w:tcPr>
          <w:p>
            <w:pPr>
              <w:pStyle w:val="TableContents"/>
              <w:pBdr/>
              <w:bidi w:val="0"/>
              <w:spacing w:before="0" w:after="283"/>
              <w:ind w:left="0" w:right="0" w:hanging="245"/>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r>
      <w:tr>
        <w:trPr/>
        <w:tc>
          <w:tcPr>
            <w:tcW w:w="928" w:type="dxa"/>
            <w:tcBorders/>
            <w:vAlign w:val="center"/>
          </w:tcPr>
          <w:p>
            <w:pPr>
              <w:pStyle w:val="TableContents"/>
              <w:bidi w:val="0"/>
              <w:spacing w:before="0" w:after="283"/>
              <w:ind w:left="0" w:right="0" w:firstLine="245"/>
              <w:jc w:val="left"/>
              <w:rPr>
                <w:rFonts w:ascii="Times New Roman" w:hAnsi="Times New Roman"/>
                <w:b w:val="false"/>
                <w:color w:val="000000"/>
                <w:sz w:val="20"/>
              </w:rPr>
            </w:pPr>
            <w:r>
              <w:rPr>
                <w:rFonts w:ascii="Times New Roman" w:hAnsi="Times New Roman"/>
                <w:b w:val="false"/>
                <w:color w:val="000000"/>
                <w:sz w:val="20"/>
              </w:rPr>
              <w:t>Item 4.</w:t>
            </w:r>
          </w:p>
        </w:tc>
        <w:tc>
          <w:tcPr>
            <w:tcW w:w="8649" w:type="dxa"/>
            <w:tcBorders/>
            <w:vAlign w:val="center"/>
          </w:tcPr>
          <w:p>
            <w:pPr>
              <w:pStyle w:val="TableContents"/>
              <w:pBdr/>
              <w:bidi w:val="0"/>
              <w:spacing w:before="0" w:after="283"/>
              <w:ind w:left="0" w:right="0" w:hanging="245"/>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r>
      <w:tr>
        <w:trPr/>
        <w:tc>
          <w:tcPr>
            <w:tcW w:w="928" w:type="dxa"/>
            <w:tcBorders/>
            <w:vAlign w:val="center"/>
          </w:tcPr>
          <w:p>
            <w:pPr>
              <w:pStyle w:val="TableContents"/>
              <w:bidi w:val="0"/>
              <w:spacing w:before="0" w:after="283"/>
              <w:ind w:left="0" w:right="0" w:firstLine="245"/>
              <w:jc w:val="left"/>
              <w:rPr>
                <w:rFonts w:ascii="Times New Roman" w:hAnsi="Times New Roman"/>
                <w:b w:val="false"/>
                <w:color w:val="000000"/>
                <w:sz w:val="20"/>
              </w:rPr>
            </w:pPr>
            <w:r>
              <w:rPr>
                <w:rFonts w:ascii="Times New Roman" w:hAnsi="Times New Roman"/>
                <w:b w:val="false"/>
                <w:color w:val="000000"/>
                <w:sz w:val="20"/>
              </w:rPr>
              <w:t>Item 5.</w:t>
            </w:r>
          </w:p>
        </w:tc>
        <w:tc>
          <w:tcPr>
            <w:tcW w:w="8649" w:type="dxa"/>
            <w:tcBorders/>
            <w:vAlign w:val="center"/>
          </w:tcPr>
          <w:p>
            <w:pPr>
              <w:pStyle w:val="TableContents"/>
              <w:pBdr/>
              <w:bidi w:val="0"/>
              <w:spacing w:before="0" w:after="283"/>
              <w:ind w:left="0" w:right="0" w:hanging="245"/>
              <w:jc w:val="left"/>
              <w:rPr/>
            </w:pPr>
            <w:hyperlink w:anchor="item_5_or_information">
              <w:r>
                <w:rPr>
                  <w:rStyle w:val="InternetLink"/>
                  <w:rFonts w:ascii="Times New Roman" w:hAnsi="Times New Roman"/>
                  <w:b w:val="false"/>
                  <w:color w:val="0000FF"/>
                  <w:sz w:val="20"/>
                  <w:u w:val="single"/>
                </w:rPr>
                <w:t>Other Information</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r>
      <w:tr>
        <w:trPr/>
        <w:tc>
          <w:tcPr>
            <w:tcW w:w="928" w:type="dxa"/>
            <w:tcBorders/>
            <w:vAlign w:val="center"/>
          </w:tcPr>
          <w:p>
            <w:pPr>
              <w:pStyle w:val="TableContents"/>
              <w:bidi w:val="0"/>
              <w:spacing w:before="0" w:after="283"/>
              <w:ind w:left="0" w:right="0" w:firstLine="245"/>
              <w:jc w:val="left"/>
              <w:rPr>
                <w:rFonts w:ascii="Times New Roman" w:hAnsi="Times New Roman"/>
                <w:b w:val="false"/>
                <w:color w:val="000000"/>
                <w:sz w:val="20"/>
              </w:rPr>
            </w:pPr>
            <w:r>
              <w:rPr>
                <w:rFonts w:ascii="Times New Roman" w:hAnsi="Times New Roman"/>
                <w:b w:val="false"/>
                <w:color w:val="000000"/>
                <w:sz w:val="20"/>
              </w:rPr>
              <w:t>Item 6.</w:t>
            </w:r>
          </w:p>
        </w:tc>
        <w:tc>
          <w:tcPr>
            <w:tcW w:w="8649" w:type="dxa"/>
            <w:tcBorders/>
            <w:vAlign w:val="center"/>
          </w:tcPr>
          <w:p>
            <w:pPr>
              <w:pStyle w:val="TableContents"/>
              <w:pBdr/>
              <w:bidi w:val="0"/>
              <w:spacing w:before="0" w:after="283"/>
              <w:ind w:left="0" w:right="0" w:hanging="245"/>
              <w:jc w:val="left"/>
              <w:rPr/>
            </w:pPr>
            <w:hyperlink w:anchor="item_6_exhibits">
              <w:r>
                <w:rPr>
                  <w:rStyle w:val="InternetLink"/>
                  <w:rFonts w:ascii="Times New Roman" w:hAnsi="Times New Roman"/>
                  <w:b w:val="false"/>
                  <w:color w:val="0000FF"/>
                  <w:sz w:val="20"/>
                  <w:u w:val="single"/>
                </w:rPr>
                <w:t>Exhibits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r>
      <w:tr>
        <w:trPr/>
        <w:tc>
          <w:tcPr>
            <w:tcW w:w="928" w:type="dxa"/>
            <w:tcBorders/>
            <w:vAlign w:val="center"/>
          </w:tcPr>
          <w:p>
            <w:pPr>
              <w:pStyle w:val="TableContents"/>
              <w:bidi w:val="0"/>
              <w:spacing w:before="0" w:after="283"/>
              <w:ind w:left="0" w:right="0" w:firstLine="245"/>
              <w:jc w:val="left"/>
              <w:rPr/>
            </w:pPr>
            <w:r>
              <w:rPr/>
              <w:t> </w:t>
            </w:r>
          </w:p>
        </w:tc>
        <w:tc>
          <w:tcPr>
            <w:tcW w:w="8649" w:type="dxa"/>
            <w:tcBorders/>
            <w:vAlign w:val="center"/>
          </w:tcPr>
          <w:p>
            <w:pPr>
              <w:pStyle w:val="TableContents"/>
              <w:pBdr/>
              <w:bidi w:val="0"/>
              <w:spacing w:before="0" w:after="283"/>
              <w:ind w:left="0" w:right="0" w:hanging="245"/>
              <w:jc w:val="left"/>
              <w:rPr/>
            </w:pPr>
            <w:hyperlink w:anchor="signatures">
              <w:r>
                <w:rPr>
                  <w:rStyle w:val="InternetLink"/>
                  <w:rFonts w:ascii="Times New Roman" w:hAnsi="Times New Roman"/>
                  <w:b w:val="false"/>
                  <w:color w:val="0000FF"/>
                  <w:sz w:val="20"/>
                  <w:u w:val="single"/>
                </w:rPr>
                <w:t>Signatures</w:t>
              </w:r>
            </w:hyperlink>
          </w:p>
        </w:tc>
        <w:tc>
          <w:tcPr>
            <w:tcW w:w="146"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60" w:after="283"/>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60" w:after="283"/>
        <w:jc w:val="left"/>
        <w:rPr>
          <w:rFonts w:ascii="Times New Roman" w:hAnsi="Times New Roman"/>
          <w:b/>
          <w:color w:val="000000"/>
          <w:sz w:val="20"/>
        </w:rPr>
      </w:pPr>
      <w:bookmarkStart w:id="4" w:name="item_1_condensed_consolidated_financial"/>
      <w:bookmarkEnd w:id="4"/>
      <w:r>
        <w:rPr>
          <w:rFonts w:ascii="Times New Roman" w:hAnsi="Times New Roman"/>
          <w:b/>
          <w:color w:val="000000"/>
          <w:sz w:val="20"/>
        </w:rPr>
        <w:t>ITEM 1. FINANCIAL STATEMENTS</w:t>
      </w:r>
    </w:p>
    <w:p>
      <w:pPr>
        <w:pStyle w:val="TextBody"/>
        <w:bidi w:val="0"/>
        <w:spacing w:before="60" w:after="283"/>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72"/>
        <w:gridCol w:w="246"/>
        <w:gridCol w:w="276"/>
        <w:gridCol w:w="1247"/>
        <w:gridCol w:w="246"/>
        <w:gridCol w:w="246"/>
        <w:gridCol w:w="267"/>
        <w:gridCol w:w="1212"/>
        <w:gridCol w:w="593"/>
      </w:tblGrid>
      <w:tr>
        <w:trPr/>
        <w:tc>
          <w:tcPr>
            <w:tcW w:w="587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5872"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5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246" w:type="dxa"/>
            <w:tcBorders/>
            <w:shd w:fill="CFF0FC" w:val="clear"/>
            <w:vAlign w:val="center"/>
          </w:tcPr>
          <w:p>
            <w:pPr>
              <w:pStyle w:val="TableContents"/>
              <w:bidi w:val="0"/>
              <w:spacing w:before="0" w:after="283"/>
              <w:jc w:val="left"/>
              <w:rPr/>
            </w:pPr>
            <w:r>
              <w:rPr/>
              <w:t> </w:t>
            </w:r>
          </w:p>
        </w:tc>
        <w:tc>
          <w:tcPr>
            <w:tcW w:w="1523"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479"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587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Current assets:</w:t>
            </w:r>
          </w:p>
        </w:tc>
        <w:tc>
          <w:tcPr>
            <w:tcW w:w="246" w:type="dxa"/>
            <w:tcBorders/>
            <w:shd w:fill="FFFFFF" w:val="clear"/>
            <w:vAlign w:val="center"/>
          </w:tcPr>
          <w:p>
            <w:pPr>
              <w:pStyle w:val="TableContents"/>
              <w:bidi w:val="0"/>
              <w:spacing w:before="0" w:after="283"/>
              <w:jc w:val="left"/>
              <w:rPr/>
            </w:pPr>
            <w:r>
              <w:rPr/>
              <w:t> </w:t>
            </w:r>
          </w:p>
        </w:tc>
        <w:tc>
          <w:tcPr>
            <w:tcW w:w="1523"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47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587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Cash and cash equivalents</w:t>
            </w:r>
          </w:p>
        </w:tc>
        <w:tc>
          <w:tcPr>
            <w:tcW w:w="2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2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120,914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21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155,700</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587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Short-term investments</w:t>
            </w:r>
          </w:p>
        </w:tc>
        <w:tc>
          <w:tcPr>
            <w:tcW w:w="2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130,426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266,308</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587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Accounts receivable, net ($22,916</w:t>
            </w:r>
            <w:r>
              <w:rPr>
                <w:rFonts w:ascii="Times New Roman" w:hAnsi="Times New Roman"/>
                <w:color w:val="000000"/>
                <w:sz w:val="20"/>
              </w:rPr>
              <w:t> </w:t>
            </w:r>
            <w:r>
              <w:rPr>
                <w:rFonts w:ascii="Times New Roman" w:hAnsi="Times New Roman"/>
                <w:b w:val="false"/>
                <w:color w:val="000000"/>
                <w:sz w:val="16"/>
              </w:rPr>
              <w:t>and $12,088</w:t>
            </w:r>
            <w:r>
              <w:rPr>
                <w:rFonts w:ascii="Times New Roman" w:hAnsi="Times New Roman"/>
                <w:color w:val="000000"/>
                <w:sz w:val="20"/>
              </w:rPr>
              <w:t> </w:t>
            </w:r>
            <w:r>
              <w:rPr>
                <w:rFonts w:ascii="Times New Roman" w:hAnsi="Times New Roman"/>
                <w:b w:val="false"/>
                <w:color w:val="000000"/>
                <w:sz w:val="16"/>
              </w:rPr>
              <w:t>from related parties)</w:t>
            </w:r>
          </w:p>
        </w:tc>
        <w:tc>
          <w:tcPr>
            <w:tcW w:w="2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2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31,694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16,299</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587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Inventories</w:t>
            </w:r>
          </w:p>
        </w:tc>
        <w:tc>
          <w:tcPr>
            <w:tcW w:w="2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40,696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40,436</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587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Prepaid expenses and other current assets</w:t>
            </w:r>
          </w:p>
        </w:tc>
        <w:tc>
          <w:tcPr>
            <w:tcW w:w="2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40,378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14,083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7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Total current assets</w:t>
            </w:r>
          </w:p>
        </w:tc>
        <w:tc>
          <w:tcPr>
            <w:tcW w:w="2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364,108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492,826</w:t>
            </w:r>
          </w:p>
        </w:tc>
        <w:tc>
          <w:tcPr>
            <w:tcW w:w="593" w:type="dxa"/>
            <w:tcBorders/>
            <w:shd w:fill="FFFFFF" w:val="clear"/>
            <w:vAlign w:val="center"/>
          </w:tcPr>
          <w:p>
            <w:pPr>
              <w:pStyle w:val="TableContents"/>
              <w:bidi w:val="0"/>
              <w:spacing w:before="0" w:after="283"/>
              <w:jc w:val="left"/>
              <w:rPr/>
            </w:pPr>
            <w:r>
              <w:rPr/>
              <w:t> </w:t>
            </w:r>
          </w:p>
        </w:tc>
      </w:tr>
      <w:tr>
        <w:trPr/>
        <w:tc>
          <w:tcPr>
            <w:tcW w:w="587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Restricted time deposits</w:t>
            </w:r>
          </w:p>
        </w:tc>
        <w:tc>
          <w:tcPr>
            <w:tcW w:w="2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2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2,072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2,072</w:t>
            </w:r>
          </w:p>
        </w:tc>
        <w:tc>
          <w:tcPr>
            <w:tcW w:w="593" w:type="dxa"/>
            <w:tcBorders/>
            <w:shd w:fill="CFF0FC" w:val="clear"/>
            <w:vAlign w:val="center"/>
          </w:tcPr>
          <w:p>
            <w:pPr>
              <w:pStyle w:val="TableContents"/>
              <w:bidi w:val="0"/>
              <w:spacing w:before="0" w:after="283"/>
              <w:jc w:val="left"/>
              <w:rPr/>
            </w:pPr>
            <w:r>
              <w:rPr/>
              <w:t> </w:t>
            </w:r>
          </w:p>
        </w:tc>
      </w:tr>
      <w:tr>
        <w:trPr/>
        <w:tc>
          <w:tcPr>
            <w:tcW w:w="587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Long-term investments</w:t>
            </w:r>
          </w:p>
        </w:tc>
        <w:tc>
          <w:tcPr>
            <w:tcW w:w="2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4,348</w:t>
            </w:r>
          </w:p>
        </w:tc>
        <w:tc>
          <w:tcPr>
            <w:tcW w:w="593" w:type="dxa"/>
            <w:tcBorders/>
            <w:shd w:fill="FFFFFF" w:val="clear"/>
            <w:vAlign w:val="center"/>
          </w:tcPr>
          <w:p>
            <w:pPr>
              <w:pStyle w:val="TableContents"/>
              <w:bidi w:val="0"/>
              <w:spacing w:before="0" w:after="283"/>
              <w:jc w:val="left"/>
              <w:rPr/>
            </w:pPr>
            <w:r>
              <w:rPr/>
              <w:t> </w:t>
            </w:r>
          </w:p>
        </w:tc>
      </w:tr>
      <w:tr>
        <w:trPr/>
        <w:tc>
          <w:tcPr>
            <w:tcW w:w="587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Property and equipment, net</w:t>
            </w:r>
          </w:p>
        </w:tc>
        <w:tc>
          <w:tcPr>
            <w:tcW w:w="2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2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14,512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20,605</w:t>
            </w:r>
          </w:p>
        </w:tc>
        <w:tc>
          <w:tcPr>
            <w:tcW w:w="593" w:type="dxa"/>
            <w:tcBorders/>
            <w:shd w:fill="CFF0FC" w:val="clear"/>
            <w:vAlign w:val="center"/>
          </w:tcPr>
          <w:p>
            <w:pPr>
              <w:pStyle w:val="TableContents"/>
              <w:bidi w:val="0"/>
              <w:spacing w:before="0" w:after="283"/>
              <w:jc w:val="left"/>
              <w:rPr/>
            </w:pPr>
            <w:r>
              <w:rPr/>
              <w:t> </w:t>
            </w:r>
          </w:p>
        </w:tc>
      </w:tr>
      <w:tr>
        <w:trPr/>
        <w:tc>
          <w:tcPr>
            <w:tcW w:w="587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 method investment in unconsolidated variable interest entity</w:t>
            </w:r>
          </w:p>
        </w:tc>
        <w:tc>
          <w:tcPr>
            <w:tcW w:w="2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4,534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5,061</w:t>
            </w:r>
          </w:p>
        </w:tc>
        <w:tc>
          <w:tcPr>
            <w:tcW w:w="593" w:type="dxa"/>
            <w:tcBorders/>
            <w:shd w:fill="FFFFFF" w:val="clear"/>
            <w:vAlign w:val="center"/>
          </w:tcPr>
          <w:p>
            <w:pPr>
              <w:pStyle w:val="TableContents"/>
              <w:bidi w:val="0"/>
              <w:spacing w:before="0" w:after="283"/>
              <w:jc w:val="left"/>
              <w:rPr/>
            </w:pPr>
            <w:r>
              <w:rPr/>
              <w:t> </w:t>
            </w:r>
          </w:p>
        </w:tc>
      </w:tr>
      <w:tr>
        <w:trPr/>
        <w:tc>
          <w:tcPr>
            <w:tcW w:w="587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Operating lease right-of-use assets</w:t>
            </w:r>
          </w:p>
        </w:tc>
        <w:tc>
          <w:tcPr>
            <w:tcW w:w="2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2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71,248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79,893</w:t>
            </w:r>
          </w:p>
        </w:tc>
        <w:tc>
          <w:tcPr>
            <w:tcW w:w="593" w:type="dxa"/>
            <w:tcBorders/>
            <w:shd w:fill="CFF0FC" w:val="clear"/>
            <w:vAlign w:val="center"/>
          </w:tcPr>
          <w:p>
            <w:pPr>
              <w:pStyle w:val="TableContents"/>
              <w:bidi w:val="0"/>
              <w:spacing w:before="0" w:after="283"/>
              <w:jc w:val="left"/>
              <w:rPr/>
            </w:pPr>
            <w:r>
              <w:rPr/>
              <w:t> </w:t>
            </w:r>
          </w:p>
        </w:tc>
      </w:tr>
      <w:tr>
        <w:trPr/>
        <w:tc>
          <w:tcPr>
            <w:tcW w:w="587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Other assets</w:t>
            </w:r>
          </w:p>
        </w:tc>
        <w:tc>
          <w:tcPr>
            <w:tcW w:w="2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3,952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5,282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72"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assets</w:t>
            </w:r>
          </w:p>
        </w:tc>
        <w:tc>
          <w:tcPr>
            <w:tcW w:w="2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460,426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610,087</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72"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523"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47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587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redeemable non-controlling interests and deficit</w:t>
            </w:r>
          </w:p>
        </w:tc>
        <w:tc>
          <w:tcPr>
            <w:tcW w:w="246" w:type="dxa"/>
            <w:tcBorders/>
            <w:shd w:fill="CFF0FC" w:val="clear"/>
            <w:vAlign w:val="center"/>
          </w:tcPr>
          <w:p>
            <w:pPr>
              <w:pStyle w:val="TableContents"/>
              <w:bidi w:val="0"/>
              <w:spacing w:before="0" w:after="283"/>
              <w:jc w:val="left"/>
              <w:rPr/>
            </w:pPr>
            <w:r>
              <w:rPr/>
              <w:t> </w:t>
            </w:r>
          </w:p>
        </w:tc>
        <w:tc>
          <w:tcPr>
            <w:tcW w:w="1523"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479"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587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Current liabilities:</w:t>
            </w:r>
          </w:p>
        </w:tc>
        <w:tc>
          <w:tcPr>
            <w:tcW w:w="246" w:type="dxa"/>
            <w:tcBorders/>
            <w:shd w:fill="FFFFFF" w:val="clear"/>
            <w:vAlign w:val="center"/>
          </w:tcPr>
          <w:p>
            <w:pPr>
              <w:pStyle w:val="TableContents"/>
              <w:bidi w:val="0"/>
              <w:spacing w:before="0" w:after="283"/>
              <w:ind w:left="0" w:right="0" w:firstLine="100"/>
              <w:jc w:val="left"/>
              <w:rPr/>
            </w:pPr>
            <w:r>
              <w:rPr/>
              <w:t> </w:t>
            </w:r>
          </w:p>
        </w:tc>
        <w:tc>
          <w:tcPr>
            <w:tcW w:w="1523" w:type="dxa"/>
            <w:gridSpan w:val="2"/>
            <w:tcBorders/>
            <w:shd w:fill="FFFFFF" w:val="clear"/>
            <w:vAlign w:val="center"/>
          </w:tcPr>
          <w:p>
            <w:pPr>
              <w:pStyle w:val="TableContents"/>
              <w:bidi w:val="0"/>
              <w:spacing w:before="0" w:after="283"/>
              <w:ind w:left="100" w:right="0" w:firstLine="100"/>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479" w:type="dxa"/>
            <w:gridSpan w:val="2"/>
            <w:tcBorders/>
            <w:shd w:fill="FFFFFF" w:val="clear"/>
            <w:vAlign w:val="center"/>
          </w:tcPr>
          <w:p>
            <w:pPr>
              <w:pStyle w:val="TableContents"/>
              <w:bidi w:val="0"/>
              <w:spacing w:before="0" w:after="283"/>
              <w:ind w:left="100" w:right="0" w:firstLine="100"/>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587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Accounts payable</w:t>
            </w:r>
          </w:p>
        </w:tc>
        <w:tc>
          <w:tcPr>
            <w:tcW w:w="2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2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19,220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21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30,758</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587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Accrued and other current liabilities ($29,157</w:t>
            </w:r>
            <w:r>
              <w:rPr>
                <w:rFonts w:ascii="Times New Roman" w:hAnsi="Times New Roman"/>
                <w:color w:val="000000"/>
                <w:sz w:val="20"/>
              </w:rPr>
              <w:t> </w:t>
            </w:r>
            <w:r>
              <w:rPr>
                <w:rFonts w:ascii="Times New Roman" w:hAnsi="Times New Roman"/>
                <w:b w:val="false"/>
                <w:color w:val="000000"/>
                <w:sz w:val="16"/>
              </w:rPr>
              <w:t>and $63,886</w:t>
            </w:r>
            <w:r>
              <w:rPr>
                <w:rFonts w:ascii="Times New Roman" w:hAnsi="Times New Roman"/>
                <w:color w:val="000000"/>
                <w:sz w:val="20"/>
              </w:rPr>
              <w:t> </w:t>
            </w:r>
            <w:r>
              <w:rPr>
                <w:rFonts w:ascii="Times New Roman" w:hAnsi="Times New Roman"/>
                <w:b w:val="false"/>
                <w:color w:val="000000"/>
                <w:sz w:val="16"/>
              </w:rPr>
              <w:t>to a related party)</w:t>
            </w:r>
          </w:p>
        </w:tc>
        <w:tc>
          <w:tcPr>
            <w:tcW w:w="2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170,986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219,773</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587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Deferred revenue ($5,482</w:t>
            </w:r>
            <w:r>
              <w:rPr>
                <w:rFonts w:ascii="Times New Roman" w:hAnsi="Times New Roman"/>
                <w:color w:val="000000"/>
                <w:sz w:val="20"/>
              </w:rPr>
              <w:t> </w:t>
            </w:r>
            <w:r>
              <w:rPr>
                <w:rFonts w:ascii="Times New Roman" w:hAnsi="Times New Roman"/>
                <w:b w:val="false"/>
                <w:color w:val="000000"/>
                <w:sz w:val="16"/>
              </w:rPr>
              <w:t>and $9,259</w:t>
            </w:r>
            <w:r>
              <w:rPr>
                <w:rFonts w:ascii="Times New Roman" w:hAnsi="Times New Roman"/>
                <w:color w:val="000000"/>
                <w:sz w:val="20"/>
              </w:rPr>
              <w:t> </w:t>
            </w:r>
            <w:r>
              <w:rPr>
                <w:rFonts w:ascii="Times New Roman" w:hAnsi="Times New Roman"/>
                <w:b w:val="false"/>
                <w:color w:val="000000"/>
                <w:sz w:val="16"/>
              </w:rPr>
              <w:t>to related parties)</w:t>
            </w:r>
          </w:p>
        </w:tc>
        <w:tc>
          <w:tcPr>
            <w:tcW w:w="2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2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7,325</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12,739</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587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Operating lease liabilities, current</w:t>
            </w:r>
          </w:p>
        </w:tc>
        <w:tc>
          <w:tcPr>
            <w:tcW w:w="2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11,884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10,292</w:t>
            </w:r>
          </w:p>
        </w:tc>
        <w:tc>
          <w:tcPr>
            <w:tcW w:w="593" w:type="dxa"/>
            <w:tcBorders/>
            <w:shd w:fill="FFFFFF" w:val="clear"/>
            <w:vAlign w:val="center"/>
          </w:tcPr>
          <w:p>
            <w:pPr>
              <w:pStyle w:val="TableContents"/>
              <w:bidi w:val="0"/>
              <w:spacing w:before="0" w:after="283"/>
              <w:ind w:left="0" w:right="0" w:firstLine="400"/>
              <w:jc w:val="left"/>
              <w:rPr/>
            </w:pPr>
            <w:r>
              <w:rPr/>
              <w:t> </w:t>
            </w:r>
          </w:p>
        </w:tc>
      </w:tr>
      <w:tr>
        <w:trPr/>
        <w:tc>
          <w:tcPr>
            <w:tcW w:w="587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Total current liabilities</w:t>
            </w:r>
          </w:p>
        </w:tc>
        <w:tc>
          <w:tcPr>
            <w:tcW w:w="246" w:type="dxa"/>
            <w:tcBorders/>
            <w:shd w:fill="CFF0FC" w:val="clear"/>
            <w:vAlign w:val="center"/>
          </w:tcPr>
          <w:p>
            <w:pPr>
              <w:pStyle w:val="TableContents"/>
              <w:bidi w:val="0"/>
              <w:spacing w:before="0" w:after="283"/>
              <w:jc w:val="left"/>
              <w:rPr/>
            </w:pPr>
            <w:r>
              <w:rPr/>
              <w:t> </w:t>
            </w:r>
          </w:p>
        </w:tc>
        <w:tc>
          <w:tcPr>
            <w:tcW w:w="2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2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209,415</w:t>
            </w:r>
          </w:p>
        </w:tc>
        <w:tc>
          <w:tcPr>
            <w:tcW w:w="2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273,562</w:t>
            </w:r>
          </w:p>
        </w:tc>
        <w:tc>
          <w:tcPr>
            <w:tcW w:w="59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87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Product development obligations</w:t>
            </w:r>
          </w:p>
        </w:tc>
        <w:tc>
          <w:tcPr>
            <w:tcW w:w="2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16,942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16,917</w:t>
            </w:r>
          </w:p>
        </w:tc>
        <w:tc>
          <w:tcPr>
            <w:tcW w:w="593" w:type="dxa"/>
            <w:tcBorders/>
            <w:shd w:fill="FFFFFF" w:val="clear"/>
            <w:vAlign w:val="center"/>
          </w:tcPr>
          <w:p>
            <w:pPr>
              <w:pStyle w:val="TableContents"/>
              <w:bidi w:val="0"/>
              <w:spacing w:before="0" w:after="283"/>
              <w:jc w:val="left"/>
              <w:rPr/>
            </w:pPr>
            <w:r>
              <w:rPr/>
              <w:t> </w:t>
            </w:r>
          </w:p>
        </w:tc>
      </w:tr>
      <w:tr>
        <w:trPr/>
        <w:tc>
          <w:tcPr>
            <w:tcW w:w="587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Deferred revenue, net of current ($4,671</w:t>
            </w:r>
            <w:r>
              <w:rPr>
                <w:rFonts w:ascii="Times New Roman" w:hAnsi="Times New Roman"/>
                <w:color w:val="000000"/>
                <w:sz w:val="20"/>
              </w:rPr>
              <w:t> </w:t>
            </w:r>
            <w:r>
              <w:rPr>
                <w:rFonts w:ascii="Times New Roman" w:hAnsi="Times New Roman"/>
                <w:b w:val="false"/>
                <w:color w:val="000000"/>
                <w:sz w:val="16"/>
              </w:rPr>
              <w:t>and $31,044</w:t>
            </w:r>
            <w:r>
              <w:rPr>
                <w:rFonts w:ascii="Times New Roman" w:hAnsi="Times New Roman"/>
                <w:color w:val="000000"/>
                <w:sz w:val="20"/>
              </w:rPr>
              <w:t> </w:t>
            </w:r>
            <w:r>
              <w:rPr>
                <w:rFonts w:ascii="Times New Roman" w:hAnsi="Times New Roman"/>
                <w:b w:val="false"/>
                <w:color w:val="000000"/>
                <w:sz w:val="16"/>
              </w:rPr>
              <w:t>to a related party)</w:t>
            </w:r>
          </w:p>
        </w:tc>
        <w:tc>
          <w:tcPr>
            <w:tcW w:w="2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2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154,206</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185,722</w:t>
            </w:r>
          </w:p>
        </w:tc>
        <w:tc>
          <w:tcPr>
            <w:tcW w:w="593" w:type="dxa"/>
            <w:tcBorders/>
            <w:shd w:fill="CFF0FC" w:val="clear"/>
            <w:vAlign w:val="center"/>
          </w:tcPr>
          <w:p>
            <w:pPr>
              <w:pStyle w:val="TableContents"/>
              <w:bidi w:val="0"/>
              <w:spacing w:before="0" w:after="283"/>
              <w:jc w:val="left"/>
              <w:rPr/>
            </w:pPr>
            <w:r>
              <w:rPr/>
              <w:t> </w:t>
            </w:r>
          </w:p>
        </w:tc>
      </w:tr>
      <w:tr>
        <w:trPr/>
        <w:tc>
          <w:tcPr>
            <w:tcW w:w="587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Operating lease liabilities, non-current</w:t>
            </w:r>
          </w:p>
        </w:tc>
        <w:tc>
          <w:tcPr>
            <w:tcW w:w="2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70,035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79,593</w:t>
            </w:r>
          </w:p>
        </w:tc>
        <w:tc>
          <w:tcPr>
            <w:tcW w:w="593" w:type="dxa"/>
            <w:tcBorders/>
            <w:shd w:fill="FFFFFF" w:val="clear"/>
            <w:vAlign w:val="center"/>
          </w:tcPr>
          <w:p>
            <w:pPr>
              <w:pStyle w:val="TableContents"/>
              <w:bidi w:val="0"/>
              <w:spacing w:before="0" w:after="283"/>
              <w:jc w:val="left"/>
              <w:rPr/>
            </w:pPr>
            <w:r>
              <w:rPr/>
              <w:t> </w:t>
            </w:r>
          </w:p>
        </w:tc>
      </w:tr>
      <w:tr>
        <w:trPr/>
        <w:tc>
          <w:tcPr>
            <w:tcW w:w="587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Senior secured term loan facilities, non-current</w:t>
            </w:r>
          </w:p>
        </w:tc>
        <w:tc>
          <w:tcPr>
            <w:tcW w:w="2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2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71,666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color w:val="000000"/>
              </w:rPr>
            </w:pPr>
            <w:r>
              <w:rPr>
                <w:color w:val="000000"/>
              </w:rPr>
              <w:t>—</w:t>
            </w:r>
          </w:p>
        </w:tc>
        <w:tc>
          <w:tcPr>
            <w:tcW w:w="593" w:type="dxa"/>
            <w:tcBorders/>
            <w:shd w:fill="CFF0FC" w:val="clear"/>
            <w:vAlign w:val="center"/>
          </w:tcPr>
          <w:p>
            <w:pPr>
              <w:pStyle w:val="TableContents"/>
              <w:bidi w:val="0"/>
              <w:spacing w:before="0" w:after="283"/>
              <w:jc w:val="left"/>
              <w:rPr/>
            </w:pPr>
            <w:r>
              <w:rPr/>
              <w:t> </w:t>
            </w:r>
          </w:p>
        </w:tc>
      </w:tr>
      <w:tr>
        <w:trPr/>
        <w:tc>
          <w:tcPr>
            <w:tcW w:w="587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Liability related to sale of future revenues, non-current</w:t>
            </w:r>
          </w:p>
        </w:tc>
        <w:tc>
          <w:tcPr>
            <w:tcW w:w="2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49,109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49,333</w:t>
            </w:r>
          </w:p>
        </w:tc>
        <w:tc>
          <w:tcPr>
            <w:tcW w:w="593" w:type="dxa"/>
            <w:tcBorders/>
            <w:shd w:fill="FFFFFF" w:val="clear"/>
            <w:vAlign w:val="center"/>
          </w:tcPr>
          <w:p>
            <w:pPr>
              <w:pStyle w:val="TableContents"/>
              <w:bidi w:val="0"/>
              <w:spacing w:before="0" w:after="283"/>
              <w:jc w:val="left"/>
              <w:rPr/>
            </w:pPr>
            <w:r>
              <w:rPr/>
              <w:t> </w:t>
            </w:r>
          </w:p>
        </w:tc>
      </w:tr>
      <w:tr>
        <w:trPr/>
        <w:tc>
          <w:tcPr>
            <w:tcW w:w="587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Other long-term liabilities ($668</w:t>
            </w:r>
            <w:r>
              <w:rPr>
                <w:rFonts w:ascii="Times New Roman" w:hAnsi="Times New Roman"/>
                <w:color w:val="000000"/>
                <w:sz w:val="20"/>
              </w:rPr>
              <w:t> </w:t>
            </w:r>
            <w:r>
              <w:rPr>
                <w:rFonts w:ascii="Times New Roman" w:hAnsi="Times New Roman"/>
                <w:b w:val="false"/>
                <w:color w:val="000000"/>
                <w:sz w:val="16"/>
              </w:rPr>
              <w:t>and $0</w:t>
            </w:r>
            <w:r>
              <w:rPr>
                <w:rFonts w:ascii="Times New Roman" w:hAnsi="Times New Roman"/>
                <w:color w:val="000000"/>
                <w:sz w:val="20"/>
              </w:rPr>
              <w:t> </w:t>
            </w:r>
            <w:r>
              <w:rPr>
                <w:rFonts w:ascii="Times New Roman" w:hAnsi="Times New Roman"/>
                <w:b w:val="false"/>
                <w:color w:val="000000"/>
                <w:sz w:val="16"/>
              </w:rPr>
              <w:t>to a related party)</w:t>
            </w:r>
          </w:p>
        </w:tc>
        <w:tc>
          <w:tcPr>
            <w:tcW w:w="2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4,255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6,440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7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Total liabilities</w:t>
            </w:r>
          </w:p>
        </w:tc>
        <w:tc>
          <w:tcPr>
            <w:tcW w:w="2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575,628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611,567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5872"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1523"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479"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587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Commitments</w:t>
            </w:r>
            <w:r>
              <w:rPr>
                <w:rFonts w:ascii="Times New Roman" w:hAnsi="Times New Roman"/>
                <w:color w:val="000000"/>
                <w:sz w:val="20"/>
              </w:rPr>
              <w:t> </w:t>
            </w:r>
            <w:r>
              <w:rPr>
                <w:rFonts w:ascii="Times New Roman" w:hAnsi="Times New Roman"/>
                <w:b w:val="false"/>
                <w:color w:val="000000"/>
                <w:sz w:val="16"/>
              </w:rPr>
              <w:t>and Contingencies (Note 12)</w:t>
            </w:r>
          </w:p>
        </w:tc>
        <w:tc>
          <w:tcPr>
            <w:tcW w:w="246" w:type="dxa"/>
            <w:tcBorders/>
            <w:shd w:fill="FFFFFF" w:val="clear"/>
            <w:vAlign w:val="center"/>
          </w:tcPr>
          <w:p>
            <w:pPr>
              <w:pStyle w:val="TableContents"/>
              <w:bidi w:val="0"/>
              <w:spacing w:before="0" w:after="283"/>
              <w:jc w:val="left"/>
              <w:rPr/>
            </w:pPr>
            <w:r>
              <w:rPr/>
              <w:t> </w:t>
            </w:r>
          </w:p>
        </w:tc>
        <w:tc>
          <w:tcPr>
            <w:tcW w:w="1523"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479"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5872"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1523"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479"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587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Redeemable non-controlling interests</w:t>
            </w:r>
          </w:p>
        </w:tc>
        <w:tc>
          <w:tcPr>
            <w:tcW w:w="2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21,480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jc w:val="left"/>
              <w:rPr/>
            </w:pPr>
            <w:r>
              <w:rPr/>
              <w:t> </w:t>
            </w:r>
          </w:p>
        </w:tc>
      </w:tr>
      <w:tr>
        <w:trPr/>
        <w:tc>
          <w:tcPr>
            <w:tcW w:w="587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Stockholders’ deficit:</w:t>
            </w:r>
          </w:p>
        </w:tc>
        <w:tc>
          <w:tcPr>
            <w:tcW w:w="246" w:type="dxa"/>
            <w:tcBorders/>
            <w:shd w:fill="CFF0FC" w:val="clear"/>
            <w:vAlign w:val="center"/>
          </w:tcPr>
          <w:p>
            <w:pPr>
              <w:pStyle w:val="TableContents"/>
              <w:bidi w:val="0"/>
              <w:spacing w:before="0" w:after="283"/>
              <w:jc w:val="left"/>
              <w:rPr/>
            </w:pPr>
            <w:r>
              <w:rPr/>
              <w:t> </w:t>
            </w:r>
          </w:p>
        </w:tc>
        <w:tc>
          <w:tcPr>
            <w:tcW w:w="1523"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479"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587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Preferred stock, $0.01</w:t>
            </w:r>
            <w:r>
              <w:rPr>
                <w:rFonts w:ascii="Times New Roman" w:hAnsi="Times New Roman"/>
                <w:color w:val="000000"/>
                <w:sz w:val="20"/>
              </w:rPr>
              <w:t> </w:t>
            </w:r>
            <w:r>
              <w:rPr>
                <w:rFonts w:ascii="Times New Roman" w:hAnsi="Times New Roman"/>
                <w:b w:val="false"/>
                <w:color w:val="000000"/>
                <w:sz w:val="16"/>
              </w:rPr>
              <w:t>par value; 125,000</w:t>
            </w:r>
            <w:r>
              <w:rPr>
                <w:rFonts w:ascii="Times New Roman" w:hAnsi="Times New Roman"/>
                <w:color w:val="000000"/>
                <w:sz w:val="20"/>
              </w:rPr>
              <w:t> </w:t>
            </w:r>
            <w:r>
              <w:rPr>
                <w:rFonts w:ascii="Times New Roman" w:hAnsi="Times New Roman"/>
                <w:b w:val="false"/>
                <w:color w:val="000000"/>
                <w:sz w:val="16"/>
              </w:rPr>
              <w:t>shares authorized; no</w:t>
            </w:r>
            <w:r>
              <w:rPr>
                <w:rFonts w:ascii="Times New Roman" w:hAnsi="Times New Roman"/>
                <w:color w:val="000000"/>
                <w:sz w:val="20"/>
              </w:rPr>
              <w:t> </w:t>
            </w:r>
            <w:r>
              <w:rPr>
                <w:rFonts w:ascii="Times New Roman" w:hAnsi="Times New Roman"/>
                <w:b w:val="false"/>
                <w:color w:val="000000"/>
                <w:sz w:val="16"/>
              </w:rPr>
              <w:t xml:space="preserve">shares issued </w:t>
              <w:br/>
              <w:t>   and outstanding at September 30, 2023 and December 31, 2022</w:t>
            </w:r>
          </w:p>
        </w:tc>
        <w:tc>
          <w:tcPr>
            <w:tcW w:w="2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587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Common stock, $0.01</w:t>
            </w:r>
            <w:r>
              <w:rPr>
                <w:rFonts w:ascii="Times New Roman" w:hAnsi="Times New Roman"/>
                <w:color w:val="000000"/>
                <w:sz w:val="20"/>
              </w:rPr>
              <w:t> </w:t>
            </w:r>
            <w:r>
              <w:rPr>
                <w:rFonts w:ascii="Times New Roman" w:hAnsi="Times New Roman"/>
                <w:b w:val="false"/>
                <w:color w:val="000000"/>
                <w:sz w:val="16"/>
              </w:rPr>
              <w:t>par value; 225,000</w:t>
            </w:r>
            <w:r>
              <w:rPr>
                <w:rFonts w:ascii="Times New Roman" w:hAnsi="Times New Roman"/>
                <w:color w:val="000000"/>
                <w:sz w:val="20"/>
              </w:rPr>
              <w:t> </w:t>
            </w:r>
            <w:r>
              <w:rPr>
                <w:rFonts w:ascii="Times New Roman" w:hAnsi="Times New Roman"/>
                <w:b w:val="false"/>
                <w:color w:val="000000"/>
                <w:sz w:val="16"/>
              </w:rPr>
              <w:t>shares authorized at September 30, 2023</w:t>
              <w:br/>
              <w:t>  and December 31, 2022; 98,339</w:t>
            </w:r>
            <w:r>
              <w:rPr>
                <w:rFonts w:ascii="Times New Roman" w:hAnsi="Times New Roman"/>
                <w:color w:val="000000"/>
                <w:sz w:val="20"/>
              </w:rPr>
              <w:t> </w:t>
            </w:r>
            <w:r>
              <w:rPr>
                <w:rFonts w:ascii="Times New Roman" w:hAnsi="Times New Roman"/>
                <w:b w:val="false"/>
                <w:color w:val="000000"/>
                <w:sz w:val="16"/>
              </w:rPr>
              <w:t>and 94,166</w:t>
            </w:r>
            <w:r>
              <w:rPr>
                <w:rFonts w:ascii="Times New Roman" w:hAnsi="Times New Roman"/>
                <w:color w:val="000000"/>
                <w:sz w:val="20"/>
              </w:rPr>
              <w:t> </w:t>
            </w:r>
            <w:r>
              <w:rPr>
                <w:rFonts w:ascii="Times New Roman" w:hAnsi="Times New Roman"/>
                <w:b w:val="false"/>
                <w:color w:val="000000"/>
                <w:sz w:val="16"/>
              </w:rPr>
              <w:t xml:space="preserve">shares issued and outstanding at </w:t>
              <w:br/>
              <w:t>  September 30, 2023 and December 31, 2022</w:t>
            </w:r>
          </w:p>
        </w:tc>
        <w:tc>
          <w:tcPr>
            <w:tcW w:w="2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2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942</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587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Additional paid-in capital</w:t>
            </w:r>
          </w:p>
        </w:tc>
        <w:tc>
          <w:tcPr>
            <w:tcW w:w="2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1,634,459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1,541,019</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587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Accumulated other comprehensive loss</w:t>
            </w:r>
          </w:p>
        </w:tc>
        <w:tc>
          <w:tcPr>
            <w:tcW w:w="2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2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(6,923</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(5,720</w:t>
            </w:r>
          </w:p>
        </w:tc>
        <w:tc>
          <w:tcPr>
            <w:tcW w:w="593"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87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Accumulated deficit</w:t>
            </w:r>
          </w:p>
        </w:tc>
        <w:tc>
          <w:tcPr>
            <w:tcW w:w="2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(1,785,688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(1,557,688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87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stockholders’ deficit attributable to FibroGen</w:t>
            </w:r>
          </w:p>
        </w:tc>
        <w:tc>
          <w:tcPr>
            <w:tcW w:w="2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12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(157,169</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(21,447</w:t>
            </w:r>
          </w:p>
        </w:tc>
        <w:tc>
          <w:tcPr>
            <w:tcW w:w="5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87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Nonredeemable non-controlling interests</w:t>
            </w:r>
          </w:p>
        </w:tc>
        <w:tc>
          <w:tcPr>
            <w:tcW w:w="2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20,487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19,967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deficit</w:t>
            </w:r>
          </w:p>
        </w:tc>
        <w:tc>
          <w:tcPr>
            <w:tcW w:w="2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(136,682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87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redeemable non-controlling interests and deficit</w:t>
            </w:r>
          </w:p>
        </w:tc>
        <w:tc>
          <w:tcPr>
            <w:tcW w:w="2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460,426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610,087</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974"/>
        <w:gridCol w:w="146"/>
        <w:gridCol w:w="220"/>
        <w:gridCol w:w="815"/>
        <w:gridCol w:w="256"/>
        <w:gridCol w:w="256"/>
        <w:gridCol w:w="220"/>
        <w:gridCol w:w="815"/>
        <w:gridCol w:w="166"/>
        <w:gridCol w:w="146"/>
        <w:gridCol w:w="211"/>
        <w:gridCol w:w="841"/>
        <w:gridCol w:w="246"/>
        <w:gridCol w:w="246"/>
        <w:gridCol w:w="211"/>
        <w:gridCol w:w="841"/>
        <w:gridCol w:w="595"/>
      </w:tblGrid>
      <w:tr>
        <w:trPr/>
        <w:tc>
          <w:tcPr>
            <w:tcW w:w="3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9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ind w:left="0" w:right="0" w:firstLine="200"/>
              <w:jc w:val="right"/>
              <w:rPr/>
            </w:pPr>
            <w:r>
              <w:rPr/>
              <w:t> </w:t>
            </w:r>
          </w:p>
        </w:tc>
      </w:tr>
      <w:tr>
        <w:trPr/>
        <w:tc>
          <w:tcPr>
            <w:tcW w:w="3974"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License revenue (includes $0, $0, $0</w:t>
            </w:r>
            <w:r>
              <w:rPr>
                <w:rFonts w:ascii="Times New Roman" w:hAnsi="Times New Roman"/>
                <w:color w:val="000000"/>
                <w:sz w:val="20"/>
              </w:rPr>
              <w:t> </w:t>
            </w:r>
            <w:r>
              <w:rPr>
                <w:rFonts w:ascii="Times New Roman" w:hAnsi="Times New Roman"/>
                <w:b w:val="false"/>
                <w:color w:val="000000"/>
                <w:sz w:val="20"/>
              </w:rPr>
              <w:t>and $22,590</w:t>
              <w:br/>
              <w:t>   from a related party)</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2,649</w:t>
            </w:r>
          </w:p>
        </w:tc>
        <w:tc>
          <w:tcPr>
            <w:tcW w:w="256" w:type="dxa"/>
            <w:tcBorders/>
            <w:shd w:fill="FFFFFF" w:val="clear"/>
            <w:vAlign w:val="center"/>
          </w:tcPr>
          <w:p>
            <w:pPr>
              <w:pStyle w:val="TableContents"/>
              <w:bidi w:val="0"/>
              <w:spacing w:before="0" w:after="283"/>
              <w:ind w:left="0" w:right="0" w:firstLine="100"/>
              <w:jc w:val="left"/>
              <w:rPr/>
            </w:pPr>
            <w:r>
              <w:rPr/>
              <w:t> </w:t>
            </w:r>
          </w:p>
        </w:tc>
        <w:tc>
          <w:tcPr>
            <w:tcW w:w="256" w:type="dxa"/>
            <w:tcBorders/>
            <w:shd w:fill="FFFFFF" w:val="clear"/>
            <w:vAlign w:val="center"/>
          </w:tcPr>
          <w:p>
            <w:pPr>
              <w:pStyle w:val="TableContents"/>
              <w:bidi w:val="0"/>
              <w:spacing w:before="0" w:after="283"/>
              <w:ind w:left="100" w:right="0" w:firstLine="100"/>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9,649</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22,590</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3974"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Development and other revenue (includes $2,358, $1,414, $5,821, </w:t>
              <w:br/>
              <w:t>   and $8,419</w:t>
            </w:r>
            <w:r>
              <w:rPr>
                <w:rFonts w:ascii="Times New Roman" w:hAnsi="Times New Roman"/>
                <w:color w:val="000000"/>
                <w:sz w:val="20"/>
              </w:rPr>
              <w:t> </w:t>
            </w:r>
            <w:r>
              <w:rPr>
                <w:rFonts w:ascii="Times New Roman" w:hAnsi="Times New Roman"/>
                <w:b w:val="false"/>
                <w:color w:val="000000"/>
                <w:sz w:val="20"/>
              </w:rPr>
              <w:t>from a related party)</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6,775</w:t>
            </w:r>
          </w:p>
        </w:tc>
        <w:tc>
          <w:tcPr>
            <w:tcW w:w="25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15,825</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19,672</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3974"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Product revenue, net (includes $26,463, $14,914, $68,347</w:t>
            </w:r>
            <w:r>
              <w:rPr>
                <w:rFonts w:ascii="Times New Roman" w:hAnsi="Times New Roman"/>
                <w:color w:val="000000"/>
                <w:sz w:val="20"/>
              </w:rPr>
              <w:t> </w:t>
            </w:r>
            <w:r>
              <w:rPr>
                <w:rFonts w:ascii="Times New Roman" w:hAnsi="Times New Roman"/>
                <w:b w:val="false"/>
                <w:color w:val="000000"/>
                <w:sz w:val="20"/>
              </w:rPr>
              <w:t>and $50,873</w:t>
              <w:br/>
              <w:t>   from a related party)</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29,390</w:t>
            </w:r>
          </w:p>
        </w:tc>
        <w:tc>
          <w:tcPr>
            <w:tcW w:w="25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77,439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59,495</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397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Drug product revenue, net (from a related party)</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17,701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4,610</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7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40,134</w:t>
            </w:r>
          </w:p>
        </w:tc>
        <w:tc>
          <w:tcPr>
            <w:tcW w:w="25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120,614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106,367</w:t>
            </w:r>
          </w:p>
        </w:tc>
        <w:tc>
          <w:tcPr>
            <w:tcW w:w="595" w:type="dxa"/>
            <w:tcBorders/>
            <w:shd w:fill="FFFFFF" w:val="clear"/>
            <w:vAlign w:val="center"/>
          </w:tcPr>
          <w:p>
            <w:pPr>
              <w:pStyle w:val="TableContents"/>
              <w:bidi w:val="0"/>
              <w:spacing w:before="0" w:after="283"/>
              <w:ind w:left="0" w:right="0" w:firstLine="400"/>
              <w:jc w:val="left"/>
              <w:rPr/>
            </w:pPr>
            <w:r>
              <w:rPr/>
              <w:t> </w:t>
            </w:r>
          </w:p>
        </w:tc>
      </w:tr>
      <w:tr>
        <w:trPr/>
        <w:tc>
          <w:tcPr>
            <w:tcW w:w="3974"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jc w:val="right"/>
              <w:rPr/>
            </w:pPr>
            <w:r>
              <w:rPr/>
              <w:t> </w:t>
            </w:r>
          </w:p>
        </w:tc>
      </w:tr>
      <w:tr>
        <w:trPr/>
        <w:tc>
          <w:tcPr>
            <w:tcW w:w="397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costs and expenses:</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ind w:left="0" w:right="0" w:firstLine="200"/>
              <w:jc w:val="right"/>
              <w:rPr/>
            </w:pPr>
            <w:r>
              <w:rPr/>
              <w:t> </w:t>
            </w:r>
          </w:p>
        </w:tc>
      </w:tr>
      <w:tr>
        <w:trPr/>
        <w:tc>
          <w:tcPr>
            <w:tcW w:w="397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4,243</w:t>
            </w:r>
          </w:p>
        </w:tc>
        <w:tc>
          <w:tcPr>
            <w:tcW w:w="25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13,441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15,355</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397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61,194</w:t>
            </w:r>
          </w:p>
        </w:tc>
        <w:tc>
          <w:tcPr>
            <w:tcW w:w="25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75,182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231,158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235,163</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397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25,573</w:t>
            </w:r>
          </w:p>
        </w:tc>
        <w:tc>
          <w:tcPr>
            <w:tcW w:w="25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91,029</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90,722</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397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Restructuring charge</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12,606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12,606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74"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costs and expenses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103,616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348,234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341,240</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(63,482</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5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(93,657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(227,620</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(234,873</w:t>
            </w:r>
          </w:p>
        </w:tc>
        <w:tc>
          <w:tcPr>
            <w:tcW w:w="5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7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jc w:val="right"/>
              <w:rPr/>
            </w:pPr>
            <w:r>
              <w:rPr/>
              <w:t> </w:t>
            </w:r>
          </w:p>
        </w:tc>
      </w:tr>
      <w:tr>
        <w:trPr/>
        <w:tc>
          <w:tcPr>
            <w:tcW w:w="397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and other, net</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ind w:left="0" w:right="0" w:firstLine="200"/>
              <w:jc w:val="right"/>
              <w:rPr/>
            </w:pPr>
            <w:r>
              <w:rPr/>
              <w:t> </w:t>
            </w:r>
          </w:p>
        </w:tc>
      </w:tr>
      <w:tr>
        <w:trPr/>
        <w:tc>
          <w:tcPr>
            <w:tcW w:w="397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(5,022</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5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(10,464</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w:t>
            </w:r>
          </w:p>
        </w:tc>
        <w:tc>
          <w:tcPr>
            <w:tcW w:w="59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97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and other income (expenses), net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7,984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6,672</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74"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interest and other, net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5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6,351</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jc w:val="right"/>
              <w:rPr/>
            </w:pPr>
            <w:r>
              <w:rPr/>
              <w:t> </w:t>
            </w:r>
          </w:p>
        </w:tc>
      </w:tr>
      <w:tr>
        <w:trPr/>
        <w:tc>
          <w:tcPr>
            <w:tcW w:w="397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(64,208</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5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(91,943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(230,100</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(228,522</w:t>
            </w:r>
          </w:p>
        </w:tc>
        <w:tc>
          <w:tcPr>
            <w:tcW w:w="59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97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Provision for (benefit from) income taxes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25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397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 xml:space="preserve">Investment income in unconsolidated variable </w:t>
              <w:br/>
              <w:t>   interest entity</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(63,615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5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(91,650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(228,000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(227,479</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974"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jc w:val="right"/>
              <w:rPr/>
            </w:pPr>
            <w:r>
              <w:rPr/>
              <w:t> </w:t>
            </w:r>
          </w:p>
        </w:tc>
      </w:tr>
      <w:tr>
        <w:trPr/>
        <w:tc>
          <w:tcPr>
            <w:tcW w:w="39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 basic and diluted</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(0.65</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5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w:t>
            </w:r>
          </w:p>
        </w:tc>
        <w:tc>
          <w:tcPr>
            <w:tcW w:w="5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7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jc w:val="right"/>
              <w:rPr/>
            </w:pPr>
            <w:r>
              <w:rPr/>
              <w:t> </w:t>
            </w:r>
          </w:p>
        </w:tc>
      </w:tr>
      <w:tr>
        <w:trPr/>
        <w:tc>
          <w:tcPr>
            <w:tcW w:w="39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number of common shares used to calculate</w:t>
              <w:br/>
              <w:t>   net loss per share - basic and diluted</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98,245</w:t>
            </w:r>
          </w:p>
        </w:tc>
        <w:tc>
          <w:tcPr>
            <w:tcW w:w="25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93,767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96,901</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93,431</w:t>
            </w:r>
          </w:p>
        </w:tc>
        <w:tc>
          <w:tcPr>
            <w:tcW w:w="595"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7" w:name="condensed_consolidated_statements_compre"/>
      <w:bookmarkEnd w:id="7"/>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059"/>
        <w:gridCol w:w="146"/>
        <w:gridCol w:w="243"/>
        <w:gridCol w:w="852"/>
        <w:gridCol w:w="192"/>
        <w:gridCol w:w="168"/>
        <w:gridCol w:w="243"/>
        <w:gridCol w:w="852"/>
        <w:gridCol w:w="166"/>
        <w:gridCol w:w="146"/>
        <w:gridCol w:w="221"/>
        <w:gridCol w:w="886"/>
        <w:gridCol w:w="174"/>
        <w:gridCol w:w="153"/>
        <w:gridCol w:w="221"/>
        <w:gridCol w:w="886"/>
        <w:gridCol w:w="597"/>
      </w:tblGrid>
      <w:tr>
        <w:trPr/>
        <w:tc>
          <w:tcPr>
            <w:tcW w:w="4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05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(63,615</w:t>
            </w:r>
          </w:p>
        </w:tc>
        <w:tc>
          <w:tcPr>
            <w:tcW w:w="1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(91,650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(228,000</w:t>
            </w:r>
          </w:p>
        </w:tc>
        <w:tc>
          <w:tcPr>
            <w:tcW w:w="1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(227,479</w:t>
            </w:r>
          </w:p>
        </w:tc>
        <w:tc>
          <w:tcPr>
            <w:tcW w:w="5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0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1107" w:type="dxa"/>
            <w:gridSpan w:val="2"/>
            <w:tcBorders/>
            <w:shd w:fill="FFFFFF" w:val="clear"/>
            <w:vAlign w:val="center"/>
          </w:tcPr>
          <w:p>
            <w:pPr>
              <w:pStyle w:val="TableContents"/>
              <w:bidi w:val="0"/>
              <w:spacing w:before="0" w:after="283"/>
              <w:jc w:val="right"/>
              <w:rPr/>
            </w:pPr>
            <w:r>
              <w:rPr/>
              <w:t> </w:t>
            </w:r>
          </w:p>
        </w:tc>
        <w:tc>
          <w:tcPr>
            <w:tcW w:w="597" w:type="dxa"/>
            <w:tcBorders/>
            <w:shd w:fill="FFFFFF" w:val="clear"/>
            <w:vAlign w:val="center"/>
          </w:tcPr>
          <w:p>
            <w:pPr>
              <w:pStyle w:val="TableContents"/>
              <w:bidi w:val="0"/>
              <w:spacing w:before="0" w:after="283"/>
              <w:ind w:left="0" w:right="0" w:firstLine="200"/>
              <w:jc w:val="right"/>
              <w:rPr/>
            </w:pPr>
            <w:r>
              <w:rPr/>
              <w:t> </w:t>
            </w:r>
          </w:p>
        </w:tc>
      </w:tr>
      <w:tr>
        <w:trPr/>
        <w:tc>
          <w:tcPr>
            <w:tcW w:w="405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Foreign currency translation adjustments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(1,033</w:t>
            </w:r>
          </w:p>
        </w:tc>
        <w:tc>
          <w:tcPr>
            <w:tcW w:w="1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(3,618</w:t>
            </w:r>
          </w:p>
        </w:tc>
        <w:tc>
          <w:tcPr>
            <w:tcW w:w="1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597"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05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Available-for-sale investments: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1107" w:type="dxa"/>
            <w:gridSpan w:val="2"/>
            <w:tcBorders/>
            <w:shd w:fill="FFFFFF" w:val="clear"/>
            <w:vAlign w:val="center"/>
          </w:tcPr>
          <w:p>
            <w:pPr>
              <w:pStyle w:val="TableContents"/>
              <w:bidi w:val="0"/>
              <w:spacing w:before="0" w:after="283"/>
              <w:jc w:val="right"/>
              <w:rPr/>
            </w:pPr>
            <w:r>
              <w:rPr/>
              <w:t> </w:t>
            </w:r>
          </w:p>
        </w:tc>
        <w:tc>
          <w:tcPr>
            <w:tcW w:w="597" w:type="dxa"/>
            <w:tcBorders/>
            <w:shd w:fill="FFFFFF" w:val="clear"/>
            <w:vAlign w:val="center"/>
          </w:tcPr>
          <w:p>
            <w:pPr>
              <w:pStyle w:val="TableContents"/>
              <w:bidi w:val="0"/>
              <w:spacing w:before="0" w:after="283"/>
              <w:ind w:left="0" w:right="0" w:firstLine="400"/>
              <w:jc w:val="right"/>
              <w:rPr/>
            </w:pPr>
            <w:r>
              <w:rPr/>
              <w:t> </w:t>
            </w:r>
          </w:p>
        </w:tc>
      </w:tr>
      <w:tr>
        <w:trPr/>
        <w:tc>
          <w:tcPr>
            <w:tcW w:w="4059"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Unrealized gain (loss) on investments, net of tax effect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2,415</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(3,155</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0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gain (loss), net of taxes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3"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(3,183</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0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(64,288</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(229,203</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3"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(230,662</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8" w:name="condensed_consolidated_statements_equity"/>
      <w:bookmarkEnd w:id="8"/>
      <w:r>
        <w:rPr>
          <w:rFonts w:ascii="Times New Roman" w:hAnsi="Times New Roman"/>
          <w:b/>
          <w:color w:val="000000"/>
          <w:sz w:val="20"/>
        </w:rPr>
        <w:t>CONDENSED CONSOLIDATED STATEMENTS OF CHANGES IN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1586" w:type="dxa"/>
        <w:jc w:val="left"/>
        <w:tblInd w:w="0" w:type="dxa"/>
        <w:tblLayout w:type="fixed"/>
        <w:tblCellMar>
          <w:top w:w="28" w:type="dxa"/>
          <w:left w:w="28" w:type="dxa"/>
          <w:bottom w:w="28" w:type="dxa"/>
          <w:right w:w="28" w:type="dxa"/>
        </w:tblCellMar>
      </w:tblPr>
      <w:tblGrid>
        <w:gridCol w:w="1081"/>
        <w:gridCol w:w="146"/>
        <w:gridCol w:w="146"/>
        <w:gridCol w:w="916"/>
        <w:gridCol w:w="146"/>
        <w:gridCol w:w="146"/>
        <w:gridCol w:w="196"/>
        <w:gridCol w:w="376"/>
        <w:gridCol w:w="146"/>
        <w:gridCol w:w="146"/>
        <w:gridCol w:w="196"/>
        <w:gridCol w:w="826"/>
        <w:gridCol w:w="166"/>
        <w:gridCol w:w="146"/>
        <w:gridCol w:w="260"/>
        <w:gridCol w:w="761"/>
        <w:gridCol w:w="166"/>
        <w:gridCol w:w="146"/>
        <w:gridCol w:w="196"/>
        <w:gridCol w:w="886"/>
        <w:gridCol w:w="166"/>
        <w:gridCol w:w="146"/>
        <w:gridCol w:w="269"/>
        <w:gridCol w:w="827"/>
        <w:gridCol w:w="146"/>
        <w:gridCol w:w="146"/>
        <w:gridCol w:w="196"/>
        <w:gridCol w:w="751"/>
        <w:gridCol w:w="166"/>
        <w:gridCol w:w="146"/>
        <w:gridCol w:w="146"/>
        <w:gridCol w:w="269"/>
        <w:gridCol w:w="827"/>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68" w:type="dxa"/>
            <w:gridSpan w:val="3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Nonredeemable</w:t>
              <w:b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6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w:t>
              <w:br/>
              <w:t>Non-Controlling</w:t>
            </w:r>
          </w:p>
        </w:tc>
        <w:tc>
          <w:tcPr>
            <w:tcW w:w="191" w:type="dxa"/>
            <w:tcBorders/>
            <w:shd w:fill="FFFFFF" w:val="cle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(Note 3)</w:t>
            </w:r>
          </w:p>
        </w:tc>
        <w:tc>
          <w:tcPr>
            <w:tcW w:w="191" w:type="dxa"/>
            <w:tcBorders/>
            <w:shd w:fill="FFFFFF" w:val="clear"/>
            <w:vAlign w:val="center"/>
          </w:tcPr>
          <w:p>
            <w:pPr>
              <w:pStyle w:val="TableContents"/>
              <w:bidi w:val="0"/>
              <w:spacing w:before="0" w:after="283"/>
              <w:jc w:val="center"/>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w:t>
              <w:br/>
              <w:t>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98,204,243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1,625,067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(6,250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(1,722,073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(81,787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21,480</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(63,615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(63,615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Change in unrealized gain or </w:t>
              <w:br/>
              <w:t>   loss on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Foreign currency translation </w:t>
              <w:br/>
              <w:t>   adjustments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from stock</w:t>
              <w:br/>
              <w:t>   plans, net of payroll taxes</w:t>
              <w:br/>
              <w:t>   paid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134,880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w:t>
              <w:br/>
              <w:t>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98,339,123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1,634,459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(1,785,688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w:t>
              <w:br/>
              <w:t>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93,733,034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1,509,636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(6,930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(1,399,863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123,747</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(91,650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(91,650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Change in unrealized gain or </w:t>
              <w:br/>
              <w:t>   loss on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Foreign currency translation </w:t>
              <w:br/>
              <w:t>   adjustments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from stock</w:t>
              <w:br/>
              <w:t>   plans, net of payroll taxes</w:t>
              <w:br/>
              <w:t>   paid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203,306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w:t>
              <w:br/>
              <w:t>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93,936,340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1,524,226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(1,491,513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CONDENSED CONSOLIDATED STATEMENTS OF CHANGES IN STOCKHOLDERS’ EQUITY (DEFICIT) (CONTINUED)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1586" w:type="dxa"/>
        <w:jc w:val="left"/>
        <w:tblInd w:w="0" w:type="dxa"/>
        <w:tblLayout w:type="fixed"/>
        <w:tblCellMar>
          <w:top w:w="28" w:type="dxa"/>
          <w:left w:w="28" w:type="dxa"/>
          <w:bottom w:w="28" w:type="dxa"/>
          <w:right w:w="28" w:type="dxa"/>
        </w:tblCellMar>
      </w:tblPr>
      <w:tblGrid>
        <w:gridCol w:w="1081"/>
        <w:gridCol w:w="146"/>
        <w:gridCol w:w="146"/>
        <w:gridCol w:w="916"/>
        <w:gridCol w:w="146"/>
        <w:gridCol w:w="146"/>
        <w:gridCol w:w="196"/>
        <w:gridCol w:w="376"/>
        <w:gridCol w:w="146"/>
        <w:gridCol w:w="146"/>
        <w:gridCol w:w="196"/>
        <w:gridCol w:w="826"/>
        <w:gridCol w:w="166"/>
        <w:gridCol w:w="146"/>
        <w:gridCol w:w="260"/>
        <w:gridCol w:w="761"/>
        <w:gridCol w:w="166"/>
        <w:gridCol w:w="146"/>
        <w:gridCol w:w="196"/>
        <w:gridCol w:w="886"/>
        <w:gridCol w:w="166"/>
        <w:gridCol w:w="146"/>
        <w:gridCol w:w="269"/>
        <w:gridCol w:w="827"/>
        <w:gridCol w:w="146"/>
        <w:gridCol w:w="146"/>
        <w:gridCol w:w="196"/>
        <w:gridCol w:w="751"/>
        <w:gridCol w:w="166"/>
        <w:gridCol w:w="146"/>
        <w:gridCol w:w="146"/>
        <w:gridCol w:w="269"/>
        <w:gridCol w:w="827"/>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68" w:type="dxa"/>
            <w:gridSpan w:val="3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Nonredeemable</w:t>
              <w:b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6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w:t>
              <w:br/>
              <w:t>Non-Controlling</w:t>
            </w:r>
          </w:p>
        </w:tc>
        <w:tc>
          <w:tcPr>
            <w:tcW w:w="191" w:type="dxa"/>
            <w:tcBorders/>
            <w:shd w:fill="FFFFFF" w:val="cle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Interests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(Note 3)</w:t>
            </w:r>
          </w:p>
        </w:tc>
        <w:tc>
          <w:tcPr>
            <w:tcW w:w="191" w:type="dxa"/>
            <w:tcBorders/>
            <w:shd w:fill="FFFFFF" w:val="clear"/>
            <w:vAlign w:val="center"/>
          </w:tcPr>
          <w:p>
            <w:pPr>
              <w:pStyle w:val="TableContents"/>
              <w:bidi w:val="0"/>
              <w:spacing w:before="0" w:after="283"/>
              <w:jc w:val="center"/>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w:t>
              <w:br/>
              <w:t>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94,166,086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1,541,019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(1,557,688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(228,000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(228,000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Consolidation of Fortis</w:t>
              <w:br/>
            </w:r>
            <w:r>
              <w:rPr>
                <w:rFonts w:ascii="Times New Roman" w:hAnsi="Times New Roman"/>
                <w:color w:val="000000"/>
                <w:sz w:val="16"/>
              </w:rPr>
              <w:t>   </w:t>
            </w:r>
            <w:r>
              <w:rPr>
                <w:rFonts w:ascii="Times New Roman" w:hAnsi="Times New Roman"/>
                <w:b/>
                <w:color w:val="000000"/>
                <w:sz w:val="16"/>
              </w:rPr>
              <w:t>(Note 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21,480</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Change in unrealized gain </w:t>
              <w:br/>
              <w:t>   or loss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2,415</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Foreign currency </w:t>
              <w:br/>
              <w:t>   translation adjustments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(3,618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(3,618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Issuance of common stock </w:t>
              <w:br/>
              <w:t>   under ATM Program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2,472,090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48,383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48,407</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from stock</w:t>
              <w:br/>
              <w:t xml:space="preserve">   plans, net of payroll </w:t>
              <w:br/>
              <w:t>   taxes paid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1,700,947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3,603</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w:t>
              <w:br/>
              <w:t>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98,339,123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1,634,459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(1,785,688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w:t>
              <w:br/>
              <w:t>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92,880,533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1,476,414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(4,163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(1,264,034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229,113</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(227,479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(227,479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Change in unrealized gain </w:t>
              <w:br/>
              <w:t>   or loss on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(3,155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(3,155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Foreign currency </w:t>
              <w:br/>
              <w:t>   translation adjustments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from stock</w:t>
              <w:br/>
              <w:t xml:space="preserve">   plans, net of payroll </w:t>
              <w:br/>
              <w:t>   taxes paid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1,055,807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(1,583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w:t>
              <w:br/>
              <w:t>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93,936,340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1,524,226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(1,491,513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904" w:type="dxa"/>
        <w:jc w:val="left"/>
        <w:tblInd w:w="0" w:type="dxa"/>
        <w:tblLayout w:type="fixed"/>
        <w:tblCellMar>
          <w:top w:w="28" w:type="dxa"/>
          <w:left w:w="28" w:type="dxa"/>
          <w:bottom w:w="28" w:type="dxa"/>
          <w:right w:w="28" w:type="dxa"/>
        </w:tblCellMar>
      </w:tblPr>
      <w:tblGrid>
        <w:gridCol w:w="5941"/>
        <w:gridCol w:w="146"/>
        <w:gridCol w:w="196"/>
        <w:gridCol w:w="751"/>
        <w:gridCol w:w="166"/>
        <w:gridCol w:w="146"/>
        <w:gridCol w:w="196"/>
        <w:gridCol w:w="751"/>
        <w:gridCol w:w="611"/>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(228,000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(227,479</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Adjustments to reconcile net loss to net cash used in operating activities:</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Depreciation</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7,503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Amortization of finance lease right-of-use assets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accretion of premium and discount on investments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(3,654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1,842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Investment income in unconsolidated variable interest entity</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(2,023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(1,293</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Loss (gain) on disposal of property and equipment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49,377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Acquired in-process research and development expenses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Non-cash interest expense related to sale of future revenues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Dividend received from unconsolidated variable interest entity</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Impairment of investment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Realized loss on sales of available-for-sale securities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6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Changes in operating assets and liabilities:</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Accounts receivable, net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(16,283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Inventories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(1,519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(11,147</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Prepaid expenses and other current assets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(27,393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8,265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Operating lease right-of-use assets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7,759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assets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Accounts payable</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(14,057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(5,120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Accrued and other liabilities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(50,246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87,167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Operating lease liabilities, current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Deferred revenue</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(36,930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4,509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Accrued interest for finance lease liabilities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Operating lease liabilities, non-current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(7,407</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long-term liabilities</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Net cash used in operating activities</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(296,700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(93,420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Purchases of property and equipment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(2,268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(3,408</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Payment made for acquired in-process research and development asset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(35,000</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Proceeds from sale of property and equipment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w:t>
            </w:r>
          </w:p>
        </w:tc>
        <w:tc>
          <w:tcPr>
            <w:tcW w:w="6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Purchases of available-for-sale securities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(157,210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(97,301</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acquired from consolidation of Fortis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Proceeds from sales of available-for-sale securities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7,382</w:t>
            </w:r>
          </w:p>
        </w:tc>
        <w:tc>
          <w:tcPr>
            <w:tcW w:w="6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Proceeds from maturities of investments</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300,507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216,342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4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Net cash provided by investing activities</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143,415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Proceeds from senior secured term loan facilities, net of issuance costs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74,078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paid for transaction costs for senior secured term loan facilities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(2,746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Repayments of finance lease liabilities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Repayments of lease obligations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(302</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paid for payroll taxes on restricted stock unit releases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(4,562</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Proceeds from issuance of common stock under ATM Program, net of commissions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Proceeds from issuance of common stock under employee stock plans</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2,989</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94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Net cash provided by (used in) financing activities</w:t>
            </w:r>
          </w:p>
        </w:tc>
        <w:tc>
          <w:tcPr>
            <w:tcW w:w="146" w:type="dxa"/>
            <w:tcBorders/>
            <w:shd w:fill="FFFFFF" w:val="cle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122,995</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(1,898</w:t>
            </w:r>
          </w:p>
        </w:tc>
        <w:tc>
          <w:tcPr>
            <w:tcW w:w="61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Effect of exchange rate change on cash and cash equivalents</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decrease in cash and cash equivalents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(34,786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(15,263</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9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cash and cash equivalents at beginning of period</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171,223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cash and cash equivalents at end of period</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120,914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155,960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FIBROGEN, INC.</w:t>
      </w:r>
    </w:p>
    <w:p>
      <w:pPr>
        <w:pStyle w:val="TextBody"/>
        <w:bidi w:val="0"/>
        <w:spacing w:before="240" w:after="283"/>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THE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FibroGen, Inc. (“FibroGen” or the “Company”) is headquartered in San Francisco, California, with subsidiary offices in Beijing and Shanghai, People’s Republic of China (“China”). FibroGen is a leading biopharmaceutical company discovering, developing and commercializing a pipeline of first-in-class therapeutics. The Company applies its pioneering expertise in hypoxia-inducible factor (“HIF”) biology, 2-oxoglutarate enzymology, and connective tissue growth factor to advance innovative medicines for the treatment of anemia and cancer.</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Pamrevlumab, a human monoclonal antibody targeting connective tissue growth factor, is in Phase 3 clinical development for the treatment of locally advanced unresectable pancreatic cancer. Pamrevlumab is also in Phase 2/3 development for the treatment of metastatic pancreatic cancer. To date, the Company has retained exclusive worldwide rights for pamrevlumab.</w:t>
      </w:r>
    </w:p>
    <w:p>
      <w:pPr>
        <w:pStyle w:val="TextBody"/>
        <w:bidi w:val="0"/>
        <w:spacing w:before="240" w:after="283"/>
        <w:jc w:val="left"/>
        <w:rPr/>
      </w:pPr>
      <w:r>
        <w:rPr>
          <w:rFonts w:ascii="Times New Roman" w:hAnsi="Times New Roman"/>
          <w:b w:val="false"/>
          <w:color w:val="000000"/>
          <w:sz w:val="20"/>
        </w:rPr>
        <w:t>Roxadustat is an oral small molecule inhibitor of HIF prolyl hydroxylase activity. Roxadustat (</w:t>
      </w:r>
      <w:r>
        <w:rPr>
          <w:rFonts w:eastAsia="Times New Roman"/>
          <w:b w:val="false"/>
          <w:color w:val="000000"/>
          <w:sz w:val="20"/>
        </w:rPr>
        <w:t>爱瑞卓</w:t>
      </w:r>
      <w:r>
        <w:rPr>
          <w:rFonts w:ascii="Times New Roman" w:hAnsi="Times New Roman"/>
          <w:b w:val="false"/>
          <w:color w:val="000000"/>
          <w:sz w:val="13"/>
        </w:rPr>
        <w:t>®</w:t>
      </w:r>
      <w:r>
        <w:rPr>
          <w:rFonts w:ascii="Times New Roman" w:hAnsi="Times New Roman"/>
          <w:b w:val="false"/>
          <w:color w:val="000000"/>
          <w:sz w:val="20"/>
        </w:rPr>
        <w:t>, EVRENZO</w:t>
      </w:r>
      <w:r>
        <w:rPr>
          <w:rFonts w:ascii="Times New Roman" w:hAnsi="Times New Roman"/>
          <w:b w:val="false"/>
          <w:color w:val="000000"/>
          <w:sz w:val="13"/>
        </w:rPr>
        <w:t>TM</w:t>
      </w:r>
      <w:r>
        <w:rPr>
          <w:rFonts w:ascii="Times New Roman" w:hAnsi="Times New Roman"/>
          <w:b w:val="false"/>
          <w:color w:val="000000"/>
          <w:sz w:val="20"/>
        </w:rPr>
        <w:t>) is approved in China, Europe, Japan, and numerous other countries for the treatment of anemia in chronic kidney disease for patients who are on dialysis and not on dialysis. Roxadustat is in clinical development for chemotherapy-induced anemia in China.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has a pipeline of late-stage clinical programs as well as preclinical drug candidates at various stages of development that include both small molecules and biologics. FibroGen’s goal is to build a diversified pipeline with novel drugs that will address unmet patient needs with a refined focus in oncology.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 and Principles of Consolidation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condensed consolidated financial statements include the accounts of FibroGen, its wholly-owned subsidiaries and its majority-owned subsidiaries, as well as any variable interest entity (“VIE”) for which FibroGen is the primary beneficiary. All inter-company transactions and balances have been eliminated in consolidation. For any VIE for which FibroGen is not the primary beneficiary, the Company uses the equity method of accounting.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operates as one</w:t>
      </w:r>
      <w:r>
        <w:rPr>
          <w:rFonts w:ascii="Times New Roman" w:hAnsi="Times New Roman"/>
          <w:color w:val="000000"/>
          <w:sz w:val="20"/>
        </w:rPr>
        <w:t xml:space="preserve"> </w:t>
      </w:r>
      <w:r>
        <w:rPr>
          <w:rFonts w:ascii="Times New Roman" w:hAnsi="Times New Roman"/>
          <w:b w:val="false"/>
          <w:color w:val="000000"/>
          <w:sz w:val="20"/>
        </w:rPr>
        <w:t>reportable segment — the discovery, development and commercialization of novel therapeutics to treat serious unmet medical needs.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unaudited condensed consolidated financial statements and related disclosures have been prepared in accordance with accounting principles generally accepted in the United States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for the year ended December 31, 2022, filed on February 27, 2023.</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specifically, estimates in variable consideration for drug product sales, and estimates in transaction price per unit for the China performance obligation.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accounting policies used by the Company in its presentation of interim financial results are consistent with those presented in Note 2 to the consolidated financial statements included in the the Company’s Annual Report on Form 10-K for the year ended December 31, 2022, filed on February 27, 2023, except for the updates to the following: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Asset Acquisition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evaluates acquisitions of entities or assets to assess whether or not the transaction should be accounted for as a business combination or asset acquisition by first applying a screen test to determine whether substantially all of the fair value of the gross assets acquired is concentrated in a single identifiable asset or group of similar identifiable assets. If this screen criteria is met, the transaction is accounted for as an asset acquisition. If not, further determination is required as to whether or not the Company has acquired inputs and processes that have the ability to create outputs which would meet the definition of a business. The Company measures and recognizes asset acquisitions that are not deemed to be business combinations based on the cost to acquire the assets, which includes transaction costs.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an asset acquisition, the cost allocated to acquire in-process research and development (“IPR&amp;D”) with no alternative future use is charged to research and development expense at the acquisition date. The Company recognizes assets acquired and liabilities assumed in asset acquisitions, including contingent assets and liabilities, and non-controlling interests (“NCI”) in the acquired assets at their estimated fair values as of the date of acquisition.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 NCI represents the non-affiliated equity interest in the underlying entity or asset. The Company presents redeemable NCI in its consolidated statements of changes in equity within mezzanine equity. Nonredeemable NCI and redeemable NCI are initially recorded at their fair values. Subsequently, net loss in the underlying entity or asset is only allocated to nonredeemable NCI. Net income in the underlying entity or asset is allocated to nonredeemable NCI and redeemable NCI based on their respective stated rights.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 Charge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restructuring charge is recognized</w:t>
      </w:r>
      <w:r>
        <w:rPr>
          <w:rFonts w:ascii="Times New Roman" w:hAnsi="Times New Roman"/>
          <w:color w:val="000000"/>
          <w:sz w:val="20"/>
        </w:rPr>
        <w:t xml:space="preserve"> </w:t>
      </w:r>
      <w:r>
        <w:rPr>
          <w:rFonts w:ascii="Times New Roman" w:hAnsi="Times New Roman"/>
          <w:b w:val="false"/>
          <w:color w:val="000000"/>
          <w:sz w:val="20"/>
        </w:rPr>
        <w:t>when the liability is incurred and accrued in the period in which it is probable that the employees are entitled to the restructuring benefits and the amounts can be reasonably estimated. The restructuring liability accrued but not paid at the end of the reporting period is included in accrued and other current liabilities in the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Potential common shares that would have the effect of increasing diluted earnings per share are considered to be anti-dilutive and as such, these shares are not included in the calculation of diluted earnings per share. The Company reported a net loss for each of the three and nine months ended September 30, 2023 and 2022. Therefore, dilutive common shares are not assumed to have been issued since their effect is anti-dilutive for these periods.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Diluted weighted average shares excluded the following potential common shares related to stock options, service-based restricted stock units (“RSUs”), performance-based RSUs (“PRSUs”), total shareholder return (“TSR”) awards and shares to be purchased under the 2014 Employee Stock Purchase Plan (“ESPP”) for the periods presented as they were anti-dilutive (in thousands):</w:t>
      </w:r>
    </w:p>
    <w:p>
      <w:pPr>
        <w:pStyle w:val="TextBody"/>
        <w:bidi w:val="0"/>
        <w:jc w:val="left"/>
        <w:rPr/>
      </w:pPr>
      <w:r>
        <w:rPr/>
        <w:t> </w:t>
      </w:r>
    </w:p>
    <w:tbl>
      <w:tblPr>
        <w:tblW w:w="8469" w:type="dxa"/>
        <w:jc w:val="left"/>
        <w:tblInd w:w="0" w:type="dxa"/>
        <w:tblLayout w:type="fixed"/>
        <w:tblCellMar>
          <w:top w:w="28" w:type="dxa"/>
          <w:left w:w="28" w:type="dxa"/>
          <w:bottom w:w="28" w:type="dxa"/>
          <w:right w:w="28" w:type="dxa"/>
        </w:tblCellMar>
      </w:tblPr>
      <w:tblGrid>
        <w:gridCol w:w="2566"/>
        <w:gridCol w:w="146"/>
        <w:gridCol w:w="202"/>
        <w:gridCol w:w="937"/>
        <w:gridCol w:w="202"/>
        <w:gridCol w:w="202"/>
        <w:gridCol w:w="202"/>
        <w:gridCol w:w="937"/>
        <w:gridCol w:w="146"/>
        <w:gridCol w:w="146"/>
        <w:gridCol w:w="195"/>
        <w:gridCol w:w="906"/>
        <w:gridCol w:w="195"/>
        <w:gridCol w:w="195"/>
        <w:gridCol w:w="195"/>
        <w:gridCol w:w="906"/>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stock options</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11,293</w:t>
            </w:r>
          </w:p>
        </w:tc>
        <w:tc>
          <w:tcPr>
            <w:tcW w:w="202"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10,022</w:t>
            </w:r>
          </w:p>
        </w:tc>
        <w:tc>
          <w:tcPr>
            <w:tcW w:w="195"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9,794</w:t>
            </w:r>
          </w:p>
        </w:tc>
        <w:tc>
          <w:tcPr>
            <w:tcW w:w="1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RSUs, PRSUs and TSR awards</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4,596</w:t>
            </w:r>
          </w:p>
        </w:tc>
        <w:tc>
          <w:tcPr>
            <w:tcW w:w="20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3,208</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2,066</w:t>
            </w:r>
          </w:p>
        </w:tc>
        <w:tc>
          <w:tcPr>
            <w:tcW w:w="191"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ESPP</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w:t>
            </w:r>
          </w:p>
        </w:tc>
        <w:tc>
          <w:tcPr>
            <w:tcW w:w="202"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556</w:t>
            </w:r>
          </w:p>
        </w:tc>
        <w:tc>
          <w:tcPr>
            <w:tcW w:w="195"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w:t>
            </w:r>
          </w:p>
        </w:tc>
        <w:tc>
          <w:tcPr>
            <w:tcW w:w="1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16,448</w:t>
            </w:r>
          </w:p>
        </w:tc>
        <w:tc>
          <w:tcPr>
            <w:tcW w:w="202"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11,743</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13,786</w:t>
            </w:r>
          </w:p>
        </w:tc>
        <w:tc>
          <w:tcPr>
            <w:tcW w:w="19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12,250</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and Uncertainties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future results of operations involve a number of risks and uncertainties. Factors that could affect the Company’s future operating results and cause actual results to vary materially from expectations include, but are not limited to, the results of clinical trials and the achievement of milestones, research developments, actions by regulatory authorities, market acceptance of the Company’s product candidates, competition from other products and larger companies, the liquidity and capital resources of the Company, intellectual property protection for the Company’s proprietary technology, strategic relationships, and dependence on key individuals, suppliers, clinical organization, and other third parties.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Collaboration Agreements, License Agreement and Revenues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Astellas Agreements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Astellas Japan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June 2005, the Company entered into a collaboration agreement with Astellas Pharma Inc. (“Astellas”) for the development and commercialization (but not manufacture) of roxadustat for the treatment of anemia in Japan (“Astellas Japan Agreement”). Under this agreement, Astellas agreed to pay license fees, other upfront consideration and various milestone payments, totaling $172.6</w:t>
      </w:r>
      <w:r>
        <w:rPr>
          <w:rFonts w:ascii="Times New Roman" w:hAnsi="Times New Roman"/>
          <w:color w:val="000000"/>
          <w:sz w:val="20"/>
        </w:rPr>
        <w:t xml:space="preserve"> </w:t>
      </w:r>
      <w:r>
        <w:rPr>
          <w:rFonts w:ascii="Times New Roman" w:hAnsi="Times New Roman"/>
          <w:b w:val="false"/>
          <w:color w:val="000000"/>
          <w:sz w:val="20"/>
        </w:rPr>
        <w:t>million. The</w:t>
      </w:r>
      <w:r>
        <w:rPr>
          <w:rFonts w:ascii="Times New Roman" w:hAnsi="Times New Roman"/>
          <w:color w:val="000000"/>
          <w:sz w:val="20"/>
        </w:rPr>
        <w:t xml:space="preserve"> </w:t>
      </w:r>
      <w:r>
        <w:rPr>
          <w:rFonts w:ascii="Times New Roman" w:hAnsi="Times New Roman"/>
          <w:b w:val="false"/>
          <w:color w:val="000000"/>
          <w:sz w:val="20"/>
        </w:rPr>
        <w:t>Astellas Japan Agreement also provides for tiered payments based on net sales of product (as defined) in the low 20% range of the list price</w:t>
      </w:r>
      <w:r>
        <w:rPr>
          <w:rFonts w:ascii="Times New Roman" w:hAnsi="Times New Roman"/>
          <w:color w:val="000000"/>
          <w:sz w:val="20"/>
        </w:rPr>
        <w:t xml:space="preserve"> </w:t>
      </w:r>
      <w:r>
        <w:rPr>
          <w:rFonts w:ascii="Times New Roman" w:hAnsi="Times New Roman"/>
          <w:b w:val="false"/>
          <w:color w:val="000000"/>
          <w:sz w:val="20"/>
        </w:rPr>
        <w:t>published by Japan’s Ministry of Health, Labour and Welfare, adjusted for certain elements, after commercial launch.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aggregate amount of consideration received through September 30, 2023 totaled $105.1</w:t>
      </w:r>
      <w:r>
        <w:rPr>
          <w:rFonts w:ascii="Times New Roman" w:hAnsi="Times New Roman"/>
          <w:color w:val="000000"/>
          <w:sz w:val="20"/>
        </w:rPr>
        <w:t xml:space="preserve"> </w:t>
      </w:r>
      <w:r>
        <w:rPr>
          <w:rFonts w:ascii="Times New Roman" w:hAnsi="Times New Roman"/>
          <w:b w:val="false"/>
          <w:color w:val="000000"/>
          <w:sz w:val="20"/>
        </w:rPr>
        <w:t xml:space="preserve">million, excluding drug product revenue that is discussed under the </w:t>
      </w:r>
      <w:r>
        <w:rPr>
          <w:rFonts w:ascii="Times New Roman" w:hAnsi="Times New Roman"/>
          <w:b w:val="false"/>
          <w:i/>
          <w:color w:val="000000"/>
          <w:sz w:val="20"/>
        </w:rPr>
        <w:t>Drug Product Revenue, Net</w:t>
      </w:r>
      <w:r>
        <w:rPr>
          <w:rFonts w:ascii="Times New Roman" w:hAnsi="Times New Roman"/>
          <w:color w:val="000000"/>
          <w:sz w:val="20"/>
        </w:rPr>
        <w:t xml:space="preserve"> </w:t>
      </w:r>
      <w:r>
        <w:rPr>
          <w:rFonts w:ascii="Times New Roman" w:hAnsi="Times New Roman"/>
          <w:b w:val="false"/>
          <w:color w:val="000000"/>
          <w:sz w:val="20"/>
        </w:rPr>
        <w:t>section below. Based on its current development plans for roxadustat in Japan, the Company does not expect to receive most or all of the additional potential milestones under the Astellas Japan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Amounts recognized as license revenue and development revenue under the Astellas Japan Agreement were as follows for the three and nine months ended September 30, 2023 and 2022 (in thousands):</w:t>
      </w:r>
      <w:r>
        <w:rPr>
          <w:rFonts w:ascii="Times New Roman" w:hAnsi="Times New Roman"/>
          <w:color w:val="000000"/>
          <w:sz w:val="20"/>
        </w:rPr>
        <w:t xml:space="preserve"> </w:t>
      </w:r>
    </w:p>
    <w:tbl>
      <w:tblPr>
        <w:tblW w:w="10150" w:type="dxa"/>
        <w:jc w:val="left"/>
        <w:tblInd w:w="0" w:type="dxa"/>
        <w:tblLayout w:type="fixed"/>
        <w:tblCellMar>
          <w:top w:w="28" w:type="dxa"/>
          <w:left w:w="28" w:type="dxa"/>
          <w:bottom w:w="28" w:type="dxa"/>
          <w:right w:w="28" w:type="dxa"/>
        </w:tblCellMar>
      </w:tblPr>
      <w:tblGrid>
        <w:gridCol w:w="2206"/>
        <w:gridCol w:w="146"/>
        <w:gridCol w:w="1891"/>
        <w:gridCol w:w="146"/>
        <w:gridCol w:w="421"/>
        <w:gridCol w:w="630"/>
        <w:gridCol w:w="291"/>
        <w:gridCol w:w="291"/>
        <w:gridCol w:w="421"/>
        <w:gridCol w:w="630"/>
        <w:gridCol w:w="146"/>
        <w:gridCol w:w="146"/>
        <w:gridCol w:w="352"/>
        <w:gridCol w:w="702"/>
        <w:gridCol w:w="243"/>
        <w:gridCol w:w="243"/>
        <w:gridCol w:w="352"/>
        <w:gridCol w:w="702"/>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Performance 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Astellas Japan Agreement</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Development revenue</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29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w:t>
            </w:r>
          </w:p>
        </w:tc>
        <w:tc>
          <w:tcPr>
            <w:tcW w:w="243"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transaction price related to consideration received through September 30, 2023 and accounts receivable has been allocated to each of the following performance obligations under the Astellas Japan Agreement (in thousands):</w:t>
      </w:r>
    </w:p>
    <w:tbl>
      <w:tblPr>
        <w:tblW w:w="6318" w:type="dxa"/>
        <w:jc w:val="left"/>
        <w:tblInd w:w="0" w:type="dxa"/>
        <w:tblLayout w:type="fixed"/>
        <w:tblCellMar>
          <w:top w:w="28" w:type="dxa"/>
          <w:left w:w="28" w:type="dxa"/>
          <w:bottom w:w="28" w:type="dxa"/>
          <w:right w:w="28" w:type="dxa"/>
        </w:tblCellMar>
      </w:tblPr>
      <w:tblGrid>
        <w:gridCol w:w="3516"/>
        <w:gridCol w:w="146"/>
        <w:gridCol w:w="480"/>
        <w:gridCol w:w="1785"/>
        <w:gridCol w:w="39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Astellas Japan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Consideration</w:t>
              <w:br/>
              <w:t> Through 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License</w:t>
            </w:r>
          </w:p>
        </w:tc>
        <w:tc>
          <w:tcPr>
            <w:tcW w:w="146" w:type="dxa"/>
            <w:tcBorders/>
            <w:shd w:fill="CFF0FC" w:val="clear"/>
            <w:vAlign w:val="center"/>
          </w:tcPr>
          <w:p>
            <w:pPr>
              <w:pStyle w:val="TableContents"/>
              <w:bidi w:val="0"/>
              <w:spacing w:before="0" w:after="283"/>
              <w:jc w:val="center"/>
              <w:rPr/>
            </w:pPr>
            <w:r>
              <w:rPr/>
              <w:t> </w:t>
            </w:r>
          </w:p>
        </w:tc>
        <w:tc>
          <w:tcPr>
            <w:tcW w:w="4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100,347</w:t>
            </w:r>
          </w:p>
        </w:tc>
        <w:tc>
          <w:tcPr>
            <w:tcW w:w="391" w:type="dxa"/>
            <w:tcBorders/>
            <w:shd w:fill="CFF0FC" w:val="clear"/>
            <w:vAlign w:val="center"/>
          </w:tcPr>
          <w:p>
            <w:pPr>
              <w:pStyle w:val="TableContents"/>
              <w:bidi w:val="0"/>
              <w:spacing w:before="0" w:after="283"/>
              <w:jc w:val="left"/>
              <w:rPr/>
            </w:pPr>
            <w:r>
              <w:rPr/>
              <w:t> </w:t>
            </w:r>
          </w:p>
        </w:tc>
      </w:tr>
      <w:tr>
        <w:trPr/>
        <w:tc>
          <w:tcPr>
            <w:tcW w:w="3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Development revenue</w:t>
            </w:r>
          </w:p>
        </w:tc>
        <w:tc>
          <w:tcPr>
            <w:tcW w:w="146" w:type="dxa"/>
            <w:tcBorders/>
            <w:shd w:fill="FFFFFF" w:val="clear"/>
            <w:vAlign w:val="center"/>
          </w:tcPr>
          <w:p>
            <w:pPr>
              <w:pStyle w:val="TableContents"/>
              <w:bidi w:val="0"/>
              <w:spacing w:before="0" w:after="283"/>
              <w:jc w:val="center"/>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license and development revenue</w:t>
            </w:r>
          </w:p>
        </w:tc>
        <w:tc>
          <w:tcPr>
            <w:tcW w:w="146" w:type="dxa"/>
            <w:tcBorders/>
            <w:shd w:fill="CFF0FC" w:val="clear"/>
            <w:vAlign w:val="center"/>
          </w:tcPr>
          <w:p>
            <w:pPr>
              <w:pStyle w:val="TableContents"/>
              <w:bidi w:val="0"/>
              <w:spacing w:before="0" w:after="283"/>
              <w:jc w:val="left"/>
              <w:rPr/>
            </w:pPr>
            <w:r>
              <w:rPr/>
              <w:t> </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117,394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There was no</w:t>
      </w:r>
      <w:r>
        <w:rPr>
          <w:rFonts w:ascii="Times New Roman" w:hAnsi="Times New Roman"/>
          <w:color w:val="000000"/>
          <w:sz w:val="20"/>
        </w:rPr>
        <w:t xml:space="preserve"> </w:t>
      </w:r>
      <w:r>
        <w:rPr>
          <w:rFonts w:ascii="Times New Roman" w:hAnsi="Times New Roman"/>
          <w:b w:val="false"/>
          <w:color w:val="000000"/>
          <w:sz w:val="20"/>
        </w:rPr>
        <w:t>license revenue or development revenue resulting from changes to estimated variable consideration in the current period relating to performance obligations satisfied or partially satisfied in previous periods for the three months ended September 30, 2023</w:t>
      </w:r>
      <w:r>
        <w:rPr>
          <w:rFonts w:ascii="Times New Roman" w:hAnsi="Times New Roman"/>
          <w:color w:val="000000"/>
          <w:sz w:val="20"/>
        </w:rPr>
        <w:t xml:space="preserve"> </w:t>
      </w:r>
      <w:r>
        <w:rPr>
          <w:rFonts w:ascii="Times New Roman" w:hAnsi="Times New Roman"/>
          <w:b w:val="false"/>
          <w:color w:val="000000"/>
          <w:sz w:val="20"/>
        </w:rPr>
        <w:t>under the Astellas Japan Agreement. The Company does not expect material variable consideration from estimated future co-development billing beyond the development period in the transaction price related to the Astellas Japan Agreement.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In 2018, FibroGen and Astellas entered into an amendment to the Astellas Japan Agreement that allows Astellas to manufacture roxadustat drug product for commercialization in Japan (the “Astellas Japan Amendment”). The related drug product revenue is described under the </w:t>
      </w:r>
      <w:r>
        <w:rPr>
          <w:rFonts w:ascii="Times New Roman" w:hAnsi="Times New Roman"/>
          <w:b w:val="false"/>
          <w:i/>
          <w:color w:val="000000"/>
          <w:sz w:val="20"/>
        </w:rPr>
        <w:t>Drug Product Revenue, Net</w:t>
      </w:r>
      <w:r>
        <w:rPr>
          <w:rFonts w:ascii="Times New Roman" w:hAnsi="Times New Roman"/>
          <w:color w:val="000000"/>
          <w:sz w:val="20"/>
        </w:rPr>
        <w:t xml:space="preserve"> </w:t>
      </w:r>
      <w:r>
        <w:rPr>
          <w:rFonts w:ascii="Times New Roman" w:hAnsi="Times New Roman"/>
          <w:b w:val="false"/>
          <w:color w:val="000000"/>
          <w:sz w:val="20"/>
        </w:rPr>
        <w:t>section below.</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Astellas Europe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April 2006, the Company entered into a separate collaboration agreement with Astellas for the development and commercialization of roxadustat for the treatment of anemia in Europe, the Middle East, the Commonwealth of Independent States and South Africa (“Astellas Europe Agreement”). Under the terms of the Astellas Europe Agreement, Astellas agreed to pay license fees, other upfront consideration and various milestone payments, totaling $745.0</w:t>
      </w:r>
      <w:r>
        <w:rPr>
          <w:rFonts w:ascii="Times New Roman" w:hAnsi="Times New Roman"/>
          <w:color w:val="000000"/>
          <w:sz w:val="20"/>
        </w:rPr>
        <w:t xml:space="preserve"> </w:t>
      </w:r>
      <w:r>
        <w:rPr>
          <w:rFonts w:ascii="Times New Roman" w:hAnsi="Times New Roman"/>
          <w:b w:val="false"/>
          <w:color w:val="000000"/>
          <w:sz w:val="20"/>
        </w:rPr>
        <w:t>million. Under the Astellas Europe Agreement, Astellas committed to fund 50% of joint development costs for Europe and North America, and all territory-specific costs. The Astellas Europe Agreement also provides for tiered payments based on net sales of product (as defined) in the low 20% range.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March 21, 2022, EVRENZO</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(roxadustat) was registered with the Russian Ministry of Health. The Company evaluated the regulatory milestone payment associated with the approval in Russia under the Astellas Europe Agreement and concluded that this milestone was achieved in the first quarter of 2022. Accordingly, the consideration of $25.0</w:t>
      </w:r>
      <w:r>
        <w:rPr>
          <w:rFonts w:ascii="Times New Roman" w:hAnsi="Times New Roman"/>
          <w:color w:val="000000"/>
          <w:sz w:val="20"/>
        </w:rPr>
        <w:t xml:space="preserve"> </w:t>
      </w:r>
      <w:r>
        <w:rPr>
          <w:rFonts w:ascii="Times New Roman" w:hAnsi="Times New Roman"/>
          <w:b w:val="false"/>
          <w:color w:val="000000"/>
          <w:sz w:val="20"/>
        </w:rPr>
        <w:t>million associated with this milestone was included in the transaction price and allocated to performance obligations under the Astellas Europe Agreement, all of which was recognized as revenue during the first quarter of 2022 from performance obligations satisfied.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The aggregate amount of consideration received under the Astellas Europe Agreement through September 30, 2023 totaled $685.0</w:t>
      </w:r>
      <w:r>
        <w:rPr>
          <w:rFonts w:ascii="Times New Roman" w:hAnsi="Times New Roman"/>
          <w:color w:val="000000"/>
          <w:sz w:val="20"/>
        </w:rPr>
        <w:t xml:space="preserve"> </w:t>
      </w:r>
      <w:r>
        <w:rPr>
          <w:rFonts w:ascii="Times New Roman" w:hAnsi="Times New Roman"/>
          <w:b w:val="false"/>
          <w:color w:val="000000"/>
          <w:sz w:val="20"/>
        </w:rPr>
        <w:t xml:space="preserve">million, excluding drug product revenue that is discussed under the </w:t>
      </w:r>
      <w:r>
        <w:rPr>
          <w:rFonts w:ascii="Times New Roman" w:hAnsi="Times New Roman"/>
          <w:b w:val="false"/>
          <w:i/>
          <w:color w:val="000000"/>
          <w:sz w:val="20"/>
        </w:rPr>
        <w:t>Drug Product Revenue, Net</w:t>
      </w:r>
      <w:r>
        <w:rPr>
          <w:rFonts w:ascii="Times New Roman" w:hAnsi="Times New Roman"/>
          <w:color w:val="000000"/>
          <w:sz w:val="20"/>
        </w:rPr>
        <w:t xml:space="preserve"> </w:t>
      </w:r>
      <w:r>
        <w:rPr>
          <w:rFonts w:ascii="Times New Roman" w:hAnsi="Times New Roman"/>
          <w:b w:val="false"/>
          <w:color w:val="000000"/>
          <w:sz w:val="20"/>
        </w:rPr>
        <w:t>section below. Based on its current development plans for roxadustat in Europe, the Company does not expect to receive most or all of the additional potential milestones under the Astellas Europe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Amounts recognized as license revenue and development revenue under the Astellas Europe Agreement were as follows for the three and nine months ended September 30, 2023 and 2022 (in thousands):</w:t>
      </w:r>
    </w:p>
    <w:tbl>
      <w:tblPr>
        <w:tblW w:w="10205" w:type="dxa"/>
        <w:jc w:val="left"/>
        <w:tblInd w:w="0" w:type="dxa"/>
        <w:tblLayout w:type="fixed"/>
        <w:tblCellMar>
          <w:top w:w="28" w:type="dxa"/>
          <w:left w:w="28" w:type="dxa"/>
          <w:bottom w:w="28" w:type="dxa"/>
          <w:right w:w="28" w:type="dxa"/>
        </w:tblCellMar>
      </w:tblPr>
      <w:tblGrid>
        <w:gridCol w:w="2301"/>
        <w:gridCol w:w="146"/>
        <w:gridCol w:w="1878"/>
        <w:gridCol w:w="146"/>
        <w:gridCol w:w="303"/>
        <w:gridCol w:w="821"/>
        <w:gridCol w:w="209"/>
        <w:gridCol w:w="209"/>
        <w:gridCol w:w="303"/>
        <w:gridCol w:w="821"/>
        <w:gridCol w:w="146"/>
        <w:gridCol w:w="146"/>
        <w:gridCol w:w="277"/>
        <w:gridCol w:w="751"/>
        <w:gridCol w:w="192"/>
        <w:gridCol w:w="192"/>
        <w:gridCol w:w="277"/>
        <w:gridCol w:w="889"/>
        <w:gridCol w:w="198"/>
      </w:tblGrid>
      <w:tr>
        <w:trPr/>
        <w:tc>
          <w:tcPr>
            <w:tcW w:w="2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3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Performance 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center"/>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Astellas Europe Agreement</w:t>
            </w:r>
          </w:p>
        </w:tc>
        <w:tc>
          <w:tcPr>
            <w:tcW w:w="146" w:type="dxa"/>
            <w:tcBorders/>
            <w:shd w:fill="CFF0FC" w:val="clear"/>
            <w:vAlign w:val="center"/>
          </w:tcPr>
          <w:p>
            <w:pPr>
              <w:pStyle w:val="TableContents"/>
              <w:bidi w:val="0"/>
              <w:spacing w:before="0" w:after="283"/>
              <w:jc w:val="left"/>
              <w:rPr/>
            </w:pPr>
            <w:r>
              <w:rPr/>
              <w:t> </w:t>
            </w:r>
          </w:p>
        </w:tc>
        <w:tc>
          <w:tcPr>
            <w:tcW w:w="18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License revenue</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shd w:fill="CFF0FC" w:val="clear"/>
            <w:vAlign w:val="center"/>
          </w:tcPr>
          <w:p>
            <w:pPr>
              <w:pStyle w:val="TableContents"/>
              <w:bidi w:val="0"/>
              <w:spacing w:before="0" w:after="283"/>
              <w:jc w:val="right"/>
              <w:rPr>
                <w:color w:val="000000"/>
              </w:rPr>
            </w:pPr>
            <w:r>
              <w:rPr>
                <w:color w:val="000000"/>
              </w:rPr>
              <w:t>—</w:t>
            </w:r>
          </w:p>
        </w:tc>
        <w:tc>
          <w:tcPr>
            <w:tcW w:w="209"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22,590</w:t>
            </w:r>
          </w:p>
        </w:tc>
        <w:tc>
          <w:tcPr>
            <w:tcW w:w="198" w:type="dxa"/>
            <w:tcBorders/>
            <w:shd w:fill="CFF0FC" w:val="clear"/>
            <w:vAlign w:val="center"/>
          </w:tcPr>
          <w:p>
            <w:pPr>
              <w:pStyle w:val="TableContents"/>
              <w:bidi w:val="0"/>
              <w:spacing w:before="0" w:after="283"/>
              <w:jc w:val="left"/>
              <w:rPr/>
            </w:pPr>
            <w:r>
              <w:rPr/>
              <w:t> </w:t>
            </w:r>
          </w:p>
        </w:tc>
      </w:tr>
      <w:tr>
        <w:trPr/>
        <w:tc>
          <w:tcPr>
            <w:tcW w:w="2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Development revenue</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2,322</w:t>
            </w:r>
          </w:p>
        </w:tc>
        <w:tc>
          <w:tcPr>
            <w:tcW w:w="20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5,657</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8,263</w:t>
            </w:r>
          </w:p>
        </w:tc>
        <w:tc>
          <w:tcPr>
            <w:tcW w:w="198"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transaction price related to consideration received through September 30, 2023 and accounts receivable has been allocated to each of the following performance obligations under the Astellas Europe Agreement as follows (in thousands):</w:t>
      </w:r>
    </w:p>
    <w:tbl>
      <w:tblPr>
        <w:tblW w:w="6318" w:type="dxa"/>
        <w:jc w:val="left"/>
        <w:tblInd w:w="0" w:type="dxa"/>
        <w:tblLayout w:type="fixed"/>
        <w:tblCellMar>
          <w:top w:w="28" w:type="dxa"/>
          <w:left w:w="28" w:type="dxa"/>
          <w:bottom w:w="28" w:type="dxa"/>
          <w:right w:w="28" w:type="dxa"/>
        </w:tblCellMar>
      </w:tblPr>
      <w:tblGrid>
        <w:gridCol w:w="3516"/>
        <w:gridCol w:w="146"/>
        <w:gridCol w:w="480"/>
        <w:gridCol w:w="1785"/>
        <w:gridCol w:w="39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Astellas Europe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Consideration</w:t>
              <w:br/>
              <w:t> Through 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License</w:t>
            </w:r>
          </w:p>
        </w:tc>
        <w:tc>
          <w:tcPr>
            <w:tcW w:w="146"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618,975</w:t>
            </w:r>
          </w:p>
        </w:tc>
        <w:tc>
          <w:tcPr>
            <w:tcW w:w="391" w:type="dxa"/>
            <w:tcBorders/>
            <w:shd w:fill="CFF0FC" w:val="clear"/>
            <w:vAlign w:val="center"/>
          </w:tcPr>
          <w:p>
            <w:pPr>
              <w:pStyle w:val="TableContents"/>
              <w:bidi w:val="0"/>
              <w:spacing w:before="0" w:after="283"/>
              <w:jc w:val="left"/>
              <w:rPr/>
            </w:pPr>
            <w:r>
              <w:rPr/>
              <w:t> </w:t>
            </w:r>
          </w:p>
        </w:tc>
      </w:tr>
      <w:tr>
        <w:trPr/>
        <w:tc>
          <w:tcPr>
            <w:tcW w:w="3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Development revenue</w:t>
            </w:r>
          </w:p>
        </w:tc>
        <w:tc>
          <w:tcPr>
            <w:tcW w:w="146" w:type="dxa"/>
            <w:tcBorders/>
            <w:shd w:fill="FFFFFF" w:val="cle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285,922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license and development revenue</w:t>
            </w:r>
          </w:p>
        </w:tc>
        <w:tc>
          <w:tcPr>
            <w:tcW w:w="146" w:type="dxa"/>
            <w:tcBorders/>
            <w:shd w:fill="CFF0FC" w:val="clear"/>
            <w:vAlign w:val="center"/>
          </w:tcPr>
          <w:p>
            <w:pPr>
              <w:pStyle w:val="TableContents"/>
              <w:bidi w:val="0"/>
              <w:spacing w:before="0" w:after="283"/>
              <w:jc w:val="left"/>
              <w:rPr/>
            </w:pPr>
            <w:r>
              <w:rPr/>
              <w:t> </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904,897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There was no</w:t>
      </w:r>
      <w:r>
        <w:rPr>
          <w:rFonts w:ascii="Times New Roman" w:hAnsi="Times New Roman"/>
          <w:color w:val="000000"/>
          <w:sz w:val="20"/>
        </w:rPr>
        <w:t xml:space="preserve"> </w:t>
      </w:r>
      <w:r>
        <w:rPr>
          <w:rFonts w:ascii="Times New Roman" w:hAnsi="Times New Roman"/>
          <w:b w:val="false"/>
          <w:color w:val="000000"/>
          <w:sz w:val="20"/>
        </w:rPr>
        <w:t>license revenue or development revenue resulting from changes to estimated variable consideration in the current period relating to performance obligations satisfied or partially satisfied in previous periods for three months ended September 30, 2023</w:t>
      </w:r>
      <w:r>
        <w:rPr>
          <w:rFonts w:ascii="Times New Roman" w:hAnsi="Times New Roman"/>
          <w:color w:val="000000"/>
          <w:sz w:val="20"/>
        </w:rPr>
        <w:t xml:space="preserve"> </w:t>
      </w:r>
      <w:r>
        <w:rPr>
          <w:rFonts w:ascii="Times New Roman" w:hAnsi="Times New Roman"/>
          <w:b w:val="false"/>
          <w:color w:val="000000"/>
          <w:sz w:val="20"/>
        </w:rPr>
        <w:t>under the Astellas Europe Agreement. The remainder of the transaction price related to the Astellas Europe Agreement includes $0.8</w:t>
      </w:r>
      <w:r>
        <w:rPr>
          <w:rFonts w:ascii="Times New Roman" w:hAnsi="Times New Roman"/>
          <w:color w:val="FF0000"/>
          <w:sz w:val="20"/>
        </w:rPr>
        <w:t xml:space="preserve"> </w:t>
      </w:r>
      <w:r>
        <w:rPr>
          <w:rFonts w:ascii="Times New Roman" w:hAnsi="Times New Roman"/>
          <w:b w:val="false"/>
          <w:color w:val="000000"/>
          <w:sz w:val="20"/>
        </w:rPr>
        <w:t>million of variable consideration from estimated future co-development billing and is expected to be recognized over the remaining development service period.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Under the Astellas Europe Agreement, Astellas has an option to purchase roxadustat bulk drug product in support of commercial supplies. During the first quarter of 2021, the Company entered into an EU Supply Agreement with Astellas under the Astellas Europe Agreement (“Astellas EU Supply Agreement”) to define general forecast, order, supply and payment terms for Astellas to purchase roxadustat bulk drug product from FibroGen in support of commercial supplies. The related drug product revenue is described under the </w:t>
      </w:r>
      <w:r>
        <w:rPr>
          <w:rFonts w:ascii="Times New Roman" w:hAnsi="Times New Roman"/>
          <w:b w:val="false"/>
          <w:i/>
          <w:color w:val="000000"/>
          <w:sz w:val="20"/>
        </w:rPr>
        <w:t>Drug Product Revenue, Net</w:t>
      </w:r>
      <w:r>
        <w:rPr>
          <w:rFonts w:ascii="Times New Roman" w:hAnsi="Times New Roman"/>
          <w:color w:val="000000"/>
          <w:sz w:val="20"/>
        </w:rPr>
        <w:t xml:space="preserve"> </w:t>
      </w:r>
      <w:r>
        <w:rPr>
          <w:rFonts w:ascii="Times New Roman" w:hAnsi="Times New Roman"/>
          <w:b w:val="false"/>
          <w:color w:val="000000"/>
          <w:sz w:val="20"/>
        </w:rPr>
        <w:t>section below.</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AstraZeneca Agreements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AstraZeneca U.S./Rest of World (“RoW”)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(“AstraZeneca U.S./RoW Agreement”). China is covered by a separate agreement with AstraZeneca described below. Under the terms of the AstraZeneca U.S./RoW Agreement, AstraZeneca agreed to pay upfront, non-contingent, non-refundable and time-based payments, and potential milestone payments, totaling $1.2</w:t>
      </w:r>
      <w:r>
        <w:rPr>
          <w:rFonts w:ascii="Times New Roman" w:hAnsi="Times New Roman"/>
          <w:color w:val="000000"/>
          <w:sz w:val="20"/>
        </w:rPr>
        <w:t xml:space="preserve"> </w:t>
      </w:r>
      <w:r>
        <w:rPr>
          <w:rFonts w:ascii="Times New Roman" w:hAnsi="Times New Roman"/>
          <w:b w:val="false"/>
          <w:color w:val="000000"/>
          <w:sz w:val="20"/>
        </w:rPr>
        <w:t>billion. AstraZeneca commits to pay the Company tiered royalty payments on AstraZeneca’s future net sales (as defined in the agreement) of roxadustat in the low 20% range. In addition, the Company is entitled to receive a transfer price for shipment of commercial product based on a percentage of AstraZeneca’s net sales (as defined in the agreement) in the low- to mid-single digit range.</w:t>
      </w:r>
    </w:p>
    <w:p>
      <w:pPr>
        <w:pStyle w:val="TextBody"/>
        <w:bidi w:val="0"/>
        <w:spacing w:before="220" w:after="283"/>
        <w:jc w:val="left"/>
        <w:rPr>
          <w:rFonts w:ascii="Times New Roman" w:hAnsi="Times New Roman"/>
          <w:sz w:val="20"/>
        </w:rPr>
      </w:pPr>
      <w:r>
        <w:rPr>
          <w:rFonts w:ascii="Times New Roman" w:hAnsi="Times New Roman"/>
          <w:b w:val="false"/>
          <w:color w:val="000000"/>
          <w:sz w:val="20"/>
        </w:rPr>
        <w:t>The aggregate amount of consideration received under the AstraZeneca U.S./RoW Agreement through September 30, 2023 totaled $439.0</w:t>
      </w:r>
      <w:r>
        <w:rPr>
          <w:rFonts w:ascii="Times New Roman" w:hAnsi="Times New Roman"/>
          <w:color w:val="000000"/>
          <w:sz w:val="20"/>
        </w:rPr>
        <w:t xml:space="preserve"> </w:t>
      </w:r>
      <w:r>
        <w:rPr>
          <w:rFonts w:ascii="Times New Roman" w:hAnsi="Times New Roman"/>
          <w:b w:val="false"/>
          <w:color w:val="000000"/>
          <w:sz w:val="20"/>
        </w:rPr>
        <w:t>million, excluding drug product revenue that is discussed separately below. Based on its current development plans for roxadustat in the U.S., the Company does not expect to receive most or all of the additional potential milestones under the AstraZeneca U.S./RoW Agreement.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In 2020, the Company entered into a Master Supply Agreement with AstraZeneca under the AstraZeneca U.S./RoW Agreement (“AstraZeneca Master Supply Agreement”) to define general forecast, order, supply and payment terms for AstraZeneca to purchase roxadustat bulk drug product from FibroGen in support of commercial supplies. The related drug product revenue is described under the </w:t>
      </w:r>
      <w:r>
        <w:rPr>
          <w:rFonts w:ascii="Times New Roman" w:hAnsi="Times New Roman"/>
          <w:b w:val="false"/>
          <w:i/>
          <w:color w:val="000000"/>
          <w:sz w:val="20"/>
        </w:rPr>
        <w:t>Drug Product Revenue, Net</w:t>
      </w:r>
      <w:r>
        <w:rPr>
          <w:rFonts w:ascii="Times New Roman" w:hAnsi="Times New Roman"/>
          <w:color w:val="000000"/>
          <w:sz w:val="20"/>
        </w:rPr>
        <w:t xml:space="preserve"> </w:t>
      </w:r>
      <w:r>
        <w:rPr>
          <w:rFonts w:ascii="Times New Roman" w:hAnsi="Times New Roman"/>
          <w:b w:val="false"/>
          <w:color w:val="000000"/>
          <w:sz w:val="20"/>
        </w:rPr>
        <w:t>section below.</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AstraZeneca China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Effective July 30, 2013, the Company (through its subsidiaries affiliated with China) entered into a collaboration agreement with AstraZeneca for roxadustat for the treatment of anemia in China (“AstraZeneca China Agreement”). Under the terms of the AstraZeneca China Agreement, AstraZeneca agreed to pay upfront consideration and potential milestone payments, totaling $376.7</w:t>
      </w:r>
      <w:r>
        <w:rPr>
          <w:rFonts w:ascii="Times New Roman" w:hAnsi="Times New Roman"/>
          <w:color w:val="000000"/>
          <w:sz w:val="20"/>
        </w:rPr>
        <w:t xml:space="preserve"> </w:t>
      </w:r>
      <w:r>
        <w:rPr>
          <w:rFonts w:ascii="Times New Roman" w:hAnsi="Times New Roman"/>
          <w:b w:val="false"/>
          <w:color w:val="000000"/>
          <w:sz w:val="20"/>
        </w:rPr>
        <w:t>million. The AstraZeneca China Agreement is structured as a 50/50 profit or loss share (as defined), which was amended under the AstraZeneca China Amendment in 2020 as discussed below, and provides for joint development costs (including capital and equipment costs for construction of the manufacturing plant in China), to be shared equally during the development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aggregate amount of such consideration received for milestone and upfront payments through September 30, 2023 totaled $77.2</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September 18, 2023, the Company received the formal notice, from Beijing Medical Products Administration, of renewal of its right to continue to market Roxadustat in China through 2028. The Company evaluated the regulatory milestone payment associated with this renewal under the AstraZeneca China Agreement and concluded that this milestone was achieved in the third quarter of 2023. Accordingly, the consideration of $4.0</w:t>
      </w:r>
      <w:r>
        <w:rPr>
          <w:rFonts w:ascii="Times New Roman" w:hAnsi="Times New Roman"/>
          <w:color w:val="000000"/>
          <w:sz w:val="20"/>
        </w:rPr>
        <w:t xml:space="preserve"> </w:t>
      </w:r>
      <w:r>
        <w:rPr>
          <w:rFonts w:ascii="Times New Roman" w:hAnsi="Times New Roman"/>
          <w:b w:val="false"/>
          <w:color w:val="000000"/>
          <w:sz w:val="20"/>
        </w:rPr>
        <w:t>million associated with this milestone was included in the transaction price and allocated to performance obligations under the AstraZeneca U.S./RoW Agreement and the AstraZeneca China Agreement, $3.5</w:t>
      </w:r>
      <w:r>
        <w:rPr>
          <w:rFonts w:ascii="Times New Roman" w:hAnsi="Times New Roman"/>
          <w:color w:val="000000"/>
          <w:sz w:val="20"/>
        </w:rPr>
        <w:t xml:space="preserve"> </w:t>
      </w:r>
      <w:r>
        <w:rPr>
          <w:rFonts w:ascii="Times New Roman" w:hAnsi="Times New Roman"/>
          <w:b w:val="false"/>
          <w:color w:val="000000"/>
          <w:sz w:val="20"/>
        </w:rPr>
        <w:t>million of which was recognized as revenue during the third quarter of 2023 from performance obligations satisfied or partially satisfied. As of September 30, 2023, the $4.0</w:t>
      </w:r>
      <w:r>
        <w:rPr>
          <w:rFonts w:ascii="Times New Roman" w:hAnsi="Times New Roman"/>
          <w:color w:val="000000"/>
          <w:sz w:val="20"/>
        </w:rPr>
        <w:t xml:space="preserve"> </w:t>
      </w:r>
      <w:r>
        <w:rPr>
          <w:rFonts w:ascii="Times New Roman" w:hAnsi="Times New Roman"/>
          <w:b w:val="false"/>
          <w:color w:val="000000"/>
          <w:sz w:val="20"/>
        </w:rPr>
        <w:t>million milestone was recorded as a contract asset and was fully netted against the contract liabilities (deferred revenue) related to the AstraZeneca U.S./RoW Agreement and AstraZeneca China Agreement.</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AstraZeneca China Amendment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July 2020, FibroGen China Anemia Holdings, Ltd., FibroGen (China) Medical Technology Development Co., Ltd. (“FibroGen Beijing”), and FibroGen International (Hong Kong) Limited and AstraZeneca entered into an amendment to the AstraZeneca China Agreement, relating to the development and commercialization of roxadustat in China (the “AstraZeneca China Amendment”). Under the AstraZeneca China Amendment, in 2020, FibroGen Beijing and AstraZeneca completed the establishment of a jointly owned entity, Beijing Falikang Pharmaceutical Co., Ltd. (“Falikang”), which performs roxadustat distribution, as well as conducts sales and marketing through AstraZeneca.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Substantially all direct roxadustat product sales to distributors in China are made by Falikang, while FibroGen Beijing continues to sell roxadustat product directly in one province in China. FibroGen Beijing manufactures and supplies commercial product to Falikang based on a gross transfer price, which is adjusted for the estimated profit share.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Amounts recognized as license revenue and development revenue under the AstraZeneca U.S./RoW Agreement and AstraZeneca China Agreement were as follows for the three and nine months ended September 30, 2023 and 2022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59"/>
        <w:gridCol w:w="146"/>
        <w:gridCol w:w="1547"/>
        <w:gridCol w:w="146"/>
        <w:gridCol w:w="271"/>
        <w:gridCol w:w="735"/>
        <w:gridCol w:w="187"/>
        <w:gridCol w:w="187"/>
        <w:gridCol w:w="271"/>
        <w:gridCol w:w="541"/>
        <w:gridCol w:w="146"/>
        <w:gridCol w:w="146"/>
        <w:gridCol w:w="253"/>
        <w:gridCol w:w="684"/>
        <w:gridCol w:w="175"/>
        <w:gridCol w:w="175"/>
        <w:gridCol w:w="253"/>
        <w:gridCol w:w="684"/>
        <w:gridCol w:w="199"/>
      </w:tblGrid>
      <w:tr>
        <w:trPr/>
        <w:tc>
          <w:tcPr>
            <w:tcW w:w="3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5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Performance 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center"/>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AstraZeneca U.S./RoW Agreement and AstraZeneca China Agreement</w:t>
            </w:r>
          </w:p>
        </w:tc>
        <w:tc>
          <w:tcPr>
            <w:tcW w:w="146" w:type="dxa"/>
            <w:tcBorders/>
            <w:shd w:fill="CFF0FC" w:val="clear"/>
            <w:vAlign w:val="center"/>
          </w:tcPr>
          <w:p>
            <w:pPr>
              <w:pStyle w:val="TableContents"/>
              <w:bidi w:val="0"/>
              <w:spacing w:before="0" w:after="283"/>
              <w:jc w:val="left"/>
              <w:rPr/>
            </w:pPr>
            <w:r>
              <w:rPr/>
              <w:t> </w:t>
            </w:r>
          </w:p>
        </w:tc>
        <w:tc>
          <w:tcPr>
            <w:tcW w:w="15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License revenue</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2,649</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2,649</w:t>
            </w:r>
          </w:p>
        </w:tc>
        <w:tc>
          <w:tcPr>
            <w:tcW w:w="175"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99" w:type="dxa"/>
            <w:tcBorders/>
            <w:shd w:fill="CFF0FC" w:val="clear"/>
            <w:vAlign w:val="center"/>
          </w:tcPr>
          <w:p>
            <w:pPr>
              <w:pStyle w:val="TableContents"/>
              <w:bidi w:val="0"/>
              <w:spacing w:before="0" w:after="283"/>
              <w:jc w:val="left"/>
              <w:rPr/>
            </w:pPr>
            <w:r>
              <w:rPr/>
              <w:t> </w:t>
            </w:r>
          </w:p>
        </w:tc>
      </w:tr>
      <w:tr>
        <w:trPr/>
        <w:tc>
          <w:tcPr>
            <w:tcW w:w="34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Development revenue</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3,676</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7,981</w:t>
            </w:r>
          </w:p>
        </w:tc>
        <w:tc>
          <w:tcPr>
            <w:tcW w:w="1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9,750</w:t>
            </w:r>
          </w:p>
        </w:tc>
        <w:tc>
          <w:tcPr>
            <w:tcW w:w="199"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transaction price related to consideration received through September 30, 2023 and accounts receivable has been allocated to each of the following performance obligations under the AstraZeneca U.S./RoW Agreement and AstraZeneca China Agreement, along with any associated deferred revenue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35"/>
        <w:gridCol w:w="146"/>
        <w:gridCol w:w="381"/>
        <w:gridCol w:w="1685"/>
        <w:gridCol w:w="146"/>
        <w:gridCol w:w="146"/>
        <w:gridCol w:w="322"/>
        <w:gridCol w:w="1195"/>
        <w:gridCol w:w="146"/>
        <w:gridCol w:w="301"/>
        <w:gridCol w:w="388"/>
        <w:gridCol w:w="1717"/>
        <w:gridCol w:w="397"/>
      </w:tblGrid>
      <w:tr>
        <w:trPr/>
        <w:tc>
          <w:tcPr>
            <w:tcW w:w="3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AstraZeneca U.S./RoW Agreement and </w:t>
              <w:br/>
              <w:t>AstraZeneca China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Cumulative Revenue </w:t>
              <w:br/>
              <w:t>Through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 Revenue at</w:t>
              <w:b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vAlign w:val="center"/>
          </w:tcPr>
          <w:p>
            <w:pPr>
              <w:pStyle w:val="TableContents"/>
              <w:bidi w:val="0"/>
              <w:spacing w:before="0" w:after="283"/>
              <w:jc w:val="center"/>
              <w:rPr/>
            </w:pPr>
            <w:r>
              <w:rPr/>
              <w:t> </w:t>
            </w:r>
          </w:p>
        </w:tc>
        <w:tc>
          <w:tcPr>
            <w:tcW w:w="2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Consideration</w:t>
              <w:br/>
              <w:t> Through September 30, 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License</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344,493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344,493</w:t>
            </w:r>
          </w:p>
        </w:tc>
        <w:tc>
          <w:tcPr>
            <w:tcW w:w="397" w:type="dxa"/>
            <w:tcBorders/>
            <w:shd w:fill="CFF0FC" w:val="clear"/>
            <w:vAlign w:val="center"/>
          </w:tcPr>
          <w:p>
            <w:pPr>
              <w:pStyle w:val="TableContents"/>
              <w:bidi w:val="0"/>
              <w:spacing w:before="0" w:after="283"/>
              <w:jc w:val="left"/>
              <w:rPr/>
            </w:pPr>
            <w:r>
              <w:rPr/>
              <w:t> </w:t>
            </w:r>
          </w:p>
        </w:tc>
      </w:tr>
      <w:tr>
        <w:trPr/>
        <w:tc>
          <w:tcPr>
            <w:tcW w:w="3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Co-development, information sharing &amp; </w:t>
              <w:br/>
              <w:t>  committee services</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7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623,619</w:t>
            </w:r>
          </w:p>
        </w:tc>
        <w:tc>
          <w:tcPr>
            <w:tcW w:w="397" w:type="dxa"/>
            <w:tcBorders/>
            <w:shd w:fill="FFFFFF" w:val="clear"/>
            <w:vAlign w:val="center"/>
          </w:tcPr>
          <w:p>
            <w:pPr>
              <w:pStyle w:val="TableContents"/>
              <w:bidi w:val="0"/>
              <w:spacing w:before="0" w:after="283"/>
              <w:jc w:val="left"/>
              <w:rPr/>
            </w:pPr>
            <w:r>
              <w:rPr/>
              <w:t> </w:t>
            </w:r>
          </w:p>
        </w:tc>
      </w:tr>
      <w:tr>
        <w:trPr/>
        <w:tc>
          <w:tcPr>
            <w:tcW w:w="3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China performance obligation *</w:t>
            </w:r>
          </w:p>
        </w:tc>
        <w:tc>
          <w:tcPr>
            <w:tcW w:w="146" w:type="dxa"/>
            <w:tcBorders/>
            <w:shd w:fill="CFF0FC" w:val="cle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175,081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177,576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352,657</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3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license and development revenue</w:t>
            </w:r>
          </w:p>
        </w:tc>
        <w:tc>
          <w:tcPr>
            <w:tcW w:w="146" w:type="dxa"/>
            <w:tcBorders/>
            <w:shd w:fill="FFFFFF" w:val="cle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1,143,193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1,320,769</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 China performance obligation revenue is recognized as product revenue, as described under </w:t>
      </w:r>
      <w:r>
        <w:rPr>
          <w:rFonts w:ascii="Times New Roman" w:hAnsi="Times New Roman"/>
          <w:b w:val="false"/>
          <w:i/>
          <w:color w:val="000000"/>
          <w:sz w:val="20"/>
        </w:rPr>
        <w:t>Product Revenue, Net</w:t>
      </w:r>
      <w:r>
        <w:rPr>
          <w:rFonts w:ascii="Times New Roman" w:hAnsi="Times New Roman"/>
          <w:color w:val="000000"/>
          <w:sz w:val="20"/>
        </w:rPr>
        <w:t xml:space="preserve"> </w:t>
      </w:r>
      <w:r>
        <w:rPr>
          <w:rFonts w:ascii="Times New Roman" w:hAnsi="Times New Roman"/>
          <w:b w:val="false"/>
          <w:color w:val="000000"/>
          <w:sz w:val="20"/>
        </w:rPr>
        <w:t>section below.</w:t>
      </w:r>
    </w:p>
    <w:p>
      <w:pPr>
        <w:pStyle w:val="TextBody"/>
        <w:bidi w:val="0"/>
        <w:spacing w:before="120" w:after="283"/>
        <w:jc w:val="left"/>
        <w:rPr>
          <w:rFonts w:ascii="Times New Roman" w:hAnsi="Times New Roman"/>
          <w:sz w:val="20"/>
        </w:rPr>
      </w:pPr>
      <w:bookmarkStart w:id="11" w:name="highlight_result_11"/>
      <w:bookmarkEnd w:id="11"/>
      <w:r>
        <w:rPr>
          <w:rFonts w:ascii="Times New Roman" w:hAnsi="Times New Roman"/>
          <w:b w:val="false"/>
          <w:color w:val="000000"/>
          <w:sz w:val="20"/>
        </w:rPr>
        <w:t>** Contract assets and liabilities related to rights and obligations in the same contract are recorded net on the consolidated balance sheets. As of September 30, 2023, deferred revenue included $151.4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related to the AstraZeneca U.S./RoW Agreement and AstraZeneca China Agreement, which represents the net of $177.6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deferred revenue presented above and a $26.2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unbilled milestone and co-development revenue under the AstraZeneca China Amendment.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There was no</w:t>
      </w:r>
      <w:r>
        <w:rPr>
          <w:rFonts w:ascii="Times New Roman" w:hAnsi="Times New Roman"/>
          <w:color w:val="000000"/>
          <w:sz w:val="20"/>
        </w:rPr>
        <w:t xml:space="preserve"> </w:t>
      </w:r>
      <w:r>
        <w:rPr>
          <w:rFonts w:ascii="Times New Roman" w:hAnsi="Times New Roman"/>
          <w:b w:val="false"/>
          <w:color w:val="000000"/>
          <w:sz w:val="20"/>
        </w:rPr>
        <w:t>license revenue or development revenue resulting from changes to estimated variable consideration in the current period relating to performance obligations satisfied or partially satisfied in previous periods for the three months ended September 30, 2023 under the AstraZeneca U.S./RoW Agreement. The remainder of the transaction price related to the AstraZeneca U.S./RoW Agreement and AstraZeneca China Agreement includes $2.0</w:t>
      </w:r>
      <w:r>
        <w:rPr>
          <w:rFonts w:ascii="Times New Roman" w:hAnsi="Times New Roman"/>
          <w:color w:val="FF0000"/>
          <w:sz w:val="20"/>
        </w:rPr>
        <w:t xml:space="preserve"> </w:t>
      </w:r>
      <w:r>
        <w:rPr>
          <w:rFonts w:ascii="Times New Roman" w:hAnsi="Times New Roman"/>
          <w:b w:val="false"/>
          <w:color w:val="000000"/>
          <w:sz w:val="20"/>
        </w:rPr>
        <w:t>million</w:t>
      </w:r>
      <w:r>
        <w:rPr>
          <w:rFonts w:ascii="Times New Roman" w:hAnsi="Times New Roman"/>
          <w:color w:val="FF0000"/>
          <w:sz w:val="20"/>
        </w:rPr>
        <w:t xml:space="preserve"> </w:t>
      </w:r>
      <w:r>
        <w:rPr>
          <w:rFonts w:ascii="Times New Roman" w:hAnsi="Times New Roman"/>
          <w:b w:val="false"/>
          <w:color w:val="000000"/>
          <w:sz w:val="20"/>
        </w:rPr>
        <w:t>of variable consideration from estimated future co-development billing and is expected to be recognized over the remaining development service period, except for amounts allocated to the China performance obligation. The amount allocated to the China performance obligation is expected to be recognized as the Company transfers control of the commercial drug product to Falikang, and is expected to continue through 2028, which reflects our best estimates.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The net product revenue from the sales to Falikang and the net product revenue from direct sales distributors in China are described under </w:t>
      </w:r>
      <w:r>
        <w:rPr>
          <w:rFonts w:ascii="Times New Roman" w:hAnsi="Times New Roman"/>
          <w:b w:val="false"/>
          <w:i/>
          <w:color w:val="000000"/>
          <w:sz w:val="20"/>
        </w:rPr>
        <w:t>Product Revenue, Net</w:t>
      </w:r>
      <w:r>
        <w:rPr>
          <w:rFonts w:ascii="Times New Roman" w:hAnsi="Times New Roman"/>
          <w:color w:val="000000"/>
          <w:sz w:val="20"/>
        </w:rPr>
        <w:t xml:space="preserve"> </w:t>
      </w:r>
      <w:r>
        <w:rPr>
          <w:rFonts w:ascii="Times New Roman" w:hAnsi="Times New Roman"/>
          <w:b w:val="false"/>
          <w:color w:val="000000"/>
          <w:sz w:val="20"/>
        </w:rPr>
        <w:t>section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Product Revenue,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 revenue, net from the sales of roxadustat commercial product in China was as follows for the three and nine months ended September 30, 2023 and 2022 (in thousands):</w:t>
      </w:r>
    </w:p>
    <w:p>
      <w:pPr>
        <w:pStyle w:val="TextBody"/>
        <w:bidi w:val="0"/>
        <w:jc w:val="left"/>
        <w:rPr/>
      </w:pPr>
      <w:r>
        <w:rPr/>
        <w:t> </w:t>
      </w:r>
    </w:p>
    <w:tbl>
      <w:tblPr>
        <w:tblW w:w="9996" w:type="dxa"/>
        <w:jc w:val="left"/>
        <w:tblInd w:w="0" w:type="dxa"/>
        <w:tblLayout w:type="fixed"/>
        <w:tblCellMar>
          <w:top w:w="28" w:type="dxa"/>
          <w:left w:w="28" w:type="dxa"/>
          <w:bottom w:w="28" w:type="dxa"/>
          <w:right w:w="28" w:type="dxa"/>
        </w:tblCellMar>
      </w:tblPr>
      <w:tblGrid>
        <w:gridCol w:w="3471"/>
        <w:gridCol w:w="146"/>
        <w:gridCol w:w="256"/>
        <w:gridCol w:w="896"/>
        <w:gridCol w:w="202"/>
        <w:gridCol w:w="177"/>
        <w:gridCol w:w="256"/>
        <w:gridCol w:w="896"/>
        <w:gridCol w:w="166"/>
        <w:gridCol w:w="146"/>
        <w:gridCol w:w="243"/>
        <w:gridCol w:w="900"/>
        <w:gridCol w:w="191"/>
        <w:gridCol w:w="168"/>
        <w:gridCol w:w="243"/>
        <w:gridCol w:w="848"/>
        <w:gridCol w:w="791"/>
      </w:tblGrid>
      <w:tr>
        <w:trPr/>
        <w:tc>
          <w:tcPr>
            <w:tcW w:w="3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Sales:</w:t>
            </w:r>
          </w:p>
        </w:tc>
        <w:tc>
          <w:tcPr>
            <w:tcW w:w="146" w:type="dxa"/>
            <w:tcBorders/>
            <w:shd w:fill="CFF0FC" w:val="clear"/>
            <w:vAlign w:val="center"/>
          </w:tcPr>
          <w:p>
            <w:pPr>
              <w:pStyle w:val="TableContents"/>
              <w:bidi w:val="0"/>
              <w:spacing w:before="0" w:after="283"/>
              <w:jc w:val="center"/>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3"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091"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34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revenue</w:t>
            </w:r>
          </w:p>
        </w:tc>
        <w:tc>
          <w:tcPr>
            <w:tcW w:w="146" w:type="dxa"/>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3,186</w:t>
            </w:r>
          </w:p>
        </w:tc>
        <w:tc>
          <w:tcPr>
            <w:tcW w:w="20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9,853</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8,972</w:t>
            </w:r>
          </w:p>
        </w:tc>
        <w:tc>
          <w:tcPr>
            <w:tcW w:w="791" w:type="dxa"/>
            <w:tcBorders/>
            <w:shd w:fill="FFFFFF" w:val="clear"/>
            <w:vAlign w:val="center"/>
          </w:tcPr>
          <w:p>
            <w:pPr>
              <w:pStyle w:val="TableContents"/>
              <w:bidi w:val="0"/>
              <w:spacing w:before="0" w:after="283"/>
              <w:ind w:left="0" w:right="0" w:firstLine="100"/>
              <w:jc w:val="left"/>
              <w:rPr/>
            </w:pPr>
            <w:r>
              <w:rPr/>
              <w:t> </w:t>
            </w:r>
          </w:p>
        </w:tc>
      </w:tr>
      <w:tr>
        <w:trPr/>
        <w:tc>
          <w:tcPr>
            <w:tcW w:w="347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Discounts and rebates</w:t>
            </w:r>
          </w:p>
        </w:tc>
        <w:tc>
          <w:tcPr>
            <w:tcW w:w="146" w:type="dxa"/>
            <w:tcBorders/>
            <w:shd w:fill="CFF0FC" w:val="clear"/>
            <w:vAlign w:val="center"/>
          </w:tcPr>
          <w:p>
            <w:pPr>
              <w:pStyle w:val="TableContents"/>
              <w:bidi w:val="0"/>
              <w:spacing w:before="0" w:after="283"/>
              <w:jc w:val="center"/>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w:t>
            </w:r>
          </w:p>
        </w:tc>
        <w:tc>
          <w:tcPr>
            <w:tcW w:w="2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(763</w:t>
            </w:r>
          </w:p>
        </w:tc>
        <w:tc>
          <w:tcPr>
            <w:tcW w:w="1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8"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w:t>
            </w:r>
          </w:p>
        </w:tc>
        <w:tc>
          <w:tcPr>
            <w:tcW w:w="79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7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Sales returns</w:t>
            </w:r>
          </w:p>
        </w:tc>
        <w:tc>
          <w:tcPr>
            <w:tcW w:w="146" w:type="dxa"/>
            <w:tcBorders/>
            <w:shd w:fill="FFFFFF" w:val="cle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7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Direct sales revenue, net</w:t>
            </w:r>
          </w:p>
        </w:tc>
        <w:tc>
          <w:tcPr>
            <w:tcW w:w="146" w:type="dxa"/>
            <w:tcBorders/>
            <w:shd w:fill="CFF0FC" w:val="clear"/>
            <w:vAlign w:val="center"/>
          </w:tcPr>
          <w:p>
            <w:pPr>
              <w:pStyle w:val="TableContents"/>
              <w:bidi w:val="0"/>
              <w:spacing w:before="0" w:after="283"/>
              <w:jc w:val="center"/>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2,927</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8,622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71"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3"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091"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34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Sales to Falikang:</w:t>
            </w:r>
          </w:p>
        </w:tc>
        <w:tc>
          <w:tcPr>
            <w:tcW w:w="146" w:type="dxa"/>
            <w:tcBorders/>
            <w:shd w:fill="CFF0FC" w:val="clear"/>
            <w:vAlign w:val="center"/>
          </w:tcPr>
          <w:p>
            <w:pPr>
              <w:pStyle w:val="TableContents"/>
              <w:bidi w:val="0"/>
              <w:spacing w:before="0" w:after="283"/>
              <w:jc w:val="center"/>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3"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091"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34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transaction price</w:t>
            </w:r>
          </w:p>
        </w:tc>
        <w:tc>
          <w:tcPr>
            <w:tcW w:w="146" w:type="dxa"/>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42,294</w:t>
            </w:r>
          </w:p>
        </w:tc>
        <w:tc>
          <w:tcPr>
            <w:tcW w:w="20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118,696</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83,517</w:t>
            </w:r>
          </w:p>
        </w:tc>
        <w:tc>
          <w:tcPr>
            <w:tcW w:w="791" w:type="dxa"/>
            <w:tcBorders/>
            <w:shd w:fill="FFFFFF" w:val="clear"/>
            <w:vAlign w:val="center"/>
          </w:tcPr>
          <w:p>
            <w:pPr>
              <w:pStyle w:val="TableContents"/>
              <w:bidi w:val="0"/>
              <w:spacing w:before="0" w:after="283"/>
              <w:ind w:left="0" w:right="0" w:firstLine="100"/>
              <w:jc w:val="left"/>
              <w:rPr/>
            </w:pPr>
            <w:r>
              <w:rPr/>
              <w:t> </w:t>
            </w:r>
          </w:p>
        </w:tc>
      </w:tr>
      <w:tr>
        <w:trPr/>
        <w:tc>
          <w:tcPr>
            <w:tcW w:w="347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Profit share</w:t>
            </w:r>
          </w:p>
        </w:tc>
        <w:tc>
          <w:tcPr>
            <w:tcW w:w="146" w:type="dxa"/>
            <w:tcBorders/>
            <w:shd w:fill="CFF0FC" w:val="clear"/>
            <w:vAlign w:val="center"/>
          </w:tcPr>
          <w:p>
            <w:pPr>
              <w:pStyle w:val="TableContents"/>
              <w:bidi w:val="0"/>
              <w:spacing w:before="0" w:after="283"/>
              <w:jc w:val="center"/>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(18,130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(31,894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transaction price</w:t>
            </w:r>
          </w:p>
        </w:tc>
        <w:tc>
          <w:tcPr>
            <w:tcW w:w="146" w:type="dxa"/>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24,164</w:t>
            </w:r>
          </w:p>
        </w:tc>
        <w:tc>
          <w:tcPr>
            <w:tcW w:w="20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67,266</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51,623</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4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Decrease (increase) in deferred revenue</w:t>
            </w:r>
          </w:p>
        </w:tc>
        <w:tc>
          <w:tcPr>
            <w:tcW w:w="146" w:type="dxa"/>
            <w:tcBorders/>
            <w:shd w:fill="CFF0FC" w:val="clear"/>
            <w:vAlign w:val="center"/>
          </w:tcPr>
          <w:p>
            <w:pPr>
              <w:pStyle w:val="TableContents"/>
              <w:bidi w:val="0"/>
              <w:spacing w:before="0" w:after="283"/>
              <w:jc w:val="center"/>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2,299</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7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Sales to Falikang revenue, net</w:t>
            </w:r>
          </w:p>
        </w:tc>
        <w:tc>
          <w:tcPr>
            <w:tcW w:w="146" w:type="dxa"/>
            <w:tcBorders/>
            <w:shd w:fill="FFFFFF" w:val="cle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26,463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50,873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7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product revenue, net</w:t>
            </w:r>
          </w:p>
        </w:tc>
        <w:tc>
          <w:tcPr>
            <w:tcW w:w="146" w:type="dxa"/>
            <w:tcBorders/>
            <w:shd w:fill="CFF0FC" w:val="clear"/>
            <w:vAlign w:val="center"/>
          </w:tcPr>
          <w:p>
            <w:pPr>
              <w:pStyle w:val="TableContents"/>
              <w:bidi w:val="0"/>
              <w:spacing w:before="0" w:after="283"/>
              <w:jc w:val="center"/>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29,390</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59,495</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Direct Sales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 revenue from direct roxadustat product sales to distributors in China is recognized in an amount that reflects the consideration that the Company expects to be entitled to in exchange for those products, net of various sales rebates and discounts. The total discounts and rebates were immaterial for the periods presented.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Due to the Company’s legal right to offset, at each balance sheet date, the rebates and discounts are presented as reductions to gross accounts receivable from the distributor, or as a current liability to the distributor to the extent that the total amount exceeds the gross accounts receivable or when the Company expects to settle the discount in cash. The Company’s legal right to offset is determined at the individual distributor level. The contract liabilities were included in accrued and other current liabilities in the condensed consolidated balance sheet and were immaterial as of September 30, 2023 and December 31, 2022, respectively. The rebates and discounts reflected as reductions to gross accounts receivable for direct sales were immaterial as of September 30, 2023 and December 31, 2022, respectively.</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Sales to Falikang – China Performance Obligation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Substantially all direct roxadustat product sales to distributors in China are made by Falikang. FibroGen Beijing manufactures and supplies commercial product to Falikang. The net transfer price for FibroGen Beijing’s product sales to Falikang is based on a gross transfer price, which is adjusted to account for the 50/50 profit share for the period.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roxadustat sales to Falikang marked the beginning of the Company’s China performance obligation under the Company’s agreements with AstraZeneca</w:t>
      </w:r>
      <w:r>
        <w:rPr>
          <w:rFonts w:ascii="Times New Roman" w:hAnsi="Times New Roman"/>
          <w:b w:val="false"/>
          <w:i/>
          <w:color w:val="000000"/>
          <w:sz w:val="20"/>
        </w:rPr>
        <w:t xml:space="preserve">. </w:t>
      </w:r>
      <w:r>
        <w:rPr>
          <w:rFonts w:ascii="Times New Roman" w:hAnsi="Times New Roman"/>
          <w:b w:val="false"/>
          <w:color w:val="000000"/>
          <w:sz w:val="20"/>
        </w:rPr>
        <w:t>Product revenue is based on the transaction price of the China performance obligation. Revenue is recognized when control of the product is transferred to Falikang, in an amount that reflects the allocation of the transaction price to the performance obligation satisfied during the reporting period. Any net transaction price in excess of the revenue recognized is added to the deferred balance to date, and will be recognized in future periods as the performance obligation is satisfied.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Periodically, the Company updates its assumptions such as total sales quantity, performance period, gross transaction price and profit share and other inputs including foreign currency translation impact, among others. Following updates to its estimates, the Company recognized $2.3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from the revenue of the China performance obligation during the three and nine months ended September 30, 2023, respectively. The product revenue resulting from changes to estimated variable consideration in the current period relating to performance obligations satisfied in previous periods was immaterial for the three months ended September 30, 2023.</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includes a roll-forward of the related deferred revenue that is considered as a contract liability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63"/>
        <w:gridCol w:w="146"/>
        <w:gridCol w:w="263"/>
        <w:gridCol w:w="1050"/>
        <w:gridCol w:w="166"/>
        <w:gridCol w:w="146"/>
        <w:gridCol w:w="211"/>
        <w:gridCol w:w="736"/>
        <w:gridCol w:w="166"/>
        <w:gridCol w:w="146"/>
        <w:gridCol w:w="339"/>
        <w:gridCol w:w="1090"/>
        <w:gridCol w:w="146"/>
        <w:gridCol w:w="146"/>
        <w:gridCol w:w="255"/>
        <w:gridCol w:w="691"/>
        <w:gridCol w:w="146"/>
        <w:gridCol w:w="146"/>
        <w:gridCol w:w="268"/>
        <w:gridCol w:w="1071"/>
        <w:gridCol w:w="214"/>
      </w:tblGrid>
      <w:tr>
        <w:trPr/>
        <w:tc>
          <w:tcPr>
            <w:tcW w:w="2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6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 as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br/>
              <w:t>Translation</w:t>
              <w:br/>
              <w:t>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September 30, 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Product revenue - AstraZeneca China </w:t>
              <w:br/>
              <w:t>   performance obligation - deferred revenue</w:t>
            </w:r>
          </w:p>
        </w:tc>
        <w:tc>
          <w:tcPr>
            <w:tcW w:w="146" w:type="dxa"/>
            <w:tcBorders/>
            <w:shd w:fill="CFF0FC" w:val="clear"/>
            <w:vAlign w:val="center"/>
          </w:tcPr>
          <w:p>
            <w:pPr>
              <w:pStyle w:val="TableContents"/>
              <w:bidi w:val="0"/>
              <w:spacing w:before="0" w:after="283"/>
              <w:jc w:val="center"/>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(175,646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(177,576</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As of September 30, 2023, approximately $28.0</w:t>
      </w:r>
      <w:r>
        <w:rPr>
          <w:rFonts w:ascii="Times New Roman" w:hAnsi="Times New Roman"/>
          <w:color w:val="000000"/>
          <w:sz w:val="20"/>
        </w:rPr>
        <w:t xml:space="preserve"> </w:t>
      </w:r>
      <w:r>
        <w:rPr>
          <w:rFonts w:ascii="Times New Roman" w:hAnsi="Times New Roman"/>
          <w:b w:val="false"/>
          <w:color w:val="000000"/>
          <w:sz w:val="20"/>
        </w:rPr>
        <w:t>million of the above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Due to the Company’s legal right to offset, at each balance sheet date, the rebates and discounts, mainly related to profit sharing, are presented as reductions to gross accounts receivable from Falikang, which was $2.5</w:t>
      </w:r>
      <w:r>
        <w:rPr>
          <w:rFonts w:ascii="Times New Roman" w:hAnsi="Times New Roman"/>
          <w:color w:val="000000"/>
          <w:sz w:val="20"/>
        </w:rPr>
        <w:t xml:space="preserve"> </w:t>
      </w:r>
      <w:r>
        <w:rPr>
          <w:rFonts w:ascii="Times New Roman" w:hAnsi="Times New Roman"/>
          <w:b w:val="false"/>
          <w:color w:val="000000"/>
          <w:sz w:val="20"/>
        </w:rPr>
        <w:t>million and $0.5</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Drug Product Revenue,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Drug product revenue from commercial-grade active pharmaceutical ingredient (“API”) or bulk drug product sales to Astellas and AstraZeneca was as follows for the three and nine months ended September 30, 2023 and 2022 (in thousands):</w:t>
      </w:r>
    </w:p>
    <w:p>
      <w:pPr>
        <w:pStyle w:val="TextBody"/>
        <w:bidi w:val="0"/>
        <w:jc w:val="left"/>
        <w:rPr/>
      </w:pPr>
      <w:r>
        <w:rPr/>
        <w:t> </w:t>
      </w:r>
    </w:p>
    <w:tbl>
      <w:tblPr>
        <w:tblW w:w="8760" w:type="dxa"/>
        <w:jc w:val="left"/>
        <w:tblInd w:w="0" w:type="dxa"/>
        <w:tblLayout w:type="fixed"/>
        <w:tblCellMar>
          <w:top w:w="28" w:type="dxa"/>
          <w:left w:w="28" w:type="dxa"/>
          <w:bottom w:w="28" w:type="dxa"/>
          <w:right w:w="28" w:type="dxa"/>
        </w:tblCellMar>
      </w:tblPr>
      <w:tblGrid>
        <w:gridCol w:w="2536"/>
        <w:gridCol w:w="146"/>
        <w:gridCol w:w="295"/>
        <w:gridCol w:w="800"/>
        <w:gridCol w:w="204"/>
        <w:gridCol w:w="204"/>
        <w:gridCol w:w="295"/>
        <w:gridCol w:w="884"/>
        <w:gridCol w:w="166"/>
        <w:gridCol w:w="146"/>
        <w:gridCol w:w="279"/>
        <w:gridCol w:w="894"/>
        <w:gridCol w:w="193"/>
        <w:gridCol w:w="193"/>
        <w:gridCol w:w="279"/>
        <w:gridCol w:w="755"/>
        <w:gridCol w:w="4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Astellas Japan Agreement</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16,236</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3,297</w:t>
            </w:r>
          </w:p>
        </w:tc>
        <w:tc>
          <w:tcPr>
            <w:tcW w:w="4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Astellas Europe Agreement</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625</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1,465</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1,313</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2536"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Drug product revenue, net</w:t>
            </w:r>
          </w:p>
        </w:tc>
        <w:tc>
          <w:tcPr>
            <w:tcW w:w="146" w:type="dxa"/>
            <w:tcBorders/>
            <w:shd w:fill="CFF0FC" w:val="clear"/>
            <w:vAlign w:val="center"/>
          </w:tcPr>
          <w:p>
            <w:pPr>
              <w:pStyle w:val="TableContents"/>
              <w:bidi w:val="0"/>
              <w:spacing w:before="0" w:after="283"/>
              <w:jc w:val="center"/>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1,320</w:t>
            </w:r>
          </w:p>
        </w:tc>
        <w:tc>
          <w:tcPr>
            <w:tcW w:w="20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17,701</w:t>
            </w:r>
          </w:p>
        </w:tc>
        <w:tc>
          <w:tcPr>
            <w:tcW w:w="19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4,610</w:t>
            </w:r>
          </w:p>
        </w:tc>
        <w:tc>
          <w:tcPr>
            <w:tcW w:w="4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Astellas Japan Agreement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updates its estimate of variable consideration related to the API shipments fulfilled under the terms of Astellas Japan Amendment at each balance sheet date. As a result, the Company</w:t>
      </w:r>
      <w:r>
        <w:rPr>
          <w:rFonts w:ascii="Times New Roman" w:hAnsi="Times New Roman"/>
          <w:color w:val="000000"/>
          <w:sz w:val="20"/>
        </w:rPr>
        <w:t xml:space="preserve"> </w:t>
      </w:r>
      <w:r>
        <w:rPr>
          <w:rFonts w:ascii="Times New Roman" w:hAnsi="Times New Roman"/>
          <w:b w:val="false"/>
          <w:color w:val="000000"/>
          <w:sz w:val="20"/>
        </w:rPr>
        <w:t>recorded an adjustment to the drug product revenue of $0.7</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Specifically, the change in estimated variable consideration was based on the API held by Astellas at period end, adjusted to reflect the changes in the estimated bulk product strength mix intended to be manufactured by Astellas, and foreign exchange impacts, among others.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three months ended June 30, 2023, the Company fulfilled two shipment obligations under the terms of Astellas Japan Amendment, and recognized related drug product revenue of $14.4</w:t>
      </w:r>
      <w:r>
        <w:rPr>
          <w:rFonts w:ascii="Times New Roman" w:hAnsi="Times New Roman"/>
          <w:color w:val="000000"/>
          <w:sz w:val="20"/>
        </w:rPr>
        <w:t xml:space="preserve"> </w:t>
      </w:r>
      <w:r>
        <w:rPr>
          <w:rFonts w:ascii="Times New Roman" w:hAnsi="Times New Roman"/>
          <w:b w:val="false"/>
          <w:color w:val="000000"/>
          <w:sz w:val="20"/>
        </w:rPr>
        <w:t>million in the same period. In addition, the Company updated its estimate of variable consideration related to the API shipments fulfilled under the terms of Astellas Japan Amendment and accordingly recorded a reduction to the drug product revenue of $0.6</w:t>
      </w:r>
      <w:r>
        <w:rPr>
          <w:rFonts w:ascii="Times New Roman" w:hAnsi="Times New Roman"/>
          <w:color w:val="000000"/>
          <w:sz w:val="20"/>
        </w:rPr>
        <w:t xml:space="preserve"> </w:t>
      </w:r>
      <w:r>
        <w:rPr>
          <w:rFonts w:ascii="Times New Roman" w:hAnsi="Times New Roman"/>
          <w:b w:val="false"/>
          <w:color w:val="000000"/>
          <w:sz w:val="20"/>
        </w:rPr>
        <w:t>million for the three months ended June 30, 2023. Specifically, the change in estimated variable consideration was based on the API held by Astellas at period end, adjusted to reflect the changes in the estimated bulk product strength mix intended to be manufactured by Astellas and foreign exchange impacts, among others.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three months ended March 31, 2023, the Company updated its estimate of variable consideration related to the API shipments fulfilled under the terms of Astellas Japan Amendment, and accordingly recorded an adjustment to the drug product revenue of $1.7</w:t>
      </w:r>
      <w:r>
        <w:rPr>
          <w:rFonts w:ascii="Times New Roman" w:hAnsi="Times New Roman"/>
          <w:color w:val="000000"/>
          <w:sz w:val="20"/>
        </w:rPr>
        <w:t xml:space="preserve"> </w:t>
      </w:r>
      <w:r>
        <w:rPr>
          <w:rFonts w:ascii="Times New Roman" w:hAnsi="Times New Roman"/>
          <w:b w:val="false"/>
          <w:color w:val="000000"/>
          <w:sz w:val="20"/>
        </w:rPr>
        <w:t>million. Specifically, the change in estimated variable consideration was based on the API held by Astellas at period end, adjusted to reflect the changes in the estimated bulk product strength mix intended to be manufactured by Astellas, and estimated yield from the manufacture of bulk product tablets, among others.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three months ended March 31, 2022, the Company fulfilled a shipment obligation under the terms of Astellas Japan Amendment, and recognized related drug product revenue of $9.8</w:t>
      </w:r>
      <w:r>
        <w:rPr>
          <w:rFonts w:ascii="Times New Roman" w:hAnsi="Times New Roman"/>
          <w:color w:val="000000"/>
          <w:sz w:val="20"/>
        </w:rPr>
        <w:t xml:space="preserve"> </w:t>
      </w:r>
      <w:r>
        <w:rPr>
          <w:rFonts w:ascii="Times New Roman" w:hAnsi="Times New Roman"/>
          <w:b w:val="false"/>
          <w:color w:val="000000"/>
          <w:sz w:val="20"/>
        </w:rPr>
        <w:t>million in the same period. In addition, the Company updated its estimate of variable consideration related to the API shipments fulfilled under the terms of Astellas Japan Amendment, and recorded a reduction to the drug product revenue of $2.2</w:t>
      </w:r>
      <w:r>
        <w:rPr>
          <w:rFonts w:ascii="Times New Roman" w:hAnsi="Times New Roman"/>
          <w:color w:val="000000"/>
          <w:sz w:val="20"/>
        </w:rPr>
        <w:t xml:space="preserve"> </w:t>
      </w:r>
      <w:r>
        <w:rPr>
          <w:rFonts w:ascii="Times New Roman" w:hAnsi="Times New Roman"/>
          <w:b w:val="false"/>
          <w:color w:val="000000"/>
          <w:sz w:val="20"/>
        </w:rPr>
        <w:t>million during the first quarter of 2022. Specifically, the change in estimated variable consideration was based on the API held by Astellas at period end, adjusted to reflect the changes in the estimated bulk product strength mix intended to be manufactured by Astellas, estimated cost to convert the API to bulk product tablets, and estimated yield from the manufacture of bulk product tablets, among others.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three months ended September 30, 2022, the Company updated its estimate of variable consideration related to the API shipments fulfilled under the terms of Astellas Japan Amendment, and accordingly recorded a reduction to the drug product revenue of $4.3</w:t>
      </w:r>
      <w:r>
        <w:rPr>
          <w:rFonts w:ascii="Times New Roman" w:hAnsi="Times New Roman"/>
          <w:color w:val="000000"/>
          <w:sz w:val="20"/>
        </w:rPr>
        <w:t xml:space="preserve"> </w:t>
      </w:r>
      <w:r>
        <w:rPr>
          <w:rFonts w:ascii="Times New Roman" w:hAnsi="Times New Roman"/>
          <w:b w:val="false"/>
          <w:color w:val="000000"/>
          <w:sz w:val="20"/>
        </w:rPr>
        <w:t>million. Specifically, the change in estimated variable consideration was based on the API held by Astellas at period end, adjusted to reflect foreign currency translation impact and the changes in the estimated bulk product strength mix intended to be manufactured by Astellas, among others.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 balances related to the API price true-up under the Astellas Japan Agreement were $0.6</w:t>
      </w:r>
      <w:r>
        <w:rPr>
          <w:rFonts w:ascii="Times New Roman" w:hAnsi="Times New Roman"/>
          <w:color w:val="000000"/>
          <w:sz w:val="20"/>
        </w:rPr>
        <w:t xml:space="preserve"> </w:t>
      </w:r>
      <w:r>
        <w:rPr>
          <w:rFonts w:ascii="Times New Roman" w:hAnsi="Times New Roman"/>
          <w:b w:val="false"/>
          <w:color w:val="000000"/>
          <w:sz w:val="20"/>
        </w:rPr>
        <w:t>million in accrued liabilities and $0.7</w:t>
      </w:r>
      <w:r>
        <w:rPr>
          <w:rFonts w:ascii="Times New Roman" w:hAnsi="Times New Roman"/>
          <w:color w:val="000000"/>
          <w:sz w:val="20"/>
        </w:rPr>
        <w:t xml:space="preserve"> </w:t>
      </w:r>
      <w:r>
        <w:rPr>
          <w:rFonts w:ascii="Times New Roman" w:hAnsi="Times New Roman"/>
          <w:b w:val="false"/>
          <w:color w:val="000000"/>
          <w:sz w:val="20"/>
        </w:rPr>
        <w:t>million in other long-term liabilities, representing the Company’s best estimate of the timing for these amounts to be paid. As of December 31, 2022, the related balance in accrued liabilities was $6.5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Astellas Europe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transferred bulk drug product for commercial purposes under the terms of the Astellas Europe Agreement and the Astellas EU Supply Agreement in the prior years. The Company recognized the related fully burdened manufacturing costs as drug product revenue in the respective periods and recorded the constrained transaction price in deferred revenue due to a high degree of uncertainty associated with the variable consideration for revenue recognition purposes. The Company updates its estimate of variable consideration related to the bulk drug product transferred in prior years at each balance sheet date.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2022,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the Company reclassified the related deferred revenue to accrued liabilities during the year ended December 31, 2022. As of December 31, 2022, the related balance was $57.4</w:t>
      </w:r>
      <w:r>
        <w:rPr>
          <w:rFonts w:ascii="Times New Roman" w:hAnsi="Times New Roman"/>
          <w:color w:val="000000"/>
          <w:sz w:val="20"/>
        </w:rPr>
        <w:t xml:space="preserve"> </w:t>
      </w:r>
      <w:r>
        <w:rPr>
          <w:rFonts w:ascii="Times New Roman" w:hAnsi="Times New Roman"/>
          <w:b w:val="false"/>
          <w:color w:val="000000"/>
          <w:sz w:val="20"/>
        </w:rPr>
        <w:t>million in accrued liabilities, which was paid to Astellas during the second quarter of 2023. Further for the nine months ended September 30, 2023, the Company reclassified $28.7</w:t>
      </w:r>
      <w:r>
        <w:rPr>
          <w:rFonts w:ascii="Times New Roman" w:hAnsi="Times New Roman"/>
          <w:color w:val="000000"/>
          <w:sz w:val="20"/>
        </w:rPr>
        <w:t xml:space="preserve"> </w:t>
      </w:r>
      <w:r>
        <w:rPr>
          <w:rFonts w:ascii="Times New Roman" w:hAnsi="Times New Roman"/>
          <w:b w:val="false"/>
          <w:color w:val="000000"/>
          <w:sz w:val="20"/>
        </w:rPr>
        <w:t>million from the related deferred revenue to accrued liabilities. As of September 30, 2023, the balances related to the bulk drug product price true-up under the Astellas Europe Agreement and the Astellas EU Supply Agreement were $28.6</w:t>
      </w:r>
      <w:r>
        <w:rPr>
          <w:rFonts w:ascii="Times New Roman" w:hAnsi="Times New Roman"/>
          <w:color w:val="000000"/>
          <w:sz w:val="20"/>
        </w:rPr>
        <w:t xml:space="preserve"> </w:t>
      </w:r>
      <w:r>
        <w:rPr>
          <w:rFonts w:ascii="Times New Roman" w:hAnsi="Times New Roman"/>
          <w:b w:val="false"/>
          <w:color w:val="000000"/>
          <w:sz w:val="20"/>
        </w:rPr>
        <w:t>million in accrued liabilities, representing the Company’s best estimate that these amounts will be paid within the next 12 months.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recognized royalty revenue of $0.6</w:t>
      </w:r>
      <w:r>
        <w:rPr>
          <w:rFonts w:ascii="Times New Roman" w:hAnsi="Times New Roman"/>
          <w:color w:val="000000"/>
          <w:sz w:val="20"/>
        </w:rPr>
        <w:t xml:space="preserve"> </w:t>
      </w:r>
      <w:r>
        <w:rPr>
          <w:rFonts w:ascii="Times New Roman" w:hAnsi="Times New Roman"/>
          <w:b w:val="false"/>
          <w:color w:val="000000"/>
          <w:sz w:val="20"/>
        </w:rPr>
        <w:t>million and $1.5</w:t>
      </w:r>
      <w:r>
        <w:rPr>
          <w:rFonts w:ascii="Times New Roman" w:hAnsi="Times New Roman"/>
          <w:color w:val="000000"/>
          <w:sz w:val="20"/>
        </w:rPr>
        <w:t xml:space="preserve"> </w:t>
      </w:r>
      <w:r>
        <w:rPr>
          <w:rFonts w:ascii="Times New Roman" w:hAnsi="Times New Roman"/>
          <w:b w:val="false"/>
          <w:color w:val="000000"/>
          <w:sz w:val="20"/>
        </w:rPr>
        <w:t>million as drug product revenue from the deferred revenue under the Astellas Europe Agreement during the three and nine months ended September 30, 2023, respectively. It is the Company’s best estimate that the remainder of the deferred revenue will be recognized as revenue when uncertainty is resolved, based on the performance of roxadustat product sales in the Astellas territory.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includes a roll-forward of the above-mentioned deferred revenues that are considered as contract liabilities related to drug product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3"/>
        <w:gridCol w:w="146"/>
        <w:gridCol w:w="260"/>
        <w:gridCol w:w="907"/>
        <w:gridCol w:w="166"/>
        <w:gridCol w:w="146"/>
        <w:gridCol w:w="301"/>
        <w:gridCol w:w="495"/>
        <w:gridCol w:w="146"/>
        <w:gridCol w:w="146"/>
        <w:gridCol w:w="342"/>
        <w:gridCol w:w="929"/>
        <w:gridCol w:w="146"/>
        <w:gridCol w:w="146"/>
        <w:gridCol w:w="502"/>
        <w:gridCol w:w="1611"/>
        <w:gridCol w:w="146"/>
        <w:gridCol w:w="146"/>
        <w:gridCol w:w="264"/>
        <w:gridCol w:w="921"/>
        <w:gridCol w:w="296"/>
      </w:tblGrid>
      <w:tr>
        <w:trPr/>
        <w:tc>
          <w:tcPr>
            <w:tcW w:w="2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0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 as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Reclassified to Accrued Liability / Accounts Payable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September 30, 2023</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Drug product revenue - deferred revenue:</w:t>
            </w:r>
          </w:p>
        </w:tc>
        <w:tc>
          <w:tcPr>
            <w:tcW w:w="146" w:type="dxa"/>
            <w:tcBorders/>
            <w:shd w:fill="CFF0FC" w:val="clear"/>
            <w:vAlign w:val="center"/>
          </w:tcPr>
          <w:p>
            <w:pPr>
              <w:pStyle w:val="TableContents"/>
              <w:bidi w:val="0"/>
              <w:spacing w:before="0" w:after="283"/>
              <w:jc w:val="center"/>
              <w:rPr/>
            </w:pPr>
            <w:r>
              <w:rPr/>
              <w:t> </w:t>
            </w:r>
          </w:p>
        </w:tc>
        <w:tc>
          <w:tcPr>
            <w:tcW w:w="11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204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Astellas Europe Agreement</w:t>
            </w:r>
          </w:p>
        </w:tc>
        <w:tc>
          <w:tcPr>
            <w:tcW w:w="146" w:type="dxa"/>
            <w:tcBorders/>
            <w:shd w:fill="FFFFFF" w:val="clear"/>
            <w:vAlign w:val="center"/>
          </w:tcPr>
          <w:p>
            <w:pPr>
              <w:pStyle w:val="TableContents"/>
              <w:bidi w:val="0"/>
              <w:spacing w:before="0" w:after="283"/>
              <w:jc w:val="center"/>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(10,153</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AstraZeneca U.S./RoW Agreement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was no shipment of bulk drug product to AstraZeneca as commercial supply under the terms of the AstraZeneca Master Supply Agreement during the periods presented.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first quarter of 2022, the Company evaluated the current developments in the U.S. market, and updated its estimates of variable consideration associated with bulk drug product shipments to AstraZeneca in prior years as commercial supply. As a result, the Company reclassified $11.2</w:t>
      </w:r>
      <w:r>
        <w:rPr>
          <w:rFonts w:ascii="Times New Roman" w:hAnsi="Times New Roman"/>
          <w:color w:val="000000"/>
          <w:sz w:val="20"/>
        </w:rPr>
        <w:t xml:space="preserve"> </w:t>
      </w:r>
      <w:r>
        <w:rPr>
          <w:rFonts w:ascii="Times New Roman" w:hAnsi="Times New Roman"/>
          <w:b w:val="false"/>
          <w:color w:val="000000"/>
          <w:sz w:val="20"/>
        </w:rPr>
        <w:t>million from the related deferred revenue to accrued liabilities during the year ended December 31, 2022, which remained unchanged as of September 30, 2023 and December 31, 2022, representing the Company’s best estimate that this amount will be paid within the next 12 months.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Eluminex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July 2021, FibroGen exclusively licensed to Eluminex Biosciences (Suzhou) Limited (“Eluminex”) global rights to its investigational biosynthetic cornea derived from recombinant human collagen Type III.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Under the terms of the agreement with Eluminex, as amended and restated, Eluminex made an $8.0</w:t>
      </w:r>
      <w:r>
        <w:rPr>
          <w:rFonts w:ascii="Times New Roman" w:hAnsi="Times New Roman"/>
          <w:color w:val="000000"/>
          <w:sz w:val="20"/>
        </w:rPr>
        <w:t xml:space="preserve"> </w:t>
      </w:r>
      <w:r>
        <w:rPr>
          <w:rFonts w:ascii="Times New Roman" w:hAnsi="Times New Roman"/>
          <w:b w:val="false"/>
          <w:color w:val="000000"/>
          <w:sz w:val="20"/>
        </w:rPr>
        <w:t>million upfront payment to FibroGen during the first quarter of 2022, which was recognized as license revenue for the performance obligation satisfied during 2021. In addition, FibroGen may receive up to a total of $64.0</w:t>
      </w:r>
      <w:r>
        <w:rPr>
          <w:rFonts w:ascii="Times New Roman" w:hAnsi="Times New Roman"/>
          <w:color w:val="000000"/>
          <w:sz w:val="20"/>
        </w:rPr>
        <w:t xml:space="preserve"> </w:t>
      </w:r>
      <w:r>
        <w:rPr>
          <w:rFonts w:ascii="Times New Roman" w:hAnsi="Times New Roman"/>
          <w:b w:val="false"/>
          <w:color w:val="000000"/>
          <w:sz w:val="20"/>
        </w:rPr>
        <w:t>million in future manufacturing, clinical, regulatory, and commercial milestone payments for the biosynthetic cornea program, as well as $36.0</w:t>
      </w:r>
      <w:r>
        <w:rPr>
          <w:rFonts w:ascii="Times New Roman" w:hAnsi="Times New Roman"/>
          <w:color w:val="000000"/>
          <w:sz w:val="20"/>
        </w:rPr>
        <w:t xml:space="preserve"> </w:t>
      </w:r>
      <w:r>
        <w:rPr>
          <w:rFonts w:ascii="Times New Roman" w:hAnsi="Times New Roman"/>
          <w:b w:val="false"/>
          <w:color w:val="000000"/>
          <w:sz w:val="20"/>
        </w:rPr>
        <w:t>million in commercial milestones for the first recombinant collagen III product that is not the biosynthetic cornea. FibroGen will also be eligible to receive mid-single-digit to low double-digit royalties based upon worldwide net sales of cornea products, and low single-digit to mid-single-digit royalties based upon worldwide net sales of other recombinant human collagen type III products that are not cornea products.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April 2023, FibroGen and Eluminex entered into an Amended and Restated Exclusive License Agreement (“A&amp;R Eluminex Agreement”) in order to add to the license rights to recombinant human collagen Type I (in addition to the rights to collagen Type III that were already licensed). The A&amp;R Eluminex Agreement included additional total upfront payments of $1.5</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three months ended September 30, 2023, the Company recognized a $0.5</w:t>
      </w:r>
      <w:r>
        <w:rPr>
          <w:rFonts w:ascii="Times New Roman" w:hAnsi="Times New Roman"/>
          <w:color w:val="000000"/>
          <w:sz w:val="20"/>
        </w:rPr>
        <w:t xml:space="preserve"> </w:t>
      </w:r>
      <w:r>
        <w:rPr>
          <w:rFonts w:ascii="Times New Roman" w:hAnsi="Times New Roman"/>
          <w:b w:val="false"/>
          <w:color w:val="000000"/>
          <w:sz w:val="20"/>
        </w:rPr>
        <w:t>million upfront payment related to patent transfer under the A&amp;R Eluminex Agreement. During the three months ended June 30, 2023, the Company recognized a $1.0</w:t>
      </w:r>
      <w:r>
        <w:rPr>
          <w:rFonts w:ascii="Times New Roman" w:hAnsi="Times New Roman"/>
          <w:color w:val="000000"/>
          <w:sz w:val="20"/>
        </w:rPr>
        <w:t xml:space="preserve"> </w:t>
      </w:r>
      <w:r>
        <w:rPr>
          <w:rFonts w:ascii="Times New Roman" w:hAnsi="Times New Roman"/>
          <w:b w:val="false"/>
          <w:color w:val="000000"/>
          <w:sz w:val="20"/>
        </w:rPr>
        <w:t>million upfront payment. During the three months ended March 31, 2023, the Company recognized a $3.0</w:t>
      </w:r>
      <w:r>
        <w:rPr>
          <w:rFonts w:ascii="Times New Roman" w:hAnsi="Times New Roman"/>
          <w:color w:val="000000"/>
          <w:sz w:val="20"/>
        </w:rPr>
        <w:t xml:space="preserve"> </w:t>
      </w:r>
      <w:r>
        <w:rPr>
          <w:rFonts w:ascii="Times New Roman" w:hAnsi="Times New Roman"/>
          <w:b w:val="false"/>
          <w:color w:val="000000"/>
          <w:sz w:val="20"/>
        </w:rPr>
        <w:t>million milestone payment based on Eluminex implanting a biosynthetic cornea in the first patient of its clinical trial in China, and a $3.0</w:t>
      </w:r>
      <w:r>
        <w:rPr>
          <w:rFonts w:ascii="Times New Roman" w:hAnsi="Times New Roman"/>
          <w:color w:val="000000"/>
          <w:sz w:val="20"/>
        </w:rPr>
        <w:t xml:space="preserve"> </w:t>
      </w:r>
      <w:r>
        <w:rPr>
          <w:rFonts w:ascii="Times New Roman" w:hAnsi="Times New Roman"/>
          <w:b w:val="false"/>
          <w:color w:val="000000"/>
          <w:sz w:val="20"/>
        </w:rPr>
        <w:t>million manufacturing related milestone payment.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first quarter of 2022, FibroGen and Eluminex entered into a separate contract manufacturing agreement, under which the Company is responsible for supplying the cornea product at cost plus 10% of its product manufacturing costs until its manufacturing technology is fully transferred to Eluminex. The related contract manufacturing revenue was recorded as other revenue and included in development and other revenue in the condensed consolidated statement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Amounts recognized as revenue under the Eluminex were as follows for the three and nine months ended September 30, 2023 and 2022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6"/>
        <w:gridCol w:w="146"/>
        <w:gridCol w:w="3260"/>
        <w:gridCol w:w="146"/>
        <w:gridCol w:w="362"/>
        <w:gridCol w:w="722"/>
        <w:gridCol w:w="250"/>
        <w:gridCol w:w="250"/>
        <w:gridCol w:w="362"/>
        <w:gridCol w:w="722"/>
        <w:gridCol w:w="146"/>
        <w:gridCol w:w="146"/>
        <w:gridCol w:w="293"/>
        <w:gridCol w:w="795"/>
        <w:gridCol w:w="203"/>
        <w:gridCol w:w="203"/>
        <w:gridCol w:w="293"/>
        <w:gridCol w:w="795"/>
        <w:gridCol w:w="195"/>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6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Performance 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shd w:fill="FFFFFF" w:val="cle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Eluminex</w:t>
            </w:r>
          </w:p>
        </w:tc>
        <w:tc>
          <w:tcPr>
            <w:tcW w:w="146" w:type="dxa"/>
            <w:tcBorders/>
            <w:shd w:fill="CFF0FC" w:val="clear"/>
            <w:vAlign w:val="center"/>
          </w:tcPr>
          <w:p>
            <w:pPr>
              <w:pStyle w:val="TableContents"/>
              <w:bidi w:val="0"/>
              <w:spacing w:before="0" w:after="283"/>
              <w:jc w:val="left"/>
              <w:rPr/>
            </w:pPr>
            <w:r>
              <w:rPr/>
              <w:t> </w:t>
            </w:r>
          </w:p>
        </w:tc>
        <w:tc>
          <w:tcPr>
            <w:tcW w:w="3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License revenue</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250"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7,000</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r>
      <w:tr>
        <w:trPr/>
        <w:tc>
          <w:tcPr>
            <w:tcW w:w="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revenue - patent transfer</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2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203"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color w:val="000000"/>
              </w:rPr>
            </w:pPr>
            <w:r>
              <w:rPr>
                <w:color w:val="000000"/>
              </w:rPr>
              <w:t>—</w:t>
            </w:r>
          </w:p>
        </w:tc>
        <w:tc>
          <w:tcPr>
            <w:tcW w:w="195" w:type="dxa"/>
            <w:tcBorders/>
            <w:shd w:fill="FFFFFF" w:val="clear"/>
            <w:vAlign w:val="center"/>
          </w:tcPr>
          <w:p>
            <w:pPr>
              <w:pStyle w:val="TableContents"/>
              <w:bidi w:val="0"/>
              <w:spacing w:before="0" w:after="283"/>
              <w:jc w:val="left"/>
              <w:rPr/>
            </w:pPr>
            <w:r>
              <w:rPr/>
              <w:t> </w:t>
            </w:r>
          </w:p>
        </w:tc>
      </w:tr>
      <w:tr>
        <w:trPr/>
        <w:tc>
          <w:tcPr>
            <w:tcW w:w="9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revenue - contract manufacturing</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w:t>
            </w:r>
          </w:p>
        </w:tc>
        <w:tc>
          <w:tcPr>
            <w:tcW w:w="250"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723</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1,502</w:t>
            </w:r>
          </w:p>
        </w:tc>
        <w:tc>
          <w:tcPr>
            <w:tcW w:w="19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3. Exclusive License and Option to Acquire Fortis Therapeutics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May 5, 2023 (the “Option Acquisition Date”), the Company entered into an exclusive option agreement to acquire Fortis Therapeutics (“Fortis”) with its novel Phase 1 antibody-drug conjugate, FOR46 (now referred to as “FG-3246”), that targets a novel epitope on CD46 preferentially expressed on certain cancer cells. FG-3246 is in development for the treatment of metastatic castration-resistant prostate cancer with potential applicability in other solid tumors and hematologic malignancies.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an evaluation agreement entered into with Fortis concurrent with the option agreement (together the “Fortis Agreements”), FibroGen has exclusively licensed FG-3246 and will control and fund future research, development, including a Phase 2 clinical study sponsored by FibroGen, and manufacturing of FG-3246 during the up-to four-year option period. As part of the clinical development strategy, FibroGen will continue the work to develop a PET-based biomarker utilizing a radiolabeled version of the targeting antibody for patient selection.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Pursuant to the guidance under Accounting Standards Codification (“ASC”) 810, </w:t>
      </w:r>
      <w:r>
        <w:rPr>
          <w:rFonts w:ascii="Times New Roman" w:hAnsi="Times New Roman"/>
          <w:b w:val="false"/>
          <w:i/>
          <w:color w:val="000000"/>
          <w:sz w:val="20"/>
        </w:rPr>
        <w:t>Consolidation</w:t>
      </w:r>
      <w:r>
        <w:rPr>
          <w:rFonts w:ascii="Times New Roman" w:hAnsi="Times New Roman"/>
          <w:color w:val="000000"/>
          <w:sz w:val="20"/>
        </w:rPr>
        <w:t xml:space="preserve"> </w:t>
      </w:r>
      <w:r>
        <w:rPr>
          <w:rFonts w:ascii="Times New Roman" w:hAnsi="Times New Roman"/>
          <w:b w:val="false"/>
          <w:color w:val="000000"/>
          <w:sz w:val="20"/>
        </w:rPr>
        <w:t xml:space="preserve">(“ASC 810”), the Company determined that Fortis is a VIE and that the Company is the primary beneficiary of Fortis, as through the Fortis Agreements the Company has the power to direct activities that most significantly impact the economic performance of Fortis. Therefore, the Company consolidated Fortis starting from the Option Acquisition Date, and continues to consolidate as of September 30, 2023. The transaction was accounted for as an asset acquisition under ASC 805, </w:t>
      </w:r>
      <w:r>
        <w:rPr>
          <w:rFonts w:ascii="Times New Roman" w:hAnsi="Times New Roman"/>
          <w:b w:val="false"/>
          <w:i/>
          <w:color w:val="000000"/>
          <w:sz w:val="20"/>
        </w:rPr>
        <w:t>Business Combinations</w:t>
      </w:r>
      <w:r>
        <w:rPr>
          <w:rFonts w:ascii="Times New Roman" w:hAnsi="Times New Roman"/>
          <w:b w:val="false"/>
          <w:color w:val="000000"/>
          <w:sz w:val="20"/>
        </w:rPr>
        <w:t>, as substantially all of the fair value of the gross assets acquired is concentrated in a single identifiable IPR&amp;D asset.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The fair value of the consideration transferred was zero. If FibroGen exercises the option to acquire Fortis, it will pay Fortis an </w:t>
      </w:r>
      <w:r>
        <w:rPr>
          <w:rFonts w:ascii="Times New Roman" w:hAnsi="Times New Roman"/>
          <w:b w:val="false"/>
          <w:color w:val="212529"/>
          <w:sz w:val="20"/>
        </w:rPr>
        <w:t xml:space="preserve">option exercise payment </w:t>
      </w:r>
      <w:r>
        <w:rPr>
          <w:rFonts w:ascii="Times New Roman" w:hAnsi="Times New Roman"/>
          <w:b w:val="false"/>
          <w:color w:val="000000"/>
          <w:sz w:val="20"/>
        </w:rPr>
        <w:t>of $80.0</w:t>
      </w:r>
      <w:r>
        <w:rPr>
          <w:rFonts w:ascii="Times New Roman" w:hAnsi="Times New Roman"/>
          <w:color w:val="000000"/>
          <w:sz w:val="20"/>
        </w:rPr>
        <w:t xml:space="preserve"> </w:t>
      </w:r>
      <w:r>
        <w:rPr>
          <w:rFonts w:ascii="Times New Roman" w:hAnsi="Times New Roman"/>
          <w:b w:val="false"/>
          <w:color w:val="000000"/>
          <w:sz w:val="20"/>
        </w:rPr>
        <w:t>million, and thereafter, legacy Fortis shareholders would be eligible to receive from FibroGen up to $200.0</w:t>
      </w:r>
      <w:r>
        <w:rPr>
          <w:rFonts w:ascii="Times New Roman" w:hAnsi="Times New Roman"/>
          <w:color w:val="000000"/>
          <w:sz w:val="20"/>
        </w:rPr>
        <w:t xml:space="preserve"> </w:t>
      </w:r>
      <w:r>
        <w:rPr>
          <w:rFonts w:ascii="Times New Roman" w:hAnsi="Times New Roman"/>
          <w:b w:val="false"/>
          <w:color w:val="000000"/>
          <w:sz w:val="20"/>
        </w:rPr>
        <w:t xml:space="preserve">million in contingent payments associated with the achievement of various regulatory approvals. If FibroGen acquires Fortis, it would also be responsible to pay UCSF, an upstream licensor to Fortis, development milestone fees and a single digit royalty on net sales of therapeutic or diagnostic products arising from the </w:t>
      </w:r>
      <w:r>
        <w:rPr>
          <w:rFonts w:ascii="Times New Roman" w:hAnsi="Times New Roman"/>
          <w:b w:val="false"/>
          <w:color w:val="212529"/>
          <w:sz w:val="20"/>
        </w:rPr>
        <w:t>licensing arrangement between Fortis and UCSF</w:t>
      </w:r>
      <w:r>
        <w:rPr>
          <w:rFonts w:ascii="Times New Roman" w:hAnsi="Times New Roman"/>
          <w:b w:val="false"/>
          <w:color w:val="000000"/>
          <w:sz w:val="20"/>
        </w:rPr>
        <w:t>. If FibroGen chooses not to acquire Fortis, its exclusive license to FG-3246 would expire.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Additionally, the Company is obligated to make four quarterly payments totaling $5.0</w:t>
      </w:r>
      <w:r>
        <w:rPr>
          <w:rFonts w:ascii="Times New Roman" w:hAnsi="Times New Roman"/>
          <w:color w:val="000000"/>
          <w:sz w:val="20"/>
        </w:rPr>
        <w:t xml:space="preserve"> </w:t>
      </w:r>
      <w:r>
        <w:rPr>
          <w:rFonts w:ascii="Times New Roman" w:hAnsi="Times New Roman"/>
          <w:b w:val="false"/>
          <w:color w:val="000000"/>
          <w:sz w:val="20"/>
        </w:rPr>
        <w:t>million to Fortis in support of its continued development obligations. The Company determined that these payments should not be included in the purchase consideration, as those payments are payable to Fortis rather than to its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Fortis has authorized and issued common shares and Series A preferred shares. As of the Option Acquisition Date and September 30, 2023, the Company owned approximately 2% of Fortis’ Series A preferred shares, which was acquired previously and carried at zero cost. The NCI attributable to the common shares is classified as nonredeemable NCI, as it is 100% owned by third party shareholders. The NCI attributable to the approximately 98% of Series A preferred shares owned by other investors are classified as redeemable NCI in temporary equity, as the preferred shares are redeemable by the non-controlling shares holders upon occurrence of certain events out of the Company’s control.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Subsequent to the Option Acquisition Date, Fortis’ net income is allocated to its common shares and preferred shares based on their respective stated rights. Fortis’ net loss is allocated to its common shares only as the holders of preferred shares do not have a contractual obligation to absorb such losses.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table represents the allocation of purchase consideration based on estimated fair values of the acquired</w:t>
      </w:r>
      <w:r>
        <w:rPr>
          <w:rFonts w:ascii="Times New Roman" w:hAnsi="Times New Roman"/>
          <w:color w:val="000000"/>
          <w:sz w:val="20"/>
        </w:rPr>
        <w:t xml:space="preserve"> </w:t>
      </w:r>
      <w:r>
        <w:rPr>
          <w:rFonts w:ascii="Times New Roman" w:hAnsi="Times New Roman"/>
          <w:b w:val="false"/>
          <w:color w:val="000000"/>
          <w:sz w:val="20"/>
        </w:rPr>
        <w:t>assets (in thousands):</w:t>
      </w:r>
    </w:p>
    <w:p>
      <w:pPr>
        <w:pStyle w:val="TextBody"/>
        <w:bidi w:val="0"/>
        <w:jc w:val="left"/>
        <w:rPr/>
      </w:pPr>
      <w:r>
        <w:rPr/>
        <w:t> </w:t>
      </w:r>
    </w:p>
    <w:tbl>
      <w:tblPr>
        <w:tblW w:w="9843" w:type="dxa"/>
        <w:jc w:val="left"/>
        <w:tblInd w:w="0" w:type="dxa"/>
        <w:tblLayout w:type="fixed"/>
        <w:tblCellMar>
          <w:top w:w="28" w:type="dxa"/>
          <w:left w:w="28" w:type="dxa"/>
          <w:bottom w:w="28" w:type="dxa"/>
          <w:right w:w="28" w:type="dxa"/>
        </w:tblCellMar>
      </w:tblPr>
      <w:tblGrid>
        <w:gridCol w:w="5296"/>
        <w:gridCol w:w="146"/>
        <w:gridCol w:w="973"/>
        <w:gridCol w:w="3137"/>
        <w:gridCol w:w="29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 as of the Option Acquisition Date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Purchase consideration</w:t>
            </w:r>
          </w:p>
        </w:tc>
        <w:tc>
          <w:tcPr>
            <w:tcW w:w="146"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137"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29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0"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4110"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2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31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2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left"/>
              <w:rPr/>
            </w:pPr>
            <w:r>
              <w:rPr/>
              <w:t> </w:t>
            </w:r>
          </w:p>
        </w:tc>
        <w:tc>
          <w:tcPr>
            <w:tcW w:w="31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2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IPR&amp;D assets</w:t>
            </w:r>
          </w:p>
        </w:tc>
        <w:tc>
          <w:tcPr>
            <w:tcW w:w="146" w:type="dxa"/>
            <w:tcBorders/>
            <w:shd w:fill="FFFFFF" w:val="cle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left"/>
              <w:rPr/>
            </w:pPr>
            <w:r>
              <w:rPr/>
              <w:t> </w:t>
            </w:r>
          </w:p>
        </w:tc>
        <w:tc>
          <w:tcPr>
            <w:tcW w:w="31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25,138</w:t>
            </w:r>
          </w:p>
        </w:tc>
        <w:tc>
          <w:tcPr>
            <w:tcW w:w="291" w:type="dxa"/>
            <w:tcBorders/>
            <w:shd w:fill="CFF0FC" w:val="clear"/>
            <w:vAlign w:val="center"/>
          </w:tcPr>
          <w:p>
            <w:pPr>
              <w:pStyle w:val="TableContents"/>
              <w:bidi w:val="0"/>
              <w:spacing w:before="0" w:after="283"/>
              <w:jc w:val="left"/>
              <w:rPr/>
            </w:pPr>
            <w:r>
              <w:rPr/>
              <w:t> </w:t>
            </w:r>
          </w:p>
        </w:tc>
      </w:tr>
      <w:tr>
        <w:trPr/>
        <w:tc>
          <w:tcPr>
            <w:tcW w:w="5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0"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4110"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2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31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2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31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3,374</w:t>
            </w:r>
          </w:p>
        </w:tc>
        <w:tc>
          <w:tcPr>
            <w:tcW w:w="291" w:type="dxa"/>
            <w:tcBorders/>
            <w:shd w:fill="FFFFFF" w:val="cle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0"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r>
      <w:tr>
        <w:trPr/>
        <w:tc>
          <w:tcPr>
            <w:tcW w:w="52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Redeemable non-controlling interests</w:t>
            </w:r>
          </w:p>
        </w:tc>
        <w:tc>
          <w:tcPr>
            <w:tcW w:w="146"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31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21,480</w:t>
            </w:r>
          </w:p>
        </w:tc>
        <w:tc>
          <w:tcPr>
            <w:tcW w:w="291" w:type="dxa"/>
            <w:tcBorders/>
            <w:shd w:fill="FFFFFF" w:val="cle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Nonredeemable non-controlling interests</w:t>
            </w:r>
          </w:p>
        </w:tc>
        <w:tc>
          <w:tcPr>
            <w:tcW w:w="146" w:type="dxa"/>
            <w:tcBorders/>
            <w:shd w:fill="CFF0FC" w:val="cle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identifiable assets, liabilities and non-controlling interests</w:t>
            </w:r>
          </w:p>
        </w:tc>
        <w:tc>
          <w:tcPr>
            <w:tcW w:w="146" w:type="dxa"/>
            <w:tcBorders/>
            <w:shd w:fill="CFF0FC" w:val="clear"/>
            <w:vAlign w:val="center"/>
          </w:tcPr>
          <w:p>
            <w:pPr>
              <w:pStyle w:val="TableContents"/>
              <w:bidi w:val="0"/>
              <w:spacing w:before="0" w:after="283"/>
              <w:jc w:val="left"/>
              <w:rPr/>
            </w:pPr>
            <w:r>
              <w:rPr/>
              <w:t> </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0"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on asset acquisition</w:t>
            </w:r>
          </w:p>
        </w:tc>
        <w:tc>
          <w:tcPr>
            <w:tcW w:w="146"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1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Company used a third party valuation specialist to determine the fair value of the IPR&amp;D assets using a risk-adjusted net present value discounted cash flow model (the “rNPV”) with the following key assumptions: (i) estimated cash flow forecasts of peak sales, sales penetration, remaining IPR&amp;D related product development costs, and other related general and administrative costs; (ii) probabilities of technical success of future underlying Phase II and Phase III clinical trials and ensuing probability of regulatory approval related to the IPR&amp;D assets; and (iii) estimate of a risk-adjusted discount rate of 16.5%. The acquired IPR&amp;D assets were determined to have no alternative future use. Accordingly, the Company expensed fair value of the acquired IPR&amp;D assets of $24.4</w:t>
      </w:r>
      <w:r>
        <w:rPr>
          <w:rFonts w:ascii="Times New Roman" w:hAnsi="Times New Roman"/>
          <w:color w:val="000000"/>
          <w:sz w:val="20"/>
        </w:rPr>
        <w:t xml:space="preserve"> </w:t>
      </w:r>
      <w:r>
        <w:rPr>
          <w:rFonts w:ascii="Times New Roman" w:hAnsi="Times New Roman"/>
          <w:b w:val="false"/>
          <w:color w:val="000000"/>
          <w:sz w:val="20"/>
        </w:rPr>
        <w:t>million as research and development expense in the condensed consolidated statements of operations for the nine months ended September 30,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The fair value of Fortis (enterprise value) and the fair value of nonredeemable NCI and redeemable NCI were determined based on the above-mentioned </w:t>
      </w:r>
      <w:r>
        <w:rPr>
          <w:rFonts w:ascii="Times New Roman" w:hAnsi="Times New Roman"/>
          <w:b w:val="false"/>
          <w:color w:val="212529"/>
          <w:sz w:val="20"/>
        </w:rPr>
        <w:t xml:space="preserve">option exercise payment </w:t>
      </w:r>
      <w:r>
        <w:rPr>
          <w:rFonts w:ascii="Times New Roman" w:hAnsi="Times New Roman"/>
          <w:b w:val="false"/>
          <w:color w:val="000000"/>
          <w:sz w:val="20"/>
        </w:rPr>
        <w:t>of $80.0</w:t>
      </w:r>
      <w:r>
        <w:rPr>
          <w:rFonts w:ascii="Times New Roman" w:hAnsi="Times New Roman"/>
          <w:color w:val="000000"/>
          <w:sz w:val="20"/>
        </w:rPr>
        <w:t xml:space="preserve"> </w:t>
      </w:r>
      <w:r>
        <w:rPr>
          <w:rFonts w:ascii="Times New Roman" w:hAnsi="Times New Roman"/>
          <w:b w:val="false"/>
          <w:color w:val="000000"/>
          <w:sz w:val="20"/>
        </w:rPr>
        <w:t>million and contingent payments up to $200.0</w:t>
      </w:r>
      <w:r>
        <w:rPr>
          <w:rFonts w:ascii="Times New Roman" w:hAnsi="Times New Roman"/>
          <w:color w:val="000000"/>
          <w:sz w:val="20"/>
        </w:rPr>
        <w:t xml:space="preserve"> </w:t>
      </w:r>
      <w:r>
        <w:rPr>
          <w:rFonts w:ascii="Times New Roman" w:hAnsi="Times New Roman"/>
          <w:b w:val="false"/>
          <w:color w:val="000000"/>
          <w:sz w:val="20"/>
        </w:rPr>
        <w:t>million, weighted with probability and expected timing of the underlying events consistent with the assumptions under the rNPV, and discounted by the Company’s estimated market level cost of debt.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total assets and liabilities of Fortis were immaterial. For the period from the Option Acquisition Date to September 30, 2023, Fortis’ net income (losses) was immaterial.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Equity method investment - Variable Interest Entity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Falikang is a distribution entity jointly owned by AstraZeneca and FibroGen Beijing. FibroGen Beijing owns 51.1%</w:t>
      </w:r>
      <w:r>
        <w:rPr>
          <w:rFonts w:ascii="Times New Roman" w:hAnsi="Times New Roman"/>
          <w:color w:val="000000"/>
          <w:sz w:val="20"/>
        </w:rPr>
        <w:t xml:space="preserve"> </w:t>
      </w:r>
      <w:r>
        <w:rPr>
          <w:rFonts w:ascii="Times New Roman" w:hAnsi="Times New Roman"/>
          <w:b w:val="false"/>
          <w:color w:val="000000"/>
          <w:sz w:val="20"/>
        </w:rPr>
        <w:t>of the outstanding shares of Falikang.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guidance under ASC 810, the Company concluded that Falikang qualifies as a VIE. As Falikang is a distribution entity and AstraZeneca is the final decision maker for all the roxadustat commercialization activities, the Company lacks the power criterion, while AstraZeneca meets both the power and economic criteria under the ASC 810 to direct the activities of Falikang that most significantly impact its performance. Therefore, the Company is not the primary beneficiary of this VIE for accounting purposes. As a result, the Company accounts for its investment in Falikang under the equity method, and Falikang is not consolidated into the Company’s condensed consolidated financial statements. The Company records its total investments in Falikang as an equity method investment in an unconsolidated VIE in the condensed consolidated balance sheet. In addition, the Company recognizes its proportionate share of the reported profits or losses of Falikang as investment gain or loss in unconsolidated VIE in the condensed consolidated statement of operations and as an adjustment to its investment in Falikang in the condensed consolidated balance sheet. Falikang has not incurred material profit or loss to date. The Company may provide shareholder loans to Falikang to meet necessary financial obligations as part of its operations. To date, there has been no such loans. During the three months ended September 30, 2023, the Company received $2.3</w:t>
      </w:r>
      <w:r>
        <w:rPr>
          <w:rFonts w:ascii="Times New Roman" w:hAnsi="Times New Roman"/>
          <w:color w:val="000000"/>
          <w:sz w:val="20"/>
        </w:rPr>
        <w:t xml:space="preserve"> </w:t>
      </w:r>
      <w:r>
        <w:rPr>
          <w:rFonts w:ascii="Times New Roman" w:hAnsi="Times New Roman"/>
          <w:b w:val="false"/>
          <w:color w:val="000000"/>
          <w:sz w:val="20"/>
        </w:rPr>
        <w:t>million of dividend distribution from Falikang.</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Company’s equity method investment in Falikang was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1"/>
        <w:gridCol w:w="146"/>
        <w:gridCol w:w="339"/>
        <w:gridCol w:w="1087"/>
        <w:gridCol w:w="271"/>
        <w:gridCol w:w="146"/>
        <w:gridCol w:w="334"/>
        <w:gridCol w:w="909"/>
        <w:gridCol w:w="146"/>
        <w:gridCol w:w="146"/>
        <w:gridCol w:w="346"/>
        <w:gridCol w:w="936"/>
        <w:gridCol w:w="146"/>
        <w:gridCol w:w="146"/>
        <w:gridCol w:w="304"/>
        <w:gridCol w:w="908"/>
        <w:gridCol w:w="166"/>
        <w:gridCol w:w="146"/>
        <w:gridCol w:w="288"/>
        <w:gridCol w:w="658"/>
        <w:gridCol w:w="166"/>
        <w:gridCol w:w="146"/>
        <w:gridCol w:w="347"/>
        <w:gridCol w:w="941"/>
        <w:gridCol w:w="19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 Percentage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 of 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Received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br/>
              <w:t>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September 30, 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Falikang</w:t>
            </w:r>
          </w:p>
        </w:tc>
        <w:tc>
          <w:tcPr>
            <w:tcW w:w="146" w:type="dxa"/>
            <w:tcBorders/>
            <w:shd w:fill="CFF0FC" w:val="clear"/>
            <w:vAlign w:val="center"/>
          </w:tcPr>
          <w:p>
            <w:pPr>
              <w:pStyle w:val="TableContents"/>
              <w:bidi w:val="0"/>
              <w:spacing w:before="0" w:after="283"/>
              <w:jc w:val="center"/>
              <w:rPr/>
            </w:pPr>
            <w:r>
              <w:rPr/>
              <w:t> </w:t>
            </w:r>
          </w:p>
        </w:tc>
        <w:tc>
          <w:tcPr>
            <w:tcW w:w="339" w:type="dxa"/>
            <w:tcBorders/>
            <w:shd w:fill="CFF0FC" w:val="clear"/>
            <w:vAlign w:val="center"/>
          </w:tcPr>
          <w:p>
            <w:pPr>
              <w:pStyle w:val="TableContents"/>
              <w:bidi w:val="0"/>
              <w:spacing w:before="0" w:after="283"/>
              <w:jc w:val="left"/>
              <w:rPr/>
            </w:pPr>
            <w:r>
              <w:rPr/>
              <w:t> </w:t>
            </w:r>
          </w:p>
        </w:tc>
        <w:tc>
          <w:tcPr>
            <w:tcW w:w="10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Falikang is considered a related party to the Company. See Note 11, </w:t>
      </w:r>
      <w:r>
        <w:rPr>
          <w:rFonts w:ascii="Times New Roman" w:hAnsi="Times New Roman"/>
          <w:b w:val="false"/>
          <w:i/>
          <w:color w:val="000000"/>
          <w:sz w:val="20"/>
        </w:rPr>
        <w:t>Related Party Transactions</w:t>
      </w:r>
      <w:r>
        <w:rPr>
          <w:rFonts w:ascii="Times New Roman" w:hAnsi="Times New Roman"/>
          <w:b w:val="false"/>
          <w:color w:val="000000"/>
          <w:sz w:val="20"/>
        </w:rPr>
        <w:t>, for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Fair Value Measurements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fair values of the Company’s financial assets that are measured on a recurring basis are as follows (in thousands):</w:t>
      </w:r>
    </w:p>
    <w:tbl>
      <w:tblPr>
        <w:tblW w:w="7617" w:type="dxa"/>
        <w:jc w:val="left"/>
        <w:tblInd w:w="0" w:type="dxa"/>
        <w:tblLayout w:type="fixed"/>
        <w:tblCellMar>
          <w:top w:w="28" w:type="dxa"/>
          <w:left w:w="28" w:type="dxa"/>
          <w:bottom w:w="28" w:type="dxa"/>
          <w:right w:w="28" w:type="dxa"/>
        </w:tblCellMar>
      </w:tblPr>
      <w:tblGrid>
        <w:gridCol w:w="2446"/>
        <w:gridCol w:w="146"/>
        <w:gridCol w:w="211"/>
        <w:gridCol w:w="781"/>
        <w:gridCol w:w="146"/>
        <w:gridCol w:w="146"/>
        <w:gridCol w:w="211"/>
        <w:gridCol w:w="781"/>
        <w:gridCol w:w="146"/>
        <w:gridCol w:w="146"/>
        <w:gridCol w:w="211"/>
        <w:gridCol w:w="571"/>
        <w:gridCol w:w="146"/>
        <w:gridCol w:w="146"/>
        <w:gridCol w:w="211"/>
        <w:gridCol w:w="781"/>
        <w:gridCol w:w="3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22,016</w:t>
            </w:r>
          </w:p>
        </w:tc>
        <w:tc>
          <w:tcPr>
            <w:tcW w:w="3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11,910</w:t>
            </w:r>
          </w:p>
        </w:tc>
        <w:tc>
          <w:tcPr>
            <w:tcW w:w="3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78,800</w:t>
            </w:r>
          </w:p>
        </w:tc>
        <w:tc>
          <w:tcPr>
            <w:tcW w:w="3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62,665</w:t>
            </w:r>
          </w:p>
        </w:tc>
        <w:tc>
          <w:tcPr>
            <w:tcW w:w="3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Agency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4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40,850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139,508</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180,358</w:t>
            </w:r>
          </w:p>
        </w:tc>
        <w:tc>
          <w:tcPr>
            <w:tcW w:w="3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19,881</w:t>
            </w:r>
          </w:p>
        </w:tc>
        <w:tc>
          <w:tcPr>
            <w:tcW w:w="3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82,008</w:t>
            </w:r>
          </w:p>
        </w:tc>
        <w:tc>
          <w:tcPr>
            <w:tcW w:w="3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57,381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57,381</w:t>
            </w:r>
          </w:p>
        </w:tc>
        <w:tc>
          <w:tcPr>
            <w:tcW w:w="3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98,972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111,345</w:t>
            </w:r>
          </w:p>
        </w:tc>
        <w:tc>
          <w:tcPr>
            <w:tcW w:w="3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Agency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11,468</w:t>
            </w:r>
          </w:p>
        </w:tc>
        <w:tc>
          <w:tcPr>
            <w:tcW w:w="3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Asset-backed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2,474</w:t>
            </w:r>
          </w:p>
        </w:tc>
        <w:tc>
          <w:tcPr>
            <w:tcW w:w="3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government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4,980</w:t>
            </w:r>
          </w:p>
        </w:tc>
        <w:tc>
          <w:tcPr>
            <w:tcW w:w="3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Convertible promissory note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118,853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290,537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During the three and nine months ended September 30, 2023, a total of $8.5</w:t>
      </w:r>
      <w:r>
        <w:rPr>
          <w:rFonts w:ascii="Times New Roman" w:hAnsi="Times New Roman"/>
          <w:color w:val="000000"/>
          <w:sz w:val="20"/>
        </w:rPr>
        <w:t xml:space="preserve"> </w:t>
      </w:r>
      <w:r>
        <w:rPr>
          <w:rFonts w:ascii="Times New Roman" w:hAnsi="Times New Roman"/>
          <w:b w:val="false"/>
          <w:color w:val="000000"/>
          <w:sz w:val="20"/>
        </w:rPr>
        <w:t>million and $15.4</w:t>
      </w:r>
      <w:r>
        <w:rPr>
          <w:rFonts w:ascii="Times New Roman" w:hAnsi="Times New Roman"/>
          <w:color w:val="000000"/>
          <w:sz w:val="20"/>
        </w:rPr>
        <w:t xml:space="preserve"> </w:t>
      </w:r>
      <w:r>
        <w:rPr>
          <w:rFonts w:ascii="Times New Roman" w:hAnsi="Times New Roman"/>
          <w:b w:val="false"/>
          <w:color w:val="000000"/>
          <w:sz w:val="20"/>
        </w:rPr>
        <w:t>million, respectively, of U.S. treasury notes and bills were transferred from Level 1 to Level 2 as such instruments were changed to off-the-run when they were issued before the most recent issue and were still outstanding at measurement day.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Cash and cash equivalents consisted of the following (in thousands):</w:t>
      </w:r>
    </w:p>
    <w:p>
      <w:pPr>
        <w:pStyle w:val="TextBody"/>
        <w:bidi w:val="0"/>
        <w:jc w:val="left"/>
        <w:rPr/>
      </w:pPr>
      <w:r>
        <w:rPr/>
        <w:t> </w:t>
      </w:r>
    </w:p>
    <w:tbl>
      <w:tblPr>
        <w:tblW w:w="6775" w:type="dxa"/>
        <w:jc w:val="left"/>
        <w:tblInd w:w="0" w:type="dxa"/>
        <w:tblLayout w:type="fixed"/>
        <w:tblCellMar>
          <w:top w:w="28" w:type="dxa"/>
          <w:left w:w="28" w:type="dxa"/>
          <w:bottom w:w="28" w:type="dxa"/>
          <w:right w:w="28" w:type="dxa"/>
        </w:tblCellMar>
      </w:tblPr>
      <w:tblGrid>
        <w:gridCol w:w="2901"/>
        <w:gridCol w:w="146"/>
        <w:gridCol w:w="328"/>
        <w:gridCol w:w="1217"/>
        <w:gridCol w:w="146"/>
        <w:gridCol w:w="146"/>
        <w:gridCol w:w="319"/>
        <w:gridCol w:w="1181"/>
        <w:gridCol w:w="39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w:t>
            </w:r>
          </w:p>
        </w:tc>
        <w:tc>
          <w:tcPr>
            <w:tcW w:w="146" w:type="dxa"/>
            <w:tcBorders/>
            <w:shd w:fill="CFF0FC" w:val="clear"/>
            <w:vAlign w:val="center"/>
          </w:tcPr>
          <w:p>
            <w:pPr>
              <w:pStyle w:val="TableContents"/>
              <w:bidi w:val="0"/>
              <w:spacing w:before="0" w:after="283"/>
              <w:jc w:val="center"/>
              <w:rPr/>
            </w:pPr>
            <w:r>
              <w:rPr/>
              <w:t> </w:t>
            </w:r>
          </w:p>
        </w:tc>
        <w:tc>
          <w:tcPr>
            <w:tcW w:w="3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135,819</w:t>
            </w:r>
          </w:p>
        </w:tc>
        <w:tc>
          <w:tcPr>
            <w:tcW w:w="391" w:type="dxa"/>
            <w:tcBorders/>
            <w:shd w:fill="CFF0FC" w:val="clear"/>
            <w:vAlign w:val="center"/>
          </w:tcPr>
          <w:p>
            <w:pPr>
              <w:pStyle w:val="TableContents"/>
              <w:bidi w:val="0"/>
              <w:spacing w:before="0" w:after="283"/>
              <w:jc w:val="left"/>
              <w:rPr/>
            </w:pPr>
            <w:r>
              <w:rPr/>
              <w:t> </w:t>
            </w:r>
          </w:p>
        </w:tc>
      </w:tr>
      <w:tr>
        <w:trPr/>
        <w:tc>
          <w:tcPr>
            <w:tcW w:w="29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center"/>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9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19,881</w:t>
            </w:r>
          </w:p>
        </w:tc>
        <w:tc>
          <w:tcPr>
            <w:tcW w:w="391" w:type="dxa"/>
            <w:tcBorders/>
            <w:shd w:fill="CFF0FC" w:val="clear"/>
            <w:vAlign w:val="center"/>
          </w:tcPr>
          <w:p>
            <w:pPr>
              <w:pStyle w:val="TableContents"/>
              <w:bidi w:val="0"/>
              <w:spacing w:before="0" w:after="283"/>
              <w:jc w:val="left"/>
              <w:rPr/>
            </w:pPr>
            <w:r>
              <w:rPr/>
              <w:t> </w:t>
            </w:r>
          </w:p>
        </w:tc>
      </w:tr>
      <w:tr>
        <w:trPr/>
        <w:tc>
          <w:tcPr>
            <w:tcW w:w="29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bonds</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cash and cash equivalents</w:t>
            </w:r>
          </w:p>
        </w:tc>
        <w:tc>
          <w:tcPr>
            <w:tcW w:w="146" w:type="dxa"/>
            <w:tcBorders/>
            <w:shd w:fill="CFF0FC" w:val="clear"/>
            <w:vAlign w:val="center"/>
          </w:tcPr>
          <w:p>
            <w:pPr>
              <w:pStyle w:val="TableContents"/>
              <w:bidi w:val="0"/>
              <w:spacing w:before="0" w:after="283"/>
              <w:jc w:val="center"/>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120,914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155,700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At September 30, 2023 and December 31, 2022, a total of $60.1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$92.5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the Company’s cash and cash equivalents were held outside of the U.S. in its foreign subsidiaries to be used primarily for its China operations,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investments consist primarily of available-for-sale debt investments. The amortized cost, gross unrealized holding gains or losses, and fair value of the Company’s investments by major investments type are summarized in the tables below (in thousands):</w:t>
      </w:r>
    </w:p>
    <w:p>
      <w:pPr>
        <w:pStyle w:val="TextBody"/>
        <w:bidi w:val="0"/>
        <w:jc w:val="left"/>
        <w:rPr/>
      </w:pPr>
      <w:r>
        <w:rPr/>
        <w:t> </w:t>
      </w:r>
    </w:p>
    <w:tbl>
      <w:tblPr>
        <w:tblW w:w="8816" w:type="dxa"/>
        <w:jc w:val="left"/>
        <w:tblInd w:w="0" w:type="dxa"/>
        <w:tblLayout w:type="fixed"/>
        <w:tblCellMar>
          <w:top w:w="28" w:type="dxa"/>
          <w:left w:w="28" w:type="dxa"/>
          <w:bottom w:w="28" w:type="dxa"/>
          <w:right w:w="28" w:type="dxa"/>
        </w:tblCellMar>
      </w:tblPr>
      <w:tblGrid>
        <w:gridCol w:w="2446"/>
        <w:gridCol w:w="146"/>
        <w:gridCol w:w="265"/>
        <w:gridCol w:w="980"/>
        <w:gridCol w:w="146"/>
        <w:gridCol w:w="146"/>
        <w:gridCol w:w="510"/>
        <w:gridCol w:w="840"/>
        <w:gridCol w:w="146"/>
        <w:gridCol w:w="146"/>
        <w:gridCol w:w="338"/>
        <w:gridCol w:w="1012"/>
        <w:gridCol w:w="166"/>
        <w:gridCol w:w="146"/>
        <w:gridCol w:w="211"/>
        <w:gridCol w:w="781"/>
        <w:gridCol w:w="3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11,910</w:t>
            </w:r>
          </w:p>
        </w:tc>
        <w:tc>
          <w:tcPr>
            <w:tcW w:w="3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55,858</w:t>
            </w:r>
          </w:p>
        </w:tc>
        <w:tc>
          <w:tcPr>
            <w:tcW w:w="3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bonds</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57,691</w:t>
            </w:r>
          </w:p>
        </w:tc>
        <w:tc>
          <w:tcPr>
            <w:tcW w:w="3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Agency bonds</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4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investments</w:t>
            </w:r>
          </w:p>
        </w:tc>
        <w:tc>
          <w:tcPr>
            <w:tcW w:w="146" w:type="dxa"/>
            <w:tcBorders/>
            <w:shd w:fill="CFF0FC" w:val="clear"/>
            <w:vAlign w:val="center"/>
          </w:tcPr>
          <w:p>
            <w:pPr>
              <w:pStyle w:val="TableContents"/>
              <w:bidi w:val="0"/>
              <w:spacing w:before="0" w:after="283"/>
              <w:jc w:val="right"/>
              <w:rPr/>
            </w:pPr>
            <w:r>
              <w:rPr/>
              <w:t> </w:t>
            </w:r>
          </w:p>
        </w:tc>
        <w:tc>
          <w:tcPr>
            <w:tcW w:w="2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130,545</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130,426</w:t>
            </w:r>
          </w:p>
        </w:tc>
        <w:tc>
          <w:tcPr>
            <w:tcW w:w="3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4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83,080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82,008</w:t>
            </w:r>
          </w:p>
        </w:tc>
        <w:tc>
          <w:tcPr>
            <w:tcW w:w="3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57,381</w:t>
            </w:r>
          </w:p>
        </w:tc>
        <w:tc>
          <w:tcPr>
            <w:tcW w:w="3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bonds</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112,547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111,345</w:t>
            </w:r>
          </w:p>
        </w:tc>
        <w:tc>
          <w:tcPr>
            <w:tcW w:w="3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Agency bonds</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11,468</w:t>
            </w:r>
          </w:p>
        </w:tc>
        <w:tc>
          <w:tcPr>
            <w:tcW w:w="3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Asset-backed securities</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2,474</w:t>
            </w:r>
          </w:p>
        </w:tc>
        <w:tc>
          <w:tcPr>
            <w:tcW w:w="3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government bonds</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4,980</w:t>
            </w:r>
          </w:p>
        </w:tc>
        <w:tc>
          <w:tcPr>
            <w:tcW w:w="3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Convertible promissory note</w:t>
            </w:r>
          </w:p>
        </w:tc>
        <w:tc>
          <w:tcPr>
            <w:tcW w:w="146" w:type="dxa"/>
            <w:tcBorders/>
            <w:shd w:fill="CFF0FC" w:val="cle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investments</w:t>
            </w:r>
          </w:p>
        </w:tc>
        <w:tc>
          <w:tcPr>
            <w:tcW w:w="146" w:type="dxa"/>
            <w:tcBorders/>
            <w:shd w:fill="FFFFFF" w:val="cle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270,656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summarizes, for all available for sale securities in an unrealized loss position, the fair value and gross unrealized loss by length of time the security has been in a continual unrealized loss position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30"/>
        <w:gridCol w:w="146"/>
        <w:gridCol w:w="211"/>
        <w:gridCol w:w="676"/>
        <w:gridCol w:w="146"/>
        <w:gridCol w:w="146"/>
        <w:gridCol w:w="349"/>
        <w:gridCol w:w="799"/>
        <w:gridCol w:w="166"/>
        <w:gridCol w:w="146"/>
        <w:gridCol w:w="211"/>
        <w:gridCol w:w="781"/>
        <w:gridCol w:w="146"/>
        <w:gridCol w:w="146"/>
        <w:gridCol w:w="287"/>
        <w:gridCol w:w="861"/>
        <w:gridCol w:w="166"/>
        <w:gridCol w:w="146"/>
        <w:gridCol w:w="211"/>
        <w:gridCol w:w="781"/>
        <w:gridCol w:w="146"/>
        <w:gridCol w:w="146"/>
        <w:gridCol w:w="287"/>
        <w:gridCol w:w="861"/>
        <w:gridCol w:w="414"/>
      </w:tblGrid>
      <w:tr>
        <w:trPr/>
        <w:tc>
          <w:tcPr>
            <w:tcW w:w="1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8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4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bonds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4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41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83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23,324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18,387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41,711</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w:t>
            </w:r>
          </w:p>
        </w:tc>
        <w:tc>
          <w:tcPr>
            <w:tcW w:w="414"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18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(1,072</w:t>
            </w:r>
          </w:p>
        </w:tc>
        <w:tc>
          <w:tcPr>
            <w:tcW w:w="4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bonds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67,909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(1,207</w:t>
            </w:r>
          </w:p>
        </w:tc>
        <w:tc>
          <w:tcPr>
            <w:tcW w:w="4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Agency bonds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w:t>
            </w:r>
          </w:p>
        </w:tc>
        <w:tc>
          <w:tcPr>
            <w:tcW w:w="4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3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Asset-backed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4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government bonds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83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159,627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191,165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(2,538</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At September 30, 2023, the available-for-sale investments had remaining contractual maturities of less than twelve months.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periodically assesses whether the unrealized losses on its available-for-sale investments were temporary. The Company considers factors such as the severity and the reason for the decline in value and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Based on the results of its review, the Company did not recognize any impairment for its available-for-sale investments during the three and nine months ended September 30, 2023 and 2022.</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Inventories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Inventories consisted of the following (in thousands):</w:t>
      </w:r>
    </w:p>
    <w:p>
      <w:pPr>
        <w:pStyle w:val="TextBody"/>
        <w:bidi w:val="0"/>
        <w:jc w:val="left"/>
        <w:rPr/>
      </w:pPr>
      <w:r>
        <w:rPr/>
        <w:t> </w:t>
      </w:r>
    </w:p>
    <w:tbl>
      <w:tblPr>
        <w:tblW w:w="5590" w:type="dxa"/>
        <w:jc w:val="left"/>
        <w:tblInd w:w="0" w:type="dxa"/>
        <w:tblLayout w:type="fixed"/>
        <w:tblCellMar>
          <w:top w:w="28" w:type="dxa"/>
          <w:left w:w="28" w:type="dxa"/>
          <w:bottom w:w="28" w:type="dxa"/>
          <w:right w:w="28" w:type="dxa"/>
        </w:tblCellMar>
      </w:tblPr>
      <w:tblGrid>
        <w:gridCol w:w="1716"/>
        <w:gridCol w:w="146"/>
        <w:gridCol w:w="367"/>
        <w:gridCol w:w="1178"/>
        <w:gridCol w:w="146"/>
        <w:gridCol w:w="146"/>
        <w:gridCol w:w="357"/>
        <w:gridCol w:w="1143"/>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1,241</w:t>
            </w:r>
          </w:p>
        </w:tc>
        <w:tc>
          <w:tcPr>
            <w:tcW w:w="391" w:type="dxa"/>
            <w:tcBorders/>
            <w:shd w:fill="CFF0FC" w:val="clear"/>
            <w:vAlign w:val="center"/>
          </w:tcPr>
          <w:p>
            <w:pPr>
              <w:pStyle w:val="TableContents"/>
              <w:bidi w:val="0"/>
              <w:spacing w:before="0" w:after="283"/>
              <w:jc w:val="left"/>
              <w:rPr/>
            </w:pPr>
            <w:r>
              <w:rPr/>
              <w:t> </w:t>
            </w:r>
          </w:p>
        </w:tc>
      </w:tr>
      <w:tr>
        <w:trPr/>
        <w:tc>
          <w:tcPr>
            <w:tcW w:w="1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Work-in-progress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36,003</w:t>
            </w:r>
          </w:p>
        </w:tc>
        <w:tc>
          <w:tcPr>
            <w:tcW w:w="391" w:type="dxa"/>
            <w:tcBorders/>
            <w:shd w:fill="FFFFFF" w:val="clear"/>
            <w:vAlign w:val="center"/>
          </w:tcPr>
          <w:p>
            <w:pPr>
              <w:pStyle w:val="TableContents"/>
              <w:bidi w:val="0"/>
              <w:spacing w:before="0" w:after="283"/>
              <w:jc w:val="left"/>
              <w:rPr/>
            </w:pPr>
            <w:r>
              <w:rPr/>
              <w:t> </w:t>
            </w:r>
          </w:p>
        </w:tc>
      </w:tr>
      <w:tr>
        <w:trPr/>
        <w:tc>
          <w:tcPr>
            <w:tcW w:w="17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inventories</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Accrued and other current liabilities consisted of the following (in thousands):</w:t>
      </w:r>
    </w:p>
    <w:tbl>
      <w:tblPr>
        <w:tblW w:w="8840" w:type="dxa"/>
        <w:jc w:val="left"/>
        <w:tblInd w:w="0" w:type="dxa"/>
        <w:tblLayout w:type="fixed"/>
        <w:tblCellMar>
          <w:top w:w="28" w:type="dxa"/>
          <w:left w:w="28" w:type="dxa"/>
          <w:bottom w:w="28" w:type="dxa"/>
          <w:right w:w="28" w:type="dxa"/>
        </w:tblCellMar>
      </w:tblPr>
      <w:tblGrid>
        <w:gridCol w:w="4966"/>
        <w:gridCol w:w="146"/>
        <w:gridCol w:w="328"/>
        <w:gridCol w:w="1217"/>
        <w:gridCol w:w="146"/>
        <w:gridCol w:w="146"/>
        <w:gridCol w:w="319"/>
        <w:gridCol w:w="1181"/>
        <w:gridCol w:w="3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Preclinical and clinical trial accruals</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57,780</w:t>
            </w:r>
          </w:p>
        </w:tc>
        <w:tc>
          <w:tcPr>
            <w:tcW w:w="391" w:type="dxa"/>
            <w:tcBorders/>
            <w:shd w:fill="CFF0FC"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API and bulk drug product price true-up</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75,055</w:t>
            </w:r>
          </w:p>
        </w:tc>
        <w:tc>
          <w:tcPr>
            <w:tcW w:w="391" w:type="dxa"/>
            <w:tcBorders/>
            <w:shd w:fill="FFFFFF" w:val="cle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Litigation settlement</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Payroll and related accruals</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22,562</w:t>
            </w:r>
          </w:p>
        </w:tc>
        <w:tc>
          <w:tcPr>
            <w:tcW w:w="391" w:type="dxa"/>
            <w:tcBorders/>
            <w:shd w:fill="FFFFFF" w:val="cle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restructuring charge</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co-promotion expenses - current</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36,677</w:t>
            </w:r>
          </w:p>
        </w:tc>
        <w:tc>
          <w:tcPr>
            <w:tcW w:w="391" w:type="dxa"/>
            <w:tcBorders/>
            <w:shd w:fill="FFFFFF" w:val="cle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Roxadustat profit share to AstraZeneca</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7,280</w:t>
            </w:r>
          </w:p>
        </w:tc>
        <w:tc>
          <w:tcPr>
            <w:tcW w:w="391" w:type="dxa"/>
            <w:tcBorders/>
            <w:shd w:fill="CFF0FC"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taxes and other taxes</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7,691</w:t>
            </w:r>
          </w:p>
        </w:tc>
        <w:tc>
          <w:tcPr>
            <w:tcW w:w="391" w:type="dxa"/>
            <w:tcBorders/>
            <w:shd w:fill="FFFFFF" w:val="cle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Professional services</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5,480</w:t>
            </w:r>
          </w:p>
        </w:tc>
        <w:tc>
          <w:tcPr>
            <w:tcW w:w="391" w:type="dxa"/>
            <w:tcBorders/>
            <w:shd w:fill="CFF0FC" w:val="cle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portion of liability related to sale of future revenues</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9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3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170,986</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219,773</w:t>
            </w:r>
          </w:p>
        </w:tc>
        <w:tc>
          <w:tcPr>
            <w:tcW w:w="3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The accrued liabilities of $40.3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 xml:space="preserve">for API and bulk drug product price true-up as of September 30, 2023 resulted from changes in estimated variable consideration associated with the API shipments fulfilled under the terms of the Astellas Japan Amendment, the bulk drug product transferred under the terms of the Astellas Europe Agreement and the Astellas EU Supply Agreement, and the bulk drug product shipments to AstraZeneca under the terms of the AstraZeneca Master Supply Agreement. See the </w:t>
      </w:r>
      <w:r>
        <w:rPr>
          <w:rFonts w:ascii="Times New Roman" w:hAnsi="Times New Roman"/>
          <w:b w:val="false"/>
          <w:i/>
          <w:color w:val="000000"/>
          <w:sz w:val="20"/>
        </w:rPr>
        <w:t xml:space="preserve">Drug Product Revenue, Net </w:t>
      </w:r>
      <w:r>
        <w:rPr>
          <w:rFonts w:ascii="Times New Roman" w:hAnsi="Times New Roman"/>
          <w:b w:val="false"/>
          <w:color w:val="000000"/>
          <w:sz w:val="20"/>
        </w:rPr>
        <w:t xml:space="preserve">section in Note 2, </w:t>
      </w:r>
      <w:r>
        <w:rPr>
          <w:rFonts w:ascii="Times New Roman" w:hAnsi="Times New Roman"/>
          <w:b w:val="false"/>
          <w:i/>
          <w:color w:val="000000"/>
          <w:sz w:val="20"/>
        </w:rPr>
        <w:t>Collaboration Agreements, License Agreement and Revenues,</w:t>
      </w:r>
      <w:r>
        <w:rPr>
          <w:rFonts w:ascii="Times New Roman" w:hAnsi="Times New Roman"/>
          <w:color w:val="000000"/>
          <w:sz w:val="20"/>
        </w:rPr>
        <w:t xml:space="preserve"> </w:t>
      </w:r>
      <w:r>
        <w:rPr>
          <w:rFonts w:ascii="Times New Roman" w:hAnsi="Times New Roman"/>
          <w:b w:val="false"/>
          <w:color w:val="000000"/>
          <w:sz w:val="20"/>
        </w:rPr>
        <w:t>for details.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 accrued litigation settlement of $28.5</w:t>
      </w:r>
      <w:r>
        <w:rPr>
          <w:rFonts w:ascii="Times New Roman" w:hAnsi="Times New Roman"/>
          <w:color w:val="000000"/>
          <w:sz w:val="20"/>
        </w:rPr>
        <w:t xml:space="preserve"> </w:t>
      </w:r>
      <w:r>
        <w:rPr>
          <w:rFonts w:ascii="Times New Roman" w:hAnsi="Times New Roman"/>
          <w:b w:val="false"/>
          <w:color w:val="000000"/>
          <w:sz w:val="20"/>
        </w:rPr>
        <w:t>million was related to the Company’s agreement in principle with plaintiffs to settle the class action lawsuit. The Company maintains insurance that covers exposure related to the class action lawsuit. As the amount is fully recoverable under the Company’s insurance policies, the Company recorded a corresponding receivable in prepaid expenses and other current assets in the condensed consolidated balance sheet. The determination that the recorded receivables are probable of collection is based on the terms of the applicable insurance policies and communications with the insurers. See the</w:t>
      </w:r>
      <w:r>
        <w:rPr>
          <w:rFonts w:ascii="Times New Roman" w:hAnsi="Times New Roman"/>
          <w:color w:val="000000"/>
          <w:sz w:val="20"/>
        </w:rPr>
        <w:t xml:space="preserve"> </w:t>
      </w:r>
      <w:r>
        <w:rPr>
          <w:rFonts w:ascii="Times New Roman" w:hAnsi="Times New Roman"/>
          <w:b w:val="false"/>
          <w:i/>
          <w:color w:val="000000"/>
          <w:sz w:val="20"/>
        </w:rPr>
        <w:t>Legal Proceedings and Other Matters</w:t>
      </w:r>
      <w:r>
        <w:rPr>
          <w:rFonts w:ascii="Times New Roman" w:hAnsi="Times New Roman"/>
          <w:color w:val="000000"/>
          <w:sz w:val="20"/>
        </w:rPr>
        <w:t xml:space="preserve"> </w:t>
      </w:r>
      <w:r>
        <w:rPr>
          <w:rFonts w:ascii="Times New Roman" w:hAnsi="Times New Roman"/>
          <w:b w:val="false"/>
          <w:color w:val="000000"/>
          <w:sz w:val="20"/>
        </w:rPr>
        <w:t xml:space="preserve">section in Note 12, </w:t>
      </w:r>
      <w:r>
        <w:rPr>
          <w:rFonts w:ascii="Times New Roman" w:hAnsi="Times New Roman"/>
          <w:b w:val="false"/>
          <w:i/>
          <w:color w:val="000000"/>
          <w:sz w:val="20"/>
        </w:rPr>
        <w:t>Commitments and Contingencies</w:t>
      </w:r>
      <w:r>
        <w:rPr>
          <w:rFonts w:ascii="Times New Roman" w:hAnsi="Times New Roman"/>
          <w:b w:val="false"/>
          <w:color w:val="000000"/>
          <w:sz w:val="20"/>
        </w:rPr>
        <w:t>, for details.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July 14, 2023, the Company approved a restructuring plan (the “Plan”) to lower the Company’s operating expenses. The Plan included a reduction to the Company’s U.S. workforce of approximately 32%. As a result, the Company recorded a total of $12.6</w:t>
      </w:r>
      <w:r>
        <w:rPr>
          <w:rFonts w:ascii="Times New Roman" w:hAnsi="Times New Roman"/>
          <w:color w:val="000000"/>
          <w:sz w:val="20"/>
        </w:rPr>
        <w:t xml:space="preserve"> </w:t>
      </w:r>
      <w:r>
        <w:rPr>
          <w:rFonts w:ascii="Times New Roman" w:hAnsi="Times New Roman"/>
          <w:b w:val="false"/>
          <w:color w:val="000000"/>
          <w:sz w:val="20"/>
        </w:rPr>
        <w:t>million non-recurring restructuring charge during the three months ended September 30, 2023, primarily consisting of notice period and severance payments, accrued vacation, and employee benefits contributions. During the three months ended September 30, 2023, total cash payments under the Plan was $7.9</w:t>
      </w:r>
      <w:r>
        <w:rPr>
          <w:rFonts w:ascii="Times New Roman" w:hAnsi="Times New Roman"/>
          <w:color w:val="000000"/>
          <w:sz w:val="20"/>
        </w:rPr>
        <w:t xml:space="preserve"> </w:t>
      </w:r>
      <w:r>
        <w:rPr>
          <w:rFonts w:ascii="Times New Roman" w:hAnsi="Times New Roman"/>
          <w:b w:val="false"/>
          <w:color w:val="000000"/>
          <w:sz w:val="20"/>
        </w:rPr>
        <w:t>million. The remaining accrued restructuring charge was $4.7</w:t>
      </w:r>
      <w:r>
        <w:rPr>
          <w:rFonts w:ascii="Times New Roman" w:hAnsi="Times New Roman"/>
          <w:color w:val="000000"/>
          <w:sz w:val="20"/>
        </w:rPr>
        <w:t xml:space="preserve"> </w:t>
      </w:r>
      <w:r>
        <w:rPr>
          <w:rFonts w:ascii="Times New Roman" w:hAnsi="Times New Roman"/>
          <w:b w:val="false"/>
          <w:color w:val="000000"/>
          <w:sz w:val="20"/>
        </w:rPr>
        <w:t>million as of September 30, 2023 and will be substantially paid out by early 2024. The Plan is in connection with the Company’s efforts to streamline operations to align with the Company’s business goals.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Senior Secured Term Loan Facilities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April 29, 2023, the Company entered into a financing agreement (“Financing Agreement”) with investment funds managed by Morgan Stanley Tactical Value, as lenders (the “Lenders”), and Wilmington Trust, National Association, as the administrative agent, providing for senior secured term loan facilities consisting of (i) a $75.0</w:t>
      </w:r>
      <w:r>
        <w:rPr>
          <w:rFonts w:ascii="Times New Roman" w:hAnsi="Times New Roman"/>
          <w:color w:val="000000"/>
          <w:sz w:val="20"/>
        </w:rPr>
        <w:t xml:space="preserve"> </w:t>
      </w:r>
      <w:r>
        <w:rPr>
          <w:rFonts w:ascii="Times New Roman" w:hAnsi="Times New Roman"/>
          <w:b w:val="false"/>
          <w:color w:val="000000"/>
          <w:sz w:val="20"/>
        </w:rPr>
        <w:t>million initial term loan (the “Initial Term Loan”), (ii) a $37.5</w:t>
      </w:r>
      <w:r>
        <w:rPr>
          <w:rFonts w:ascii="Times New Roman" w:hAnsi="Times New Roman"/>
          <w:color w:val="000000"/>
          <w:sz w:val="20"/>
        </w:rPr>
        <w:t xml:space="preserve"> </w:t>
      </w:r>
      <w:r>
        <w:rPr>
          <w:rFonts w:ascii="Times New Roman" w:hAnsi="Times New Roman"/>
          <w:b w:val="false"/>
          <w:color w:val="000000"/>
          <w:sz w:val="20"/>
        </w:rPr>
        <w:t>million delayed draw term loan that will be funded upon the achievement of certain clinical development milestones (“Delayed Draw Term Loan 1”) and, (iii) an uncommitted delayed draw term loan of up to $37.5</w:t>
      </w:r>
      <w:r>
        <w:rPr>
          <w:rFonts w:ascii="Times New Roman" w:hAnsi="Times New Roman"/>
          <w:color w:val="000000"/>
          <w:sz w:val="20"/>
        </w:rPr>
        <w:t xml:space="preserve"> </w:t>
      </w:r>
      <w:r>
        <w:rPr>
          <w:rFonts w:ascii="Times New Roman" w:hAnsi="Times New Roman"/>
          <w:b w:val="false"/>
          <w:color w:val="000000"/>
          <w:sz w:val="20"/>
        </w:rPr>
        <w:t>million to be funded at the Lenders sole discretion, (“Delayed Draw Term Loan 2” and, together with the Initial Term Loan and Delayed Draw Term Loan 1, the “Term Loans”).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Financing Agreement, the Lenders have funded the Initial Term Loan. The clinical development milestones which could have triggered Delayed Draw Term Loan 1 were not achieved, and the Lenders have not funded Delayed Draw Term Loan 2. As such, these features have expired as of September 30, 2023.</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Term Loans shall accrue interest at a fixed rate of 14.0% per annum, payable monthly in arrears. The Term Loans shall mature on May 8, 2026. The Term Loans will not be subject to amortization payments. The Company is permitted to prepay the Term Loans from time to time, in whole or in part, subject to payment of a make-whole amount equal to the unpaid principal amount of the portion of the Term Loans being repaid or prepaid, plus accrued and unpaid interest of the portion of the Term Loans being repaid or prepaid, plus an amount equal to the remaining scheduled interest payments due on such portion of the Term Loans being repaid or prepaid as if such Term Loans were to remain outstanding until the scheduled maturity date.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May 8, 2023, the Company received $74.1</w:t>
      </w:r>
      <w:r>
        <w:rPr>
          <w:rFonts w:ascii="Times New Roman" w:hAnsi="Times New Roman"/>
          <w:color w:val="000000"/>
          <w:sz w:val="20"/>
        </w:rPr>
        <w:t xml:space="preserve"> </w:t>
      </w:r>
      <w:r>
        <w:rPr>
          <w:rFonts w:ascii="Times New Roman" w:hAnsi="Times New Roman"/>
          <w:b w:val="false"/>
          <w:color w:val="000000"/>
          <w:sz w:val="20"/>
        </w:rPr>
        <w:t>million, representing the Initial Term Loan of $75.0</w:t>
      </w:r>
      <w:r>
        <w:rPr>
          <w:rFonts w:ascii="Times New Roman" w:hAnsi="Times New Roman"/>
          <w:color w:val="000000"/>
          <w:sz w:val="20"/>
        </w:rPr>
        <w:t xml:space="preserve"> </w:t>
      </w:r>
      <w:r>
        <w:rPr>
          <w:rFonts w:ascii="Times New Roman" w:hAnsi="Times New Roman"/>
          <w:b w:val="false"/>
          <w:color w:val="000000"/>
          <w:sz w:val="20"/>
        </w:rPr>
        <w:t>million net of $0.9</w:t>
      </w:r>
      <w:r>
        <w:rPr>
          <w:rFonts w:ascii="Times New Roman" w:hAnsi="Times New Roman"/>
          <w:color w:val="000000"/>
          <w:sz w:val="20"/>
        </w:rPr>
        <w:t xml:space="preserve"> </w:t>
      </w:r>
      <w:r>
        <w:rPr>
          <w:rFonts w:ascii="Times New Roman" w:hAnsi="Times New Roman"/>
          <w:b w:val="false"/>
          <w:color w:val="000000"/>
          <w:sz w:val="20"/>
        </w:rPr>
        <w:t>million issuance costs. The issuance costs and the related transaction costs, totaling $3.7</w:t>
      </w:r>
      <w:r>
        <w:rPr>
          <w:rFonts w:ascii="Times New Roman" w:hAnsi="Times New Roman"/>
          <w:color w:val="000000"/>
          <w:sz w:val="20"/>
        </w:rPr>
        <w:t xml:space="preserve"> </w:t>
      </w:r>
      <w:r>
        <w:rPr>
          <w:rFonts w:ascii="Times New Roman" w:hAnsi="Times New Roman"/>
          <w:b w:val="false"/>
          <w:color w:val="000000"/>
          <w:sz w:val="20"/>
        </w:rPr>
        <w:t>million is amortized as interest expense using the effective interest method over the term of the Initial Term Loan and are reported on the balance sheet as a direct deduction from the amount of the Initial Term Loan. The effective annual interest rate of the Initial Term Loan was 16.13% for three and nine months ended September 30, 2023. The Company recorded interest expense of $2.9</w:t>
      </w:r>
      <w:r>
        <w:rPr>
          <w:rFonts w:ascii="Times New Roman" w:hAnsi="Times New Roman"/>
          <w:color w:val="000000"/>
          <w:sz w:val="20"/>
        </w:rPr>
        <w:t xml:space="preserve"> </w:t>
      </w:r>
      <w:r>
        <w:rPr>
          <w:rFonts w:ascii="Times New Roman" w:hAnsi="Times New Roman"/>
          <w:b w:val="false"/>
          <w:color w:val="000000"/>
          <w:sz w:val="20"/>
        </w:rPr>
        <w:t>million and $4.5</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2023, respectively. As of September 30, 2023, the related accrued interest was $0.4</w:t>
      </w:r>
      <w:r>
        <w:rPr>
          <w:rFonts w:ascii="Times New Roman" w:hAnsi="Times New Roman"/>
          <w:color w:val="000000"/>
          <w:sz w:val="20"/>
        </w:rPr>
        <w:t xml:space="preserve"> </w:t>
      </w:r>
      <w:r>
        <w:rPr>
          <w:rFonts w:ascii="Times New Roman" w:hAnsi="Times New Roman"/>
          <w:b w:val="false"/>
          <w:color w:val="000000"/>
          <w:sz w:val="20"/>
        </w:rPr>
        <w:t>million. The Company was in compliance with all debt covenants associated with the senior secured term loan facilities as of September 30, 2023, including maintaining a minimum balance of $30</w:t>
      </w:r>
      <w:r>
        <w:rPr>
          <w:rFonts w:ascii="Times New Roman" w:hAnsi="Times New Roman"/>
          <w:color w:val="000000"/>
          <w:sz w:val="20"/>
        </w:rPr>
        <w:t xml:space="preserve"> </w:t>
      </w:r>
      <w:r>
        <w:rPr>
          <w:rFonts w:ascii="Times New Roman" w:hAnsi="Times New Roman"/>
          <w:b w:val="false"/>
          <w:color w:val="000000"/>
          <w:sz w:val="20"/>
        </w:rPr>
        <w:t>million of unrestricted cash and cash equivalents held in accounts in the U.S.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has determined that certain other features embedded within the Loan should be bifurcated and accounted for separately as a derivative. At inception and as of September 30, 2023, the fair values of such derivatives were negligible due to the low probability of the underlying events.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Company’s senior secured term loan facilities as of September 30, 2023 were as follows (in thousands):</w:t>
      </w:r>
    </w:p>
    <w:p>
      <w:pPr>
        <w:pStyle w:val="TextBody"/>
        <w:bidi w:val="0"/>
        <w:jc w:val="left"/>
        <w:rPr/>
      </w:pPr>
      <w:r>
        <w:rPr/>
        <w:t> </w:t>
      </w:r>
    </w:p>
    <w:tbl>
      <w:tblPr>
        <w:tblW w:w="7873" w:type="dxa"/>
        <w:jc w:val="left"/>
        <w:tblInd w:w="0" w:type="dxa"/>
        <w:tblLayout w:type="fixed"/>
        <w:tblCellMar>
          <w:top w:w="28" w:type="dxa"/>
          <w:left w:w="28" w:type="dxa"/>
          <w:bottom w:w="28" w:type="dxa"/>
          <w:right w:w="28" w:type="dxa"/>
        </w:tblCellMar>
      </w:tblPr>
      <w:tblGrid>
        <w:gridCol w:w="5891"/>
        <w:gridCol w:w="146"/>
        <w:gridCol w:w="367"/>
        <w:gridCol w:w="1178"/>
        <w:gridCol w:w="291"/>
      </w:tblGrid>
      <w:tr>
        <w:trPr/>
        <w:tc>
          <w:tcPr>
            <w:tcW w:w="5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of senior secured term loan facilities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89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Less: Unamortized issuance costs and transaction costs</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8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Senior secured term loan facilities, ending balance</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71,666</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89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Less: Current Portion classified to 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Senior secured term loan facilities, non-current</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71,666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Liability Related to Sale of Future Revenues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November 4, 2022, the Company entered into a Revenue Interest Financing Agreement (the “RIFA”) with an affiliate of NovaQuest Capital Management (“NovaQuest”), pursuant to which the Company granted NovaQuest 22.5% of its drug product revenue and 10.0% (20.0% for fiscal year 2028 and thereafter) of its revenue from milestone payments that it is entitled to under the Astellas Agreements, for a consideration of $50.0</w:t>
      </w:r>
      <w:r>
        <w:rPr>
          <w:rFonts w:ascii="Times New Roman" w:hAnsi="Times New Roman"/>
          <w:color w:val="000000"/>
          <w:sz w:val="20"/>
        </w:rPr>
        <w:t xml:space="preserve"> </w:t>
      </w:r>
      <w:r>
        <w:rPr>
          <w:rFonts w:ascii="Times New Roman" w:hAnsi="Times New Roman"/>
          <w:b w:val="false"/>
          <w:color w:val="000000"/>
          <w:sz w:val="20"/>
        </w:rPr>
        <w:t>million (“Investment Amount”) before advisory fees.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November 2022, the Company received the Investment Amount, net of initial issuance costs, and accounted for it as long-term debt based on the terms of the RIFA because the risks and rewards to NovaQuest are limited by the terms of the transaction. The related debt discount and transaction costs are amortized as interest expense based on the projected balance of the liability as of the beginning of each period. As payments are made to NovaQuest, the balance of the liability related to sale of future revenues is being effectively repaid over the life of the RIFA. The payments to NovaQuest are accounted for as a reduction of debt.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may prepay its obligations to NovaQuest in full at any time during the term of RIFA. The prepayment amount varies from $80.0</w:t>
      </w:r>
      <w:r>
        <w:rPr>
          <w:rFonts w:ascii="Times New Roman" w:hAnsi="Times New Roman"/>
          <w:color w:val="000000"/>
          <w:sz w:val="20"/>
        </w:rPr>
        <w:t xml:space="preserve"> </w:t>
      </w:r>
      <w:r>
        <w:rPr>
          <w:rFonts w:ascii="Times New Roman" w:hAnsi="Times New Roman"/>
          <w:b w:val="false"/>
          <w:color w:val="000000"/>
          <w:sz w:val="20"/>
        </w:rPr>
        <w:t>million to $125.0</w:t>
      </w:r>
      <w:r>
        <w:rPr>
          <w:rFonts w:ascii="Times New Roman" w:hAnsi="Times New Roman"/>
          <w:color w:val="000000"/>
          <w:sz w:val="20"/>
        </w:rPr>
        <w:t xml:space="preserve"> </w:t>
      </w:r>
      <w:r>
        <w:rPr>
          <w:rFonts w:ascii="Times New Roman" w:hAnsi="Times New Roman"/>
          <w:b w:val="false"/>
          <w:color w:val="000000"/>
          <w:sz w:val="20"/>
        </w:rPr>
        <w:t>million less any revenue interest payments made up to such prepayment date. Under the RIFA the Company shall pay to NovaQuest up to a specified maximum amount (“Payment Cap”) of (a) $100.0</w:t>
      </w:r>
      <w:r>
        <w:rPr>
          <w:rFonts w:ascii="Times New Roman" w:hAnsi="Times New Roman"/>
          <w:color w:val="000000"/>
          <w:sz w:val="20"/>
        </w:rPr>
        <w:t xml:space="preserve"> </w:t>
      </w:r>
      <w:r>
        <w:rPr>
          <w:rFonts w:ascii="Times New Roman" w:hAnsi="Times New Roman"/>
          <w:b w:val="false"/>
          <w:color w:val="000000"/>
          <w:sz w:val="20"/>
        </w:rPr>
        <w:t>million, if the payment</w:t>
      </w:r>
      <w:r>
        <w:rPr>
          <w:rFonts w:ascii="Times New Roman" w:hAnsi="Times New Roman"/>
          <w:color w:val="000000"/>
          <w:sz w:val="20"/>
        </w:rPr>
        <w:t xml:space="preserve"> </w:t>
      </w:r>
      <w:r>
        <w:rPr>
          <w:rFonts w:ascii="Times New Roman" w:hAnsi="Times New Roman"/>
          <w:b w:val="false"/>
          <w:color w:val="000000"/>
          <w:sz w:val="20"/>
        </w:rPr>
        <w:t>is made on or before December 31, 2028; (b) $112.5</w:t>
      </w:r>
      <w:r>
        <w:rPr>
          <w:rFonts w:ascii="Times New Roman" w:hAnsi="Times New Roman"/>
          <w:color w:val="000000"/>
          <w:sz w:val="20"/>
        </w:rPr>
        <w:t xml:space="preserve"> </w:t>
      </w:r>
      <w:r>
        <w:rPr>
          <w:rFonts w:ascii="Times New Roman" w:hAnsi="Times New Roman"/>
          <w:b w:val="false"/>
          <w:color w:val="000000"/>
          <w:sz w:val="20"/>
        </w:rPr>
        <w:t>million, if the payment is made</w:t>
      </w:r>
      <w:r>
        <w:rPr>
          <w:rFonts w:ascii="Times New Roman" w:hAnsi="Times New Roman"/>
          <w:color w:val="000000"/>
          <w:sz w:val="20"/>
        </w:rPr>
        <w:t xml:space="preserve"> </w:t>
      </w:r>
      <w:r>
        <w:rPr>
          <w:rFonts w:ascii="Times New Roman" w:hAnsi="Times New Roman"/>
          <w:b w:val="false"/>
          <w:color w:val="000000"/>
          <w:sz w:val="20"/>
        </w:rPr>
        <w:t>on or after January 1, 2029, but on or before December 31, 2029; or (c) $125.0</w:t>
      </w:r>
      <w:r>
        <w:rPr>
          <w:rFonts w:ascii="Times New Roman" w:hAnsi="Times New Roman"/>
          <w:color w:val="000000"/>
          <w:sz w:val="20"/>
        </w:rPr>
        <w:t xml:space="preserve"> </w:t>
      </w:r>
      <w:r>
        <w:rPr>
          <w:rFonts w:ascii="Times New Roman" w:hAnsi="Times New Roman"/>
          <w:b w:val="false"/>
          <w:color w:val="000000"/>
          <w:sz w:val="20"/>
        </w:rPr>
        <w:t>million, if the payment is made after January 1, 2030.</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After January 1, 2028, if the product (as defined) is not commercialized for a consecutive twelve-month period, then, the payments owed under the RIFA by the Company to NovaQuest for each fiscal year shall be the greater of: (i) the amount which would otherwise be due pursuant to revenue interest payments terms; or (ii) $10.0</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Before December 31, 2028, if the sum of all payments under the RIFA paid to NovaQuest, does not equal or exceed $62.5</w:t>
      </w:r>
      <w:r>
        <w:rPr>
          <w:rFonts w:ascii="Times New Roman" w:hAnsi="Times New Roman"/>
          <w:color w:val="000000"/>
          <w:sz w:val="20"/>
        </w:rPr>
        <w:t xml:space="preserve"> </w:t>
      </w:r>
      <w:r>
        <w:rPr>
          <w:rFonts w:ascii="Times New Roman" w:hAnsi="Times New Roman"/>
          <w:b w:val="false"/>
          <w:color w:val="000000"/>
          <w:sz w:val="20"/>
        </w:rPr>
        <w:t>million, then the Company shall pay NovaQuest the difference of these two amounts by no later than March 1, 2029. If, by no later than December 31, 2030, the sum of all payments under the RIFA paid to NovaQuest does not equal or exceed $125.0</w:t>
      </w:r>
      <w:r>
        <w:rPr>
          <w:rFonts w:ascii="Times New Roman" w:hAnsi="Times New Roman"/>
          <w:color w:val="000000"/>
          <w:sz w:val="20"/>
        </w:rPr>
        <w:t xml:space="preserve"> </w:t>
      </w:r>
      <w:r>
        <w:rPr>
          <w:rFonts w:ascii="Times New Roman" w:hAnsi="Times New Roman"/>
          <w:b w:val="false"/>
          <w:color w:val="000000"/>
          <w:sz w:val="20"/>
        </w:rPr>
        <w:t>million, then the Company shall pay NovaQuest the difference of these two amounts by no later than March 1, 2031.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NovaQuest will retain this entitlement until it has reached the Payment Cap, at which point 100% of such revenue interest on future global net sales of Astellas will revert to the Company.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Over the course of the RIFA, the effective interest rate is affected by the amount and timing of drug product revenue and revenue from milestone payments recognized, the changes in the timing of forecasted drug product revenue and revenue from milestone payments, and the timing of the Company’s payments to NovaQuest. On a quarterly basis, the Company reassesses the expected total revenue and the timing of such revenue, recalculates the amortization of debt discount and transactions costs and effective interest rate, and adjusts the accounting prospectively as needed. The Company’s estimated effective annual interest rate was 16.07% as of September 30, 2023.</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summarizes the activities of the liability related to sale of future revenues for the nine months ended September 30, 2023:</w:t>
      </w:r>
    </w:p>
    <w:p>
      <w:pPr>
        <w:pStyle w:val="TextBody"/>
        <w:bidi w:val="0"/>
        <w:jc w:val="left"/>
        <w:rPr/>
      </w:pPr>
      <w:r>
        <w:rPr/>
        <w:t> </w:t>
      </w:r>
    </w:p>
    <w:tbl>
      <w:tblPr>
        <w:tblW w:w="7888" w:type="dxa"/>
        <w:jc w:val="left"/>
        <w:tblInd w:w="0" w:type="dxa"/>
        <w:tblLayout w:type="fixed"/>
        <w:tblCellMar>
          <w:top w:w="28" w:type="dxa"/>
          <w:left w:w="28" w:type="dxa"/>
          <w:bottom w:w="28" w:type="dxa"/>
          <w:right w:w="28" w:type="dxa"/>
        </w:tblCellMar>
      </w:tblPr>
      <w:tblGrid>
        <w:gridCol w:w="5891"/>
        <w:gridCol w:w="146"/>
        <w:gridCol w:w="371"/>
        <w:gridCol w:w="1189"/>
        <w:gridCol w:w="291"/>
      </w:tblGrid>
      <w:tr>
        <w:trPr/>
        <w:tc>
          <w:tcPr>
            <w:tcW w:w="5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Liability related to sale of future revenues - beginning balance</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49,333</w:t>
            </w:r>
          </w:p>
        </w:tc>
        <w:tc>
          <w:tcPr>
            <w:tcW w:w="291" w:type="dxa"/>
            <w:tcBorders/>
            <w:shd w:fill="CFF0FC" w:val="clear"/>
            <w:vAlign w:val="center"/>
          </w:tcPr>
          <w:p>
            <w:pPr>
              <w:pStyle w:val="TableContents"/>
              <w:bidi w:val="0"/>
              <w:spacing w:before="0" w:after="283"/>
              <w:jc w:val="left"/>
              <w:rPr/>
            </w:pPr>
            <w:r>
              <w:rPr/>
              <w:t> </w:t>
            </w:r>
          </w:p>
        </w:tc>
      </w:tr>
      <w:tr>
        <w:trPr/>
        <w:tc>
          <w:tcPr>
            <w:tcW w:w="58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 recognized</w:t>
            </w:r>
          </w:p>
        </w:tc>
        <w:tc>
          <w:tcPr>
            <w:tcW w:w="146" w:type="dxa"/>
            <w:tcBorders/>
            <w:shd w:fill="FFFFFF" w:val="cle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Liability related to sale of future revenues - ending balance</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54,969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89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Less: Current portion classified to 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(5,860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8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Liability related to sale of future revenues, non-current</w:t>
            </w:r>
          </w:p>
        </w:tc>
        <w:tc>
          <w:tcPr>
            <w:tcW w:w="146" w:type="dxa"/>
            <w:tcBorders/>
            <w:shd w:fill="CFF0FC" w:val="cle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three and nine months ended September 30, 2023, the Company recognized, under Astellas Agreements, development revenue of $2.4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$5.8</w:t>
      </w:r>
      <w:r>
        <w:rPr>
          <w:rFonts w:ascii="Times New Roman" w:hAnsi="Times New Roman"/>
          <w:color w:val="000000"/>
          <w:sz w:val="20"/>
        </w:rPr>
        <w:t xml:space="preserve"> </w:t>
      </w:r>
      <w:r>
        <w:rPr>
          <w:rFonts w:ascii="Times New Roman" w:hAnsi="Times New Roman"/>
          <w:b w:val="false"/>
          <w:color w:val="000000"/>
          <w:sz w:val="20"/>
        </w:rPr>
        <w:t>million, respectively, and drug product revenue of $1.3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$17.7</w:t>
      </w:r>
      <w:r>
        <w:rPr>
          <w:rFonts w:ascii="Times New Roman" w:hAnsi="Times New Roman"/>
          <w:color w:val="000000"/>
          <w:sz w:val="20"/>
        </w:rPr>
        <w:t xml:space="preserve"> </w:t>
      </w:r>
      <w:r>
        <w:rPr>
          <w:rFonts w:ascii="Times New Roman" w:hAnsi="Times New Roman"/>
          <w:b w:val="false"/>
          <w:color w:val="000000"/>
          <w:sz w:val="20"/>
        </w:rPr>
        <w:t xml:space="preserve">million, respectively. See Note 2, </w:t>
      </w:r>
      <w:r>
        <w:rPr>
          <w:rFonts w:ascii="Times New Roman" w:hAnsi="Times New Roman"/>
          <w:b w:val="false"/>
          <w:i/>
          <w:color w:val="000000"/>
          <w:sz w:val="20"/>
        </w:rPr>
        <w:t>Collaboration Agreements, License Agreement and Revenue</w:t>
      </w:r>
      <w:r>
        <w:rPr>
          <w:rFonts w:ascii="Times New Roman" w:hAnsi="Times New Roman"/>
          <w:b w:val="false"/>
          <w:color w:val="000000"/>
          <w:sz w:val="20"/>
        </w:rPr>
        <w:t>, for details.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three and nine months ended September 30, 2023, the Company recognized the related non-cash interest expense of $2.1</w:t>
      </w:r>
      <w:r>
        <w:rPr>
          <w:rFonts w:ascii="Times New Roman" w:hAnsi="Times New Roman"/>
          <w:color w:val="000000"/>
          <w:sz w:val="20"/>
        </w:rPr>
        <w:t xml:space="preserve"> </w:t>
      </w:r>
      <w:r>
        <w:rPr>
          <w:rFonts w:ascii="Times New Roman" w:hAnsi="Times New Roman"/>
          <w:b w:val="false"/>
          <w:color w:val="000000"/>
          <w:sz w:val="20"/>
        </w:rPr>
        <w:t>million and $5.6</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Based on the current estimates of drug product revenue and revenue from milestone payments under the Astellas Agreements,</w:t>
      </w:r>
      <w:r>
        <w:rPr>
          <w:rFonts w:ascii="Times New Roman" w:hAnsi="Times New Roman"/>
          <w:color w:val="000000"/>
          <w:sz w:val="20"/>
        </w:rPr>
        <w:t xml:space="preserve"> </w:t>
      </w:r>
      <w:r>
        <w:rPr>
          <w:rFonts w:ascii="Times New Roman" w:hAnsi="Times New Roman"/>
          <w:b w:val="false"/>
          <w:color w:val="000000"/>
          <w:sz w:val="20"/>
        </w:rPr>
        <w:t>and taking into the consideration of the terms discussed above, the Company anticipates to reach a Payment Cap up to $125.0</w:t>
      </w:r>
      <w:r>
        <w:rPr>
          <w:rFonts w:ascii="Times New Roman" w:hAnsi="Times New Roman"/>
          <w:color w:val="000000"/>
          <w:sz w:val="20"/>
        </w:rPr>
        <w:t xml:space="preserve"> </w:t>
      </w:r>
      <w:r>
        <w:rPr>
          <w:rFonts w:ascii="Times New Roman" w:hAnsi="Times New Roman"/>
          <w:b w:val="false"/>
          <w:color w:val="000000"/>
          <w:sz w:val="20"/>
        </w:rPr>
        <w:t>million by 2031.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At-the-Market Program</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February 27, 2023, the Company entered into an Amended and Restated Equity Distribution Agreement (the “at-the-market agreement”) with Goldman Sachs &amp; Co., LLC and BofA Securities, Inc. (each a “Sales Agent”), which amended and restated its Equity Distribution Agreement with Goldman Sachs &amp; Co., LLC, dated August 8, 2022, to add BofA Securities, Inc. as an additional Sales Agent under that agreement. Under the at-the-market agreement, the Company may issue and sell, from time to time and through the Sales Agents, shares of its common stock having an aggregate offering price of up to $200.0</w:t>
      </w:r>
      <w:r>
        <w:rPr>
          <w:rFonts w:ascii="Times New Roman" w:hAnsi="Times New Roman"/>
          <w:color w:val="000000"/>
          <w:sz w:val="20"/>
        </w:rPr>
        <w:t xml:space="preserve"> </w:t>
      </w:r>
      <w:r>
        <w:rPr>
          <w:rFonts w:ascii="Times New Roman" w:hAnsi="Times New Roman"/>
          <w:b w:val="false"/>
          <w:color w:val="000000"/>
          <w:sz w:val="20"/>
        </w:rPr>
        <w:t>million (the “ATM Program”).</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There was no transaction under the ATM Program for the three months ended September 30, 2023. For the nine months ended September 30, 2023, the Company sold 2,472,090</w:t>
      </w:r>
      <w:r>
        <w:rPr>
          <w:rFonts w:ascii="Times New Roman" w:hAnsi="Times New Roman"/>
          <w:color w:val="000000"/>
          <w:sz w:val="20"/>
        </w:rPr>
        <w:t xml:space="preserve"> </w:t>
      </w:r>
      <w:r>
        <w:rPr>
          <w:rFonts w:ascii="Times New Roman" w:hAnsi="Times New Roman"/>
          <w:b w:val="false"/>
          <w:color w:val="000000"/>
          <w:sz w:val="20"/>
        </w:rPr>
        <w:t>shares under the ATM Program, for proceeds of approximately $48.4</w:t>
      </w:r>
      <w:r>
        <w:rPr>
          <w:rFonts w:ascii="Times New Roman" w:hAnsi="Times New Roman"/>
          <w:color w:val="000000"/>
          <w:sz w:val="20"/>
        </w:rPr>
        <w:t xml:space="preserve"> </w:t>
      </w:r>
      <w:r>
        <w:rPr>
          <w:rFonts w:ascii="Times New Roman" w:hAnsi="Times New Roman"/>
          <w:b w:val="false"/>
          <w:color w:val="000000"/>
          <w:sz w:val="20"/>
        </w:rPr>
        <w:t>million, net of commissions to Sales Agents, at a weighted-average offering prices per share of $19.63.</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Provisions for (benefits from) income tax for the three and nine months ended September 30, 2023 and 2022 were primarily due to foreign taxes.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upon the weight of available evidence, which includes its historical operating performance, reported cumulative net losses since inception, the Company has established and continues to maintain a full valuation allowance against its net deferred tax assets as it does not currently believe that realization of those assets is more likely than not.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Related Party Transactions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Astellas is an equity investor in the Company and is considered a related party. The Company recorded license and development revenue related to collaboration agreements with Astellas of $2.4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three months ended September 30, 2023 and 2022, and $5.8</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$31.0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nine months ended September 30, 2023 and 2022, respectively. The Company also recorded drug product revenue from Astellas of $1.3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$(4.1) million</w:t>
      </w:r>
      <w:r>
        <w:rPr>
          <w:rFonts w:ascii="Times New Roman" w:hAnsi="Times New Roman"/>
          <w:color w:val="000000"/>
          <w:sz w:val="20"/>
        </w:rPr>
        <w:t xml:space="preserve"> </w:t>
      </w:r>
      <w:r>
        <w:rPr>
          <w:rFonts w:ascii="Times New Roman" w:hAnsi="Times New Roman"/>
          <w:b w:val="false"/>
          <w:color w:val="000000"/>
          <w:sz w:val="20"/>
        </w:rPr>
        <w:t>for the three months ended September 30, 2023 and 2022, and $17.7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$4.6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 xml:space="preserve">for the nine months ended September 30, 2023 and 2022, respectively. See Note 2, </w:t>
      </w:r>
      <w:r>
        <w:rPr>
          <w:rFonts w:ascii="Times New Roman" w:hAnsi="Times New Roman"/>
          <w:b w:val="false"/>
          <w:i/>
          <w:color w:val="000000"/>
          <w:sz w:val="20"/>
        </w:rPr>
        <w:t>Collaboration Agreements, License Agreement and Revenues</w:t>
      </w:r>
      <w:r>
        <w:rPr>
          <w:rFonts w:ascii="Times New Roman" w:hAnsi="Times New Roman"/>
          <w:b w:val="false"/>
          <w:color w:val="000000"/>
          <w:sz w:val="20"/>
        </w:rPr>
        <w:t>, for details.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Company’s expense related to collaboration agreements with Astellas was immaterial for each of the three and nine months ended September 30, 2023 and 2022.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and December 31, 2022, accounts receivable from Astellas were $8.7</w:t>
      </w:r>
      <w:r>
        <w:rPr>
          <w:rFonts w:ascii="Times New Roman" w:hAnsi="Times New Roman"/>
          <w:color w:val="000000"/>
          <w:sz w:val="20"/>
        </w:rPr>
        <w:t xml:space="preserve"> </w:t>
      </w:r>
      <w:r>
        <w:rPr>
          <w:rFonts w:ascii="Times New Roman" w:hAnsi="Times New Roman"/>
          <w:b w:val="false"/>
          <w:color w:val="000000"/>
          <w:sz w:val="20"/>
        </w:rPr>
        <w:t>million and $1.5</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and December 31, 2022, total deferred revenue from Astellas was $10.2</w:t>
      </w:r>
      <w:r>
        <w:rPr>
          <w:rFonts w:ascii="Times New Roman" w:hAnsi="Times New Roman"/>
          <w:color w:val="000000"/>
          <w:sz w:val="20"/>
        </w:rPr>
        <w:t xml:space="preserve"> </w:t>
      </w:r>
      <w:r>
        <w:rPr>
          <w:rFonts w:ascii="Times New Roman" w:hAnsi="Times New Roman"/>
          <w:b w:val="false"/>
          <w:color w:val="000000"/>
          <w:sz w:val="20"/>
        </w:rPr>
        <w:t>million and $40.3</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w:t>
      </w:r>
      <w:r>
        <w:rPr>
          <w:rFonts w:ascii="Times New Roman" w:hAnsi="Times New Roman"/>
          <w:color w:val="FF0000"/>
          <w:sz w:val="20"/>
        </w:rPr>
        <w:t xml:space="preserve"> </w:t>
      </w:r>
      <w:r>
        <w:rPr>
          <w:rFonts w:ascii="Times New Roman" w:hAnsi="Times New Roman"/>
          <w:b w:val="false"/>
          <w:color w:val="000000"/>
          <w:sz w:val="20"/>
        </w:rPr>
        <w:t>amounts due to Astellas, included in accrued and other current liabilities, and other long-term liabilities, totaled $29.8</w:t>
      </w:r>
      <w:r>
        <w:rPr>
          <w:rFonts w:ascii="Times New Roman" w:hAnsi="Times New Roman"/>
          <w:color w:val="000000"/>
          <w:sz w:val="20"/>
        </w:rPr>
        <w:t xml:space="preserve"> </w:t>
      </w:r>
      <w:r>
        <w:rPr>
          <w:rFonts w:ascii="Times New Roman" w:hAnsi="Times New Roman"/>
          <w:b w:val="false"/>
          <w:color w:val="000000"/>
          <w:sz w:val="20"/>
        </w:rPr>
        <w:t>million. As of December 31, 2022, the amount due to Astellas, included in accrued and other current liabilities, was $63.9</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Falikang, an entity jointly owned by FibroGen Beijing and AstraZeneca is an unconsolidated VIE accounted for as an equity method investment, and considered as a related party to the Company. FibroGen Beijing owns 51.1%</w:t>
      </w:r>
      <w:r>
        <w:rPr>
          <w:rFonts w:ascii="Times New Roman" w:hAnsi="Times New Roman"/>
          <w:color w:val="000000"/>
          <w:sz w:val="20"/>
        </w:rPr>
        <w:t xml:space="preserve"> </w:t>
      </w:r>
      <w:r>
        <w:rPr>
          <w:rFonts w:ascii="Times New Roman" w:hAnsi="Times New Roman"/>
          <w:b w:val="false"/>
          <w:color w:val="000000"/>
          <w:sz w:val="20"/>
        </w:rPr>
        <w:t xml:space="preserve">of Falikang’s equity. See Note 4, </w:t>
      </w:r>
      <w:r>
        <w:rPr>
          <w:rFonts w:ascii="Times New Roman" w:hAnsi="Times New Roman"/>
          <w:b w:val="false"/>
          <w:i/>
          <w:color w:val="000000"/>
          <w:sz w:val="20"/>
        </w:rPr>
        <w:t>Equity method investment - Variable Interest Entity</w:t>
      </w:r>
      <w:r>
        <w:rPr>
          <w:rFonts w:ascii="Times New Roman" w:hAnsi="Times New Roman"/>
          <w:b w:val="false"/>
          <w:color w:val="000000"/>
          <w:sz w:val="20"/>
        </w:rPr>
        <w:t>, for details.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net product revenue from Falikang was $26.5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$14.9</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three months ended September 30, 2023 and 2022, and $68.3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$50.9</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 xml:space="preserve">for the nine months ended September 30, 2023 and 2022, respectively. See the </w:t>
      </w:r>
      <w:r>
        <w:rPr>
          <w:rFonts w:ascii="Times New Roman" w:hAnsi="Times New Roman"/>
          <w:b w:val="false"/>
          <w:i/>
          <w:color w:val="000000"/>
          <w:sz w:val="20"/>
        </w:rPr>
        <w:t xml:space="preserve">Product Revenue, Net </w:t>
      </w:r>
      <w:r>
        <w:rPr>
          <w:rFonts w:ascii="Times New Roman" w:hAnsi="Times New Roman"/>
          <w:b w:val="false"/>
          <w:color w:val="000000"/>
          <w:sz w:val="20"/>
        </w:rPr>
        <w:t xml:space="preserve">section in Note 2, </w:t>
      </w:r>
      <w:r>
        <w:rPr>
          <w:rFonts w:ascii="Times New Roman" w:hAnsi="Times New Roman"/>
          <w:b w:val="false"/>
          <w:i/>
          <w:color w:val="000000"/>
          <w:sz w:val="20"/>
        </w:rPr>
        <w:t>Collaboration Agreements, License Agreement and Revenues</w:t>
      </w:r>
      <w:r>
        <w:rPr>
          <w:rFonts w:ascii="Times New Roman" w:hAnsi="Times New Roman"/>
          <w:b w:val="false"/>
          <w:color w:val="000000"/>
          <w:sz w:val="20"/>
        </w:rPr>
        <w:t>, for details.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investment income in Falikang was $0.7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three months ended September 30, 2023 and 2022, and $2.0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nine months ended September 30, 2023 and 2022, respectively. During the three months ended September 30, 2023, the Company received $2.3</w:t>
      </w:r>
      <w:r>
        <w:rPr>
          <w:rFonts w:ascii="Times New Roman" w:hAnsi="Times New Roman"/>
          <w:color w:val="000000"/>
          <w:sz w:val="20"/>
        </w:rPr>
        <w:t xml:space="preserve"> </w:t>
      </w:r>
      <w:r>
        <w:rPr>
          <w:rFonts w:ascii="Times New Roman" w:hAnsi="Times New Roman"/>
          <w:b w:val="false"/>
          <w:color w:val="000000"/>
          <w:sz w:val="20"/>
        </w:rPr>
        <w:t>million of dividend distribution from Falikang. As of September 30, 2023 and December 31, 2022, the Company’s equity method investment in Falikang was $4.5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$5.1</w:t>
      </w:r>
      <w:r>
        <w:rPr>
          <w:rFonts w:ascii="Times New Roman" w:hAnsi="Times New Roman"/>
          <w:color w:val="000000"/>
          <w:sz w:val="20"/>
        </w:rPr>
        <w:t xml:space="preserve"> </w:t>
      </w:r>
      <w:r>
        <w:rPr>
          <w:rFonts w:ascii="Times New Roman" w:hAnsi="Times New Roman"/>
          <w:b w:val="false"/>
          <w:color w:val="000000"/>
          <w:sz w:val="20"/>
        </w:rPr>
        <w:t xml:space="preserve">million, respectively. See Note 4, </w:t>
      </w:r>
      <w:r>
        <w:rPr>
          <w:rFonts w:ascii="Times New Roman" w:hAnsi="Times New Roman"/>
          <w:b w:val="false"/>
          <w:i/>
          <w:color w:val="000000"/>
          <w:sz w:val="20"/>
        </w:rPr>
        <w:t>Equity method investment - Variable Interest Entity</w:t>
      </w:r>
      <w:r>
        <w:rPr>
          <w:rFonts w:ascii="Times New Roman" w:hAnsi="Times New Roman"/>
          <w:b w:val="false"/>
          <w:color w:val="000000"/>
          <w:sz w:val="20"/>
        </w:rPr>
        <w:t>, for details. The other income from Falikang was immaterial for each of the three and nine months ended September 30, 2023 and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and December 31, 2022, accounts receivable, net, from Falikang, were $14.2</w:t>
      </w:r>
      <w:r>
        <w:rPr>
          <w:rFonts w:ascii="Times New Roman" w:hAnsi="Times New Roman"/>
          <w:color w:val="000000"/>
          <w:sz w:val="20"/>
        </w:rPr>
        <w:t xml:space="preserve"> </w:t>
      </w:r>
      <w:r>
        <w:rPr>
          <w:rFonts w:ascii="Times New Roman" w:hAnsi="Times New Roman"/>
          <w:b w:val="false"/>
          <w:color w:val="000000"/>
          <w:sz w:val="20"/>
        </w:rPr>
        <w:t>million and $10.5</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Contract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Company had outstanding total non-cancelable purchase obligations of $37.8</w:t>
      </w:r>
      <w:r>
        <w:rPr>
          <w:rFonts w:ascii="Times New Roman" w:hAnsi="Times New Roman"/>
          <w:color w:val="000000"/>
          <w:sz w:val="20"/>
        </w:rPr>
        <w:t xml:space="preserve"> </w:t>
      </w:r>
      <w:r>
        <w:rPr>
          <w:rFonts w:ascii="Times New Roman" w:hAnsi="Times New Roman"/>
          <w:b w:val="false"/>
          <w:color w:val="000000"/>
          <w:sz w:val="20"/>
        </w:rPr>
        <w:t>million, including $22.8</w:t>
      </w:r>
      <w:r>
        <w:rPr>
          <w:rFonts w:ascii="Times New Roman" w:hAnsi="Times New Roman"/>
          <w:color w:val="000000"/>
          <w:sz w:val="20"/>
        </w:rPr>
        <w:t xml:space="preserve"> </w:t>
      </w:r>
      <w:r>
        <w:rPr>
          <w:rFonts w:ascii="Times New Roman" w:hAnsi="Times New Roman"/>
          <w:b w:val="false"/>
          <w:color w:val="000000"/>
          <w:sz w:val="20"/>
        </w:rPr>
        <w:t>million for manufacture and supply of pamrevlumab, $2.2</w:t>
      </w:r>
      <w:r>
        <w:rPr>
          <w:rFonts w:ascii="Times New Roman" w:hAnsi="Times New Roman"/>
          <w:color w:val="000000"/>
          <w:sz w:val="20"/>
        </w:rPr>
        <w:t xml:space="preserve"> </w:t>
      </w:r>
      <w:r>
        <w:rPr>
          <w:rFonts w:ascii="Times New Roman" w:hAnsi="Times New Roman"/>
          <w:b w:val="false"/>
          <w:color w:val="000000"/>
          <w:sz w:val="20"/>
        </w:rPr>
        <w:t>million for manufacture and supply of roxadustat, and $12.8</w:t>
      </w:r>
      <w:r>
        <w:rPr>
          <w:rFonts w:ascii="Times New Roman" w:hAnsi="Times New Roman"/>
          <w:color w:val="000000"/>
          <w:sz w:val="20"/>
        </w:rPr>
        <w:t xml:space="preserve"> </w:t>
      </w:r>
      <w:r>
        <w:rPr>
          <w:rFonts w:ascii="Times New Roman" w:hAnsi="Times New Roman"/>
          <w:b w:val="false"/>
          <w:color w:val="000000"/>
          <w:sz w:val="20"/>
        </w:rPr>
        <w:t>million for other purchases and programs. The Company expects to fulfill its commitments under these agreements in the normal course of business, and as such, no liability has been recorded.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Some of the Company’s license agreements provide for periodic maintenance fees over specified time periods, as well as payments by the Company upon the achievement of development, regulatory and commercial milestones. As of September 30, 2023, future milestone payments for research and preclinical stage development programs consisted of up to approximately $697.9</w:t>
      </w:r>
      <w:r>
        <w:rPr>
          <w:rFonts w:ascii="Times New Roman" w:hAnsi="Times New Roman"/>
          <w:color w:val="000000"/>
          <w:sz w:val="20"/>
        </w:rPr>
        <w:t xml:space="preserve"> </w:t>
      </w:r>
      <w:r>
        <w:rPr>
          <w:rFonts w:ascii="Times New Roman" w:hAnsi="Times New Roman"/>
          <w:b w:val="false"/>
          <w:color w:val="000000"/>
          <w:sz w:val="20"/>
        </w:rPr>
        <w:t>million in total potential future milestone payments under the Company’s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 Company had $81.9</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operating lease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In addition, see Note 7, </w:t>
      </w:r>
      <w:r>
        <w:rPr>
          <w:rFonts w:ascii="Times New Roman" w:hAnsi="Times New Roman"/>
          <w:b w:val="false"/>
          <w:i/>
          <w:color w:val="000000"/>
          <w:sz w:val="20"/>
        </w:rPr>
        <w:t>Senior Secured Term Loan Facilities</w:t>
      </w:r>
      <w:r>
        <w:rPr>
          <w:rFonts w:ascii="Times New Roman" w:hAnsi="Times New Roman"/>
          <w:color w:val="000000"/>
          <w:sz w:val="20"/>
        </w:rPr>
        <w:t xml:space="preserve"> </w:t>
      </w:r>
      <w:r>
        <w:rPr>
          <w:rFonts w:ascii="Times New Roman" w:hAnsi="Times New Roman"/>
          <w:b w:val="false"/>
          <w:color w:val="000000"/>
          <w:sz w:val="20"/>
        </w:rPr>
        <w:t xml:space="preserve">and Note 8, </w:t>
      </w:r>
      <w:r>
        <w:rPr>
          <w:rFonts w:ascii="Times New Roman" w:hAnsi="Times New Roman"/>
          <w:b w:val="false"/>
          <w:i/>
          <w:color w:val="000000"/>
          <w:sz w:val="20"/>
        </w:rPr>
        <w:t xml:space="preserve">Liability Related to Sale of Future Revenues </w:t>
      </w:r>
      <w:r>
        <w:rPr>
          <w:rFonts w:ascii="Times New Roman" w:hAnsi="Times New Roman"/>
          <w:b w:val="false"/>
          <w:color w:val="000000"/>
          <w:sz w:val="20"/>
        </w:rPr>
        <w:t>for details of the related obligations.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 and Other Matters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active legal action, except for the class action settlement mentioned below, in its condensed consolidated balance sheet as of September 30, 2023, as the Company could not predict the ultimate outcome of these matters, or reasonably estimate the potential exposure.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Between April 2021 and May 2021, five</w:t>
      </w:r>
      <w:r>
        <w:rPr>
          <w:rFonts w:ascii="Times New Roman" w:hAnsi="Times New Roman"/>
          <w:color w:val="000000"/>
          <w:sz w:val="20"/>
        </w:rPr>
        <w:t xml:space="preserve"> </w:t>
      </w:r>
      <w:r>
        <w:rPr>
          <w:rFonts w:ascii="Times New Roman" w:hAnsi="Times New Roman"/>
          <w:b w:val="false"/>
          <w:color w:val="000000"/>
          <w:sz w:val="20"/>
        </w:rPr>
        <w:t>putative securities class action complaints were filed against FibroGen and certain of its current and former executive officers (collectively, the “Defendants”) in the U.S. District Court for the Northern District of California. The lawsuits allege that Defendants violated the Securities Exchange Act of 1934 by making materially false and misleading statements regarding FibroGen’s Phase 3 clinical studies data and prospects for U.S. Food and Drug Administration approval. On August 30, 2021, the Court consolidated the actions and appointed a group of lead plaintiffs. Plaintiffs filed their consolidated amended complaint on October 29, 2021 and a corrected consolidated amended complaint on November 19, 2021 (the “Complaint”). The Complaint alleges false and misleading statements between December 2018 and June 2021 and seeks to represent a class of persons or entities that purchased FibroGen securities between December 20, 2018 and July 15, 2021. On July 15, 2022, the court issued an order denying Defendants’ motions to dismiss. Defendants answered the Complaint on September 13, 2022. On January 27, 2023, Plaintiffs filed a motion for class certification, which the court granted in part and denied in part on October 3, 2023. On October 17, 2023, the parties reached an agreement in principle to settle the class action at $28.5</w:t>
      </w:r>
      <w:r>
        <w:rPr>
          <w:rFonts w:ascii="Times New Roman" w:hAnsi="Times New Roman"/>
          <w:color w:val="000000"/>
          <w:sz w:val="20"/>
        </w:rPr>
        <w:t xml:space="preserve"> </w:t>
      </w:r>
      <w:r>
        <w:rPr>
          <w:rFonts w:ascii="Times New Roman" w:hAnsi="Times New Roman"/>
          <w:b w:val="false"/>
          <w:color w:val="000000"/>
          <w:sz w:val="20"/>
        </w:rPr>
        <w:t>million. Accordingly, as of September 30, 2023, the Company recorded the $28.5</w:t>
      </w:r>
      <w:r>
        <w:rPr>
          <w:rFonts w:ascii="Times New Roman" w:hAnsi="Times New Roman"/>
          <w:color w:val="000000"/>
          <w:sz w:val="20"/>
        </w:rPr>
        <w:t xml:space="preserve"> </w:t>
      </w:r>
      <w:r>
        <w:rPr>
          <w:rFonts w:ascii="Times New Roman" w:hAnsi="Times New Roman"/>
          <w:b w:val="false"/>
          <w:color w:val="000000"/>
          <w:sz w:val="20"/>
        </w:rPr>
        <w:t>million in accrued and other current liabilities in the condensed consolidated balance sheet. The Company maintains insurance that covers exposure related to the class action lawsuit. As the amount is fully recoverable under the Company’s insurance policies, the Company recorded a corresponding receivable in prepaid expenses and other current assets in the condensed consolidated balance sheet. The determination that the recorded receivables are probable of collection is based on the terms of the applicable insurance policies and communications with the insurers. Another case, filed on May 25, 2023, against the same defendants, asserting similar claims as the class action and additional common-law and California state fraud claims, remains pending. Defendants filed a motion to dismiss the complaint in that case on September 20, 2023.</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July 30, 2021, a purported shareholder derivative complaint was filed in the U.S. District Court for the Northern District of California (the “California Federal Derivative”). On December 27, 2021, a second purported shareholder derivative complaint was filed in the U.S. District Court for the District of Delaware (the “Delaware Federal Derivative”). On April 14, 2022, a third purported shareholder derivative complaint was filed in the Delaware Court of Chancery (the “First Delaware Chancery Derivative”). On June 1, 2023, a fourth purported shareholder derivative complaint was filed in the Delaware Court of Chancery (the “Second Delaware Chancery Derivative”). All four derivative actions name FibroGen’s current and former officers and directors as defendants, as well as FibroGen as nominal defendant, and assert state and federal claims based on some of the same alleged misstatements as the securities class action complaint. The complaints seek unspecified damages, attorneys’ fees, and other costs. The California Federal Derivative action and the Delaware Federal Derivative action are stayed pending the resolution of any motions for summary judgment in the securities class action. The First and Second Delaware Chancery Derivative actions have been consolidated and the plaintiffs in the consolidated Delaware Chancery Derivative filed their amended complaint on November 3, 2023. On June 30, 2023, a fifth derivative action was filed in the U.S. District Court for the District of Delaware (the “Demand Refused Derivative”). The Demand Refused Derivative action names FibroGen’s current and former officers, as well as FibroGen as nominal defendant, and asserts state and federal claims based on some of the same alleged misstatements as the securities class action complaint. The Demand Refused Derivative has been stayed pending the outcome of any motion to dismiss the amended complaint in the Delaware Chancery Derivative.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believes that the claims are without merit and it intends to vigorously defend against them. However, any litigation is inherently uncertain, and any judgment or injunctive relief entered against FibroGen or any adverse settlement could materially and adversely impact its business, results of operations, financial condition, and prospects.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the fourth quarter of 2021, the Company received a subpoena from the SEC requesting documents related to roxadustat’s pooled cardiovascular safety data. The Company is fully cooperating with the SEC. The Company cannot predict with any degree of certainty the outcome of the SEC’s investigation or determine the extent of any potential liabilities. The Company also cannot predict whether there will be any loss as a result of the investigation nor can it provide an estimate of the possible loss or range of loss. Any adverse outcome in this matter or any related proceeding could expose the Company to substantial damages, penalties, or reputational harm that may have a material adverse impact on the Company’s business, results of operations, financial condition, growth prospects, and price of its common stock.</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Between August 3, 2022 and August 4, 2022, the Company’s Board of Directors received three litigation demands from purported shareholders of the Company, asking the Board of Directors to investigate and take action against certain current and former officers and directors of the Company for alleged wrongdoing based on the same allegations in the pending derivative and securities class action lawsuits. On March 27, 2023, the Company’s Board of Directors received another litigation demand from a purported shareholder of the Company, seeking similar action as the other litigation demands. The Company may in the future receive such additional demands.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Starting in October 2021, certain challenges have been filed with the China National Intellectual Property Administration against patents which claim a crystalline form of roxadustat. Final resolution of such proceedings will take time and the Company could not predict the ultimate outcome, or reasonably estimate the potential exposure.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believes the estimated fair value of these arrangements is minimal.</w:t>
        <w:br/>
      </w:r>
      <w:r>
        <w:rPr>
          <w:rFonts w:ascii="Times New Roman" w:hAnsi="Times New Roman"/>
          <w:color w:val="000000"/>
          <w:sz w:val="20"/>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jc w:val="left"/>
        <w:rPr>
          <w:rFonts w:ascii="Times New Roman" w:hAnsi="Times New Roman"/>
          <w:b/>
          <w:color w:val="000000"/>
          <w:sz w:val="20"/>
        </w:rPr>
      </w:pPr>
      <w:bookmarkStart w:id="12" w:name="item_2_managements_discussion_analysis_f"/>
      <w:bookmarkEnd w:id="12"/>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2022 filed with the SEC on February 27, 2023 (“2022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“anticipate,” “intend,” “could,” “should,” “estimate,” or “continue,” and similar expressions or variations.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Such forward-looking and other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and other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and other statements. While we may elect to update these forward-looking and other statements at some point in the future, we have no current intention of doing so except to the extent required by applicable law. You should, therefore, not rely on these forward-looking and other statements as representing our views as of any date subsequent to the date of this Quarterly Report on Form 10-Q and are cautioned not to place undue reliance on such forward-looking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headquartered in San Francisco, California, with subsidiary offices in Beijing and Shanghai, People’s Republic of China (“China”). We are a leading biopharmaceutical company discovering, developing and commercializing a pipeline of first-in-class therapeutics. Our lead product candidate and product are pamrevlumab and roxadustat, respectively. We apply our pioneering expertise in hypoxia-inducible factor (“HIF”) biology, 2-oxoglutarate enzymology, and connective tissue growth factor (“CTGF”) biology to advance innovative medicines for the treatment of anemia and cancer.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Pamrevlumab, a human monoclonal antibody targeting CTGF, is in Phase 3 clinical development for the treatment of locally advanced unresectable pancreatic cancer (“LAPC”). Pamrevlumab is also in Phase 2/3 development for the treatment of metastatic pancreatic cancer. To date, we have retained exclusive worldwide rights for pamrevlumab.</w:t>
      </w:r>
    </w:p>
    <w:p>
      <w:pPr>
        <w:pStyle w:val="TextBody"/>
        <w:bidi w:val="0"/>
        <w:spacing w:before="240" w:after="283"/>
        <w:jc w:val="left"/>
        <w:rPr/>
      </w:pPr>
      <w:r>
        <w:rPr>
          <w:rFonts w:ascii="Times New Roman" w:hAnsi="Times New Roman"/>
          <w:b w:val="false"/>
          <w:color w:val="000000"/>
          <w:sz w:val="20"/>
        </w:rPr>
        <w:t>Roxadustat is an oral small molecule inhibitor of HIF prolyl hydroxylase (“HIF-PH”) activity. Roxadustat (</w:t>
      </w:r>
      <w:r>
        <w:rPr>
          <w:rFonts w:eastAsia="Times New Roman"/>
          <w:b w:val="false"/>
          <w:color w:val="000000"/>
          <w:sz w:val="20"/>
        </w:rPr>
        <w:t>爱瑞卓</w:t>
      </w:r>
      <w:r>
        <w:rPr>
          <w:rFonts w:ascii="Times New Roman" w:hAnsi="Times New Roman"/>
          <w:b w:val="false"/>
          <w:color w:val="000000"/>
          <w:sz w:val="13"/>
        </w:rPr>
        <w:t>®</w:t>
      </w:r>
      <w:r>
        <w:rPr>
          <w:rFonts w:ascii="Times New Roman" w:hAnsi="Times New Roman"/>
          <w:b w:val="false"/>
          <w:color w:val="000000"/>
          <w:sz w:val="20"/>
        </w:rPr>
        <w:t>, EVRENZO</w:t>
      </w:r>
      <w:r>
        <w:rPr>
          <w:rFonts w:ascii="Times New Roman" w:hAnsi="Times New Roman"/>
          <w:b w:val="false"/>
          <w:color w:val="000000"/>
          <w:sz w:val="13"/>
        </w:rPr>
        <w:t>TM</w:t>
      </w:r>
      <w:r>
        <w:rPr>
          <w:rFonts w:ascii="Times New Roman" w:hAnsi="Times New Roman"/>
          <w:b w:val="false"/>
          <w:color w:val="000000"/>
          <w:sz w:val="20"/>
        </w:rPr>
        <w:t>) is approved in China, Europe, Japan, and numerous other countries for the treatment of anemia in chronic kidney disease (“CKD”) for patients who are on dialysis and not on dialysis. Roxadustat is in clinical development for chemotherapy-induced anemia (“CIA”) in China.</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goal is to build a diversified pipeline with novel drugs that will address unmet patient needs with a refined focus in oncology.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Highlights</w:t>
      </w:r>
    </w:p>
    <w:p>
      <w:pPr>
        <w:pStyle w:val="TextBody"/>
        <w:bidi w:val="0"/>
        <w:jc w:val="left"/>
        <w:rPr/>
      </w:pPr>
      <w:r>
        <w:rPr/>
        <w:t> </w:t>
      </w:r>
    </w:p>
    <w:tbl>
      <w:tblPr>
        <w:tblW w:w="9911" w:type="dxa"/>
        <w:jc w:val="left"/>
        <w:tblInd w:w="0" w:type="dxa"/>
        <w:tblLayout w:type="fixed"/>
        <w:tblCellMar>
          <w:top w:w="28" w:type="dxa"/>
          <w:left w:w="28" w:type="dxa"/>
          <w:bottom w:w="28" w:type="dxa"/>
          <w:right w:w="28" w:type="dxa"/>
        </w:tblCellMar>
      </w:tblPr>
      <w:tblGrid>
        <w:gridCol w:w="3181"/>
        <w:gridCol w:w="146"/>
        <w:gridCol w:w="246"/>
        <w:gridCol w:w="913"/>
        <w:gridCol w:w="194"/>
        <w:gridCol w:w="170"/>
        <w:gridCol w:w="246"/>
        <w:gridCol w:w="913"/>
        <w:gridCol w:w="166"/>
        <w:gridCol w:w="146"/>
        <w:gridCol w:w="309"/>
        <w:gridCol w:w="1236"/>
        <w:gridCol w:w="178"/>
        <w:gridCol w:w="156"/>
        <w:gridCol w:w="300"/>
        <w:gridCol w:w="1200"/>
        <w:gridCol w:w="2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73"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for per share data)</w:t>
            </w:r>
          </w:p>
        </w:tc>
        <w:tc>
          <w:tcPr>
            <w:tcW w:w="211" w:type="dxa"/>
            <w:tcBorders/>
            <w:shd w:fill="FFFFFF" w:val="clear"/>
            <w:vAlign w:val="center"/>
          </w:tcPr>
          <w:p>
            <w:pPr>
              <w:pStyle w:val="TableContents"/>
              <w:bidi w:val="0"/>
              <w:spacing w:before="0" w:after="283"/>
              <w:jc w:val="center"/>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 of Operations</w:t>
            </w:r>
          </w:p>
        </w:tc>
        <w:tc>
          <w:tcPr>
            <w:tcW w:w="146"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40,134</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120,614</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106,367</w:t>
            </w:r>
          </w:p>
        </w:tc>
        <w:tc>
          <w:tcPr>
            <w:tcW w:w="21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costs and expenses</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103,616</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109,392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pPr>
            <w:r>
              <w:rPr/>
              <w:t> </w:t>
            </w:r>
          </w:p>
        </w:tc>
        <w:tc>
          <w:tcPr>
            <w:tcW w:w="12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348,234</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2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341,240</w:t>
            </w:r>
          </w:p>
        </w:tc>
        <w:tc>
          <w:tcPr>
            <w:tcW w:w="21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(63,615</w:t>
            </w:r>
          </w:p>
        </w:tc>
        <w:tc>
          <w:tcPr>
            <w:tcW w:w="1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(91,650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(228,000</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(227,479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 basic and diluted</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(0.65</w:t>
            </w:r>
          </w:p>
        </w:tc>
        <w:tc>
          <w:tcPr>
            <w:tcW w:w="1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0"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w:t>
            </w:r>
          </w:p>
        </w:tc>
        <w:tc>
          <w:tcPr>
            <w:tcW w:w="1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righ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59"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9" w:type="dxa"/>
            <w:gridSpan w:val="2"/>
            <w:tcBorders/>
            <w:shd w:fill="FFFFFF" w:val="cle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w:t>
            </w:r>
          </w:p>
        </w:tc>
        <w:tc>
          <w:tcPr>
            <w:tcW w:w="146" w:type="dxa"/>
            <w:tcBorders/>
            <w:shd w:fill="CFF0FC" w:val="clear"/>
            <w:vAlign w:val="center"/>
          </w:tcPr>
          <w:p>
            <w:pPr>
              <w:pStyle w:val="TableContents"/>
              <w:bidi w:val="0"/>
              <w:spacing w:before="0" w:after="283"/>
              <w:jc w:val="center"/>
              <w:rPr/>
            </w:pPr>
            <w:r>
              <w:rPr/>
              <w:t> </w:t>
            </w:r>
          </w:p>
        </w:tc>
        <w:tc>
          <w:tcPr>
            <w:tcW w:w="1159" w:type="dxa"/>
            <w:gridSpan w:val="2"/>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FFFFFF" w:val="clear"/>
            <w:vAlign w:val="center"/>
          </w:tcPr>
          <w:p>
            <w:pPr>
              <w:pStyle w:val="TableContents"/>
              <w:bidi w:val="0"/>
              <w:spacing w:before="0" w:after="283"/>
              <w:jc w:val="center"/>
              <w:rPr/>
            </w:pPr>
            <w:r>
              <w:rPr/>
              <w:t> </w:t>
            </w:r>
          </w:p>
        </w:tc>
        <w:tc>
          <w:tcPr>
            <w:tcW w:w="1159"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120,914</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155,700</w:t>
            </w:r>
          </w:p>
        </w:tc>
        <w:tc>
          <w:tcPr>
            <w:tcW w:w="21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and long-term investments</w:t>
            </w:r>
          </w:p>
        </w:tc>
        <w:tc>
          <w:tcPr>
            <w:tcW w:w="146" w:type="dxa"/>
            <w:tcBorders/>
            <w:shd w:fill="CFF0FC" w:val="clear"/>
            <w:vAlign w:val="center"/>
          </w:tcPr>
          <w:p>
            <w:pPr>
              <w:pStyle w:val="TableContents"/>
              <w:bidi w:val="0"/>
              <w:spacing w:before="0" w:after="283"/>
              <w:jc w:val="center"/>
              <w:rPr/>
            </w:pPr>
            <w:r>
              <w:rPr/>
              <w:t> </w:t>
            </w:r>
          </w:p>
        </w:tc>
        <w:tc>
          <w:tcPr>
            <w:tcW w:w="1159" w:type="dxa"/>
            <w:gridSpan w:val="2"/>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9" w:type="dxa"/>
            <w:tcBorders/>
            <w:shd w:fill="CFF0FC" w:val="clear"/>
            <w:vAlign w:val="center"/>
          </w:tcPr>
          <w:p>
            <w:pPr>
              <w:pStyle w:val="TableContents"/>
              <w:bidi w:val="0"/>
              <w:spacing w:before="0" w:after="283"/>
              <w:jc w:val="left"/>
              <w:rPr/>
            </w:pPr>
            <w:r>
              <w:rPr/>
              <w:t> </w:t>
            </w:r>
          </w:p>
        </w:tc>
        <w:tc>
          <w:tcPr>
            <w:tcW w:w="12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130,426</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2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270,656</w:t>
            </w:r>
          </w:p>
        </w:tc>
        <w:tc>
          <w:tcPr>
            <w:tcW w:w="21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FFFFFF" w:val="clear"/>
            <w:vAlign w:val="center"/>
          </w:tcPr>
          <w:p>
            <w:pPr>
              <w:pStyle w:val="TableContents"/>
              <w:bidi w:val="0"/>
              <w:spacing w:before="0" w:after="283"/>
              <w:jc w:val="center"/>
              <w:rPr/>
            </w:pPr>
            <w:r>
              <w:rPr/>
              <w:t> </w:t>
            </w:r>
          </w:p>
        </w:tc>
        <w:tc>
          <w:tcPr>
            <w:tcW w:w="1159"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31,694</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16,299</w:t>
            </w:r>
          </w:p>
        </w:tc>
        <w:tc>
          <w:tcPr>
            <w:tcW w:w="21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revenue for the three and nine months ended September 30, 2023 included primarily the revenue recognized related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$29.4 million and $77.4 million of net product revenue from roxadustat commercial sales in China;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$6.0 million and $13.8 million of development revenue recognized under our collaboration agreements with our partners Astellas Pharma Inc. (“Astellas”) and AstraZeneca AB (“AstraZeneca”);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$4.0 million regulatory milestone recognized during the three months ended September 30, 2023, under AstraZeneca China Agreement (defined further below) associated with the renewal of our right to continue to market Roxadustat in China. Of this amount, $2.7 million was recognized as license revenue, $0.8 million was recognized as development revenue and the remainder was included in deferred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$1.3 million and $17.7 million of drug product revenue related to active pharmaceutical ingredient (“API”) deliveries to Astellas;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$1.0 million upfront payment for the second quarter of 2023 and a $3.0 million milestone payment based on Eluminex Biosciences (Suzhou) Limited (“Eluminex”) implanting a biosynthetic cornea in the first patient of its clinical trial in China and a $3.0 million manufacturing related milestone payment in the first quarter of 2023 for the first quarter of 2023, recognized under our license agreement and amendments with Eluminex.</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a comparison, our revenue for the three and nine months ended September 30, 2022 included primarily the revenue recognized related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$17.4 million and $59.5 million of net product revenue for the three and nine months ended September 30, 2022, respectively, from roxadustat commercial sales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$2.0 million and $18.2 million of development revenue for the three and nine months ended September 30, 2022, respectively, recognized under our collaboration agreements with our partners Astellas and AstraZeneca;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$25.0 million regulatory milestone for the nine months ended September 30, 2022, recognized in the first quarter of 2022, under our collaboration agreements with our partner Astellas associated with the approval of EVRENZO</w:t>
      </w:r>
      <w:r>
        <w:rPr>
          <w:rFonts w:ascii="Times New Roman" w:hAnsi="Times New Roman"/>
          <w:b w:val="false"/>
          <w:color w:val="000000"/>
          <w:sz w:val="13"/>
        </w:rPr>
        <w:t>®</w:t>
      </w:r>
      <w:r>
        <w:rPr>
          <w:color w:val="000000"/>
        </w:rPr>
        <w:t xml:space="preserve"> </w:t>
      </w:r>
      <w:r>
        <w:rPr>
          <w:rFonts w:ascii="Times New Roman" w:hAnsi="Times New Roman"/>
          <w:b w:val="false"/>
          <w:color w:val="000000"/>
          <w:sz w:val="20"/>
        </w:rPr>
        <w:t xml:space="preserve">(roxadustat) in Russia. Of this amount, $22.6 million was recognized as license revenue and the remainder was included as development revenue;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$(4.1) million and $4.6 million of drug product revenue for the three and nine months ended September 30, 2022, respectively, related to API deliveries to Astellas.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Operating costs and expenses for the three months ended September 30, 2023 decreased compared to the same period a year ago primarily as a result of the net effect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$14.5 million lower drug development expenses associated with drug substance and drug product manufacturing activities related to pamrevlumab which was largely completed in the prior year or terminated in the current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$6.1 million lower stock-based compensation primarily resulting from significantly lower stock price and cancellations of stock options and restricted stock units;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$4.3 million lower employee-related expenses primarily due to the reduction in force in July 2023, offset by overall merit increase, and the impact from a payroll tax refund received during the third quarter of 2022 that did not recur in the current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$12.6 million of restructuring charge recorded in the third quarter of 2023 related to the reduction in force in July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$4.0 million higher outside services expenses due to higher consulting activities in roxadustat post-approval safety studies and general administrative function;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$1.8 million higher clinical trial expenses primarily associated with Phase 2/3 trials for pamrevlumab for the treatment of metastatic pancreatic cancer.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Operating costs and expenses for the nine months ended September 30, 2023 increased compared to the same period a year ago primarily as a result of the net effect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$24.6 million one-time, non-cash charge of acquired in-process research and development (“IPR&amp;D”) expenses associated with the recent exclusive license for FG-3246 from Fortis Therapeutics (“Fortis”) and the acquisition of Fortis;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$12.6 million of restructuring charge recorded in the third quarter of 2023 related to the reduction in force in July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$7.6 million higher outside services expenses due to higher consulting activities in roxadustat post-approval safety studies and general administrative function;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$3.7 million higher employee-related expenses primarily due to overall merit increase, more business travel activities and higher severance during the current year period, and the impact from a payroll tax refund received during the third quarter of 2022 that did not recur in the current year period, offset by the impact from the reduction in force in July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$36.0 million lower drug development expenses associated with drug substance and drug product manufacturing activities related to roxadustat post-approval safety studies in China and pamrevlumab which were largely completed in the prior periods;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$7.9 million lower stock-based compensation primarily resulting from significantly lower stock price and cancellations of stock options and restricted stock units.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months ended September 30, 2023, we had a net loss of $63.6 million, or a net loss per basic and diluted share of $0.65, as compared to a net loss of $91.7 million, or a net loss per basic and diluted share of $0.98, for the same period a year ago, due to increases in revenue and decreases in operating costs and expenses as discussed above.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2023, we had a net loss of $228.0 million, or a net loss per basic and diluted share of $2.35, as compared to a net loss of $227.5 million, or a net loss per basic and diluted share of $2.43, for the same period a year ago, due to increases in revenue, offset by increases in operating costs and expenses, as discussed above.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Cash and cash equivalents, investments, and accounts receivable totaled $283.0 million at September 30, 2023, a decrease of $159.6 million from December 31, 2022, primarily due to the cash used in operations, partially offset by the net proceeds received under our senior secured term loan facilities and at-the-market program, discussed under the </w:t>
      </w:r>
      <w:r>
        <w:rPr>
          <w:rFonts w:ascii="Times New Roman" w:hAnsi="Times New Roman"/>
          <w:b w:val="false"/>
          <w:i/>
          <w:color w:val="000000"/>
          <w:sz w:val="20"/>
        </w:rPr>
        <w:t>Liquidity and Capital Resources</w:t>
      </w:r>
      <w:r>
        <w:rPr>
          <w:rFonts w:ascii="Times New Roman" w:hAnsi="Times New Roman"/>
          <w:color w:val="000000"/>
          <w:sz w:val="20"/>
        </w:rPr>
        <w:t xml:space="preserve"> </w:t>
      </w:r>
      <w:r>
        <w:rPr>
          <w:rFonts w:ascii="Times New Roman" w:hAnsi="Times New Roman"/>
          <w:b w:val="false"/>
          <w:color w:val="000000"/>
          <w:sz w:val="20"/>
        </w:rPr>
        <w:t>section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Commercial, Development and Research Programs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goals are to continue our commercialization of roxadustat in China and other approved countries, continue our development of pamrevlumab in pancreatic cancer, and build a diversified pipeline with novel drugs that will address unmet patient needs with a refined focus in oncology.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is an overview of our clinical, commercial, and research programs.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Pamrevlumab: Monoclonal Antibody Targeting Connective Tissue Growth Factor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Pamrevlumab is our first-in-class antibody developed to inhibit the activity of CTGF. In addition to enabling progression of fibrosis, CTGF has been shown preclinically to have pro-tumorigenic effects in pancreatic cancer through increasing tumor cell proliferation and survival and promoting tumor angiogenesis and metastasis.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United States (“U.S.”) Food and Drug Administration has granted Fast Track and Orphan Drug designations to pamrevlumab for the treatment of LAPC.</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Pamrevlumab for the Treatment of Locally Advanced Unresectable Pancreatic Cancer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LAPIS is our double-blind placebo-controlled Phase 3 clinical program for pamrevlumab as a therapy for LAPC. We completed enrollment of 284 patients that are randomized at a 1:1 ratio to receive either pamrevlumab or placebo, in each case in combination with chemotherapy (either FOLFIRINOX or gemcitabine plus nab-paclitaxel). We expect topline data for the primary endpoint of overall survival in the first quarter of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Pamrevlumab for the Treatment of Metastatic Pancreatic Cancer</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June 2021, the Pancreatic Cancer Action Network’s (PanCAN) Precision Promise</w:t>
      </w:r>
      <w:r>
        <w:rPr>
          <w:rFonts w:ascii="Times New Roman" w:hAnsi="Times New Roman"/>
          <w:b w:val="false"/>
          <w:color w:val="000000"/>
          <w:sz w:val="13"/>
        </w:rPr>
        <w:t>SM</w:t>
      </w:r>
      <w:r>
        <w:rPr>
          <w:rFonts w:ascii="Times New Roman" w:hAnsi="Times New Roman"/>
          <w:color w:val="000000"/>
          <w:sz w:val="20"/>
        </w:rPr>
        <w:t xml:space="preserve"> </w:t>
      </w:r>
      <w:r>
        <w:rPr>
          <w:rFonts w:ascii="Times New Roman" w:hAnsi="Times New Roman"/>
          <w:b w:val="false"/>
          <w:color w:val="000000"/>
          <w:sz w:val="20"/>
        </w:rPr>
        <w:t>Phase 2/3 registration study, an adaptive trial platform, included pamrevlumab in combination with standard of care chemotherapy treatments for pancreatic cancer (gemcitabine and Abraxane</w:t>
      </w:r>
      <w:r>
        <w:rPr>
          <w:rFonts w:ascii="Times New Roman" w:hAnsi="Times New Roman"/>
          <w:b w:val="false"/>
          <w:color w:val="000000"/>
          <w:sz w:val="13"/>
        </w:rPr>
        <w:t>®</w:t>
      </w:r>
      <w:r>
        <w:rPr>
          <w:rFonts w:ascii="Times New Roman" w:hAnsi="Times New Roman"/>
          <w:b w:val="false"/>
          <w:color w:val="000000"/>
          <w:sz w:val="20"/>
        </w:rPr>
        <w:t>), for patients with metastatic pancreatic cancer. Drug candidates in the Precision Promise study will continue to progress (including from Phase 2 to Phase 3) unless stopped sooner for safety or futility. The pamrevlumab combination therapy is offered to patients as either a first- or second-line treatment option. Pamrevlumab was the first experimental treatment arm to be offered as a first-line treatment in PanCAN’s innovative Precision Promise trial. The objective of Precision Promise is to expedite the study and approval of promising therapies for pancreatic cancer by bringing multiple stakeholders together, including academic, industry and regulatory entities. The pamrevlumab portion of the trial is still ongoing, fully enrolled, and we expect topline results in the first half of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Pamrevlumab for the Treatment of Duchenne Muscular Dystrophy</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Ambulatory DMD Patients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August 2023, we announced topline results from LELANTOS-2, our double-blind, placebo-controlled Phase 3 trial evaluating pamrevlumab in ambulatory DMD, in combination with systemic corticosteroids. The study did not meet the primary endpoint of change in the North Star Ambulatory Assessment (NSAA) total score from baseline to week 52 (placebo-corrected mean difference -0.528 points; 95% CI -2.308 to 1.251; p=0.5553). Secondary endpoints measured by change from baseline at week 52 in 4-stair climb velocity, 10-meter walk/run test, time to stand, time to loss of ambulation, and proportion of patients with greater than 10 seconds in the 10-meter walk/run test were also not met.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Preliminary safety data showed that pamrevlumab was generally safe and well tolerated. The majority of treatment emergent adverse events were mild or moderate.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plans to communicate the full results of the LELANTOS-2 study at an upcoming medical forum.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Roxadustat for the Treatment of Anemia in Chronic Kidney Disease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Roxadustat is our commercial-stage product, an oral small molecule inhibitor of HIF-PH activity that acts by stimulating the body’s natural pathway of erythropoiesis, or red blood cell production.</w:t>
      </w:r>
      <w:r>
        <w:rPr>
          <w:rFonts w:ascii="Times New Roman" w:hAnsi="Times New Roman"/>
          <w:color w:val="000000"/>
          <w:sz w:val="20"/>
        </w:rPr>
        <w:t xml:space="preserve"> </w:t>
      </w:r>
    </w:p>
    <w:p>
      <w:pPr>
        <w:pStyle w:val="TextBody"/>
        <w:bidi w:val="0"/>
        <w:spacing w:before="240" w:after="283"/>
        <w:jc w:val="left"/>
        <w:rPr/>
      </w:pPr>
      <w:r>
        <w:rPr>
          <w:rFonts w:ascii="Times New Roman" w:hAnsi="Times New Roman"/>
          <w:b w:val="false"/>
          <w:color w:val="000000"/>
          <w:sz w:val="20"/>
        </w:rPr>
        <w:t>Roxadustat (</w:t>
      </w:r>
      <w:r>
        <w:rPr>
          <w:rFonts w:eastAsia="Times New Roman"/>
          <w:b w:val="false"/>
          <w:color w:val="000000"/>
          <w:sz w:val="20"/>
        </w:rPr>
        <w:t>爱瑞卓</w:t>
      </w:r>
      <w:r>
        <w:rPr>
          <w:rFonts w:ascii="Times New Roman" w:hAnsi="Times New Roman"/>
          <w:b w:val="false"/>
          <w:color w:val="000000"/>
          <w:sz w:val="13"/>
        </w:rPr>
        <w:t>®️</w:t>
      </w:r>
      <w:r>
        <w:rPr>
          <w:rFonts w:ascii="Times New Roman" w:hAnsi="Times New Roman"/>
          <w:b w:val="false"/>
          <w:color w:val="000000"/>
          <w:sz w:val="20"/>
        </w:rPr>
        <w:t>, EVRENZO</w:t>
      </w:r>
      <w:r>
        <w:rPr>
          <w:rFonts w:ascii="Times New Roman" w:hAnsi="Times New Roman"/>
          <w:b w:val="false"/>
          <w:color w:val="000000"/>
          <w:sz w:val="13"/>
        </w:rPr>
        <w:t>TM</w:t>
      </w:r>
      <w:r>
        <w:rPr>
          <w:rFonts w:ascii="Times New Roman" w:hAnsi="Times New Roman"/>
          <w:b w:val="false"/>
          <w:color w:val="000000"/>
          <w:sz w:val="20"/>
        </w:rPr>
        <w:t>) is approved in China, Europe, Japan, and numerous other countries for the treatment of anemia in CKD for patients who are on dialysis and not on dialysis.</w:t>
      </w:r>
    </w:p>
    <w:p>
      <w:pPr>
        <w:pStyle w:val="TextBody"/>
        <w:bidi w:val="0"/>
        <w:spacing w:before="240" w:after="283"/>
        <w:jc w:val="left"/>
        <w:rPr/>
      </w:pPr>
      <w:r>
        <w:rPr>
          <w:rFonts w:ascii="Times New Roman" w:hAnsi="Times New Roman"/>
          <w:b w:val="false"/>
          <w:color w:val="000000"/>
          <w:sz w:val="20"/>
        </w:rPr>
        <w:t xml:space="preserve">In China, roxadustat (tradename: </w:t>
      </w:r>
      <w:r>
        <w:rPr>
          <w:rFonts w:eastAsia="Times New Roman"/>
          <w:b w:val="false"/>
          <w:color w:val="000000"/>
          <w:sz w:val="20"/>
        </w:rPr>
        <w:t>爱瑞卓</w:t>
      </w:r>
      <w:r>
        <w:rPr>
          <w:rFonts w:ascii="Times New Roman" w:hAnsi="Times New Roman"/>
          <w:b w:val="false"/>
          <w:color w:val="000000"/>
          <w:sz w:val="13"/>
        </w:rPr>
        <w:t>®</w:t>
      </w:r>
      <w:r>
        <w:rPr>
          <w:rFonts w:ascii="Times New Roman" w:hAnsi="Times New Roman"/>
          <w:b w:val="false"/>
          <w:color w:val="000000"/>
          <w:sz w:val="20"/>
        </w:rPr>
        <w:t>) continues to see significant volume growth in the treatment of anemia caused by CKD in non-dialysis and dialysis patients. In the third quarter of 2023, roxadustat achieved an over 37% increase in sales volume relative to the third quarter of 2022. As of August 2023, roxadustat was the top CKD anemia brand in China with approximately 42% value share within the segment of erythropoiesis stimulating agents and HIF-PH inhibitors (roxadustat is currently the only HIF-PH inhibitor on the market in China).</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Roxadustat for the Treatment of Chemotherapy-Induced Anemia</w:t>
      </w:r>
    </w:p>
    <w:p>
      <w:pPr>
        <w:pStyle w:val="TextBody"/>
        <w:bidi w:val="0"/>
        <w:spacing w:before="120" w:after="283"/>
        <w:jc w:val="left"/>
        <w:rPr/>
      </w:pPr>
      <w:r>
        <w:rPr>
          <w:rFonts w:ascii="Times New Roman" w:hAnsi="Times New Roman"/>
          <w:b w:val="false"/>
          <w:color w:val="000000"/>
          <w:sz w:val="20"/>
        </w:rPr>
        <w:t>In May 2023, we announced positive topline data from our Phase 3 clinical study of roxadustat for treatment of anemia in patients receiving concurrent chemotherapy treatment for non-myeloid malignancies in China. Roxadustat (</w:t>
      </w:r>
      <w:r>
        <w:rPr>
          <w:rFonts w:eastAsia="Times New Roman"/>
          <w:b w:val="false"/>
          <w:color w:val="000000"/>
          <w:sz w:val="20"/>
        </w:rPr>
        <w:t>爱瑞卓</w:t>
      </w:r>
      <w:r>
        <w:rPr>
          <w:rFonts w:ascii="Times New Roman" w:hAnsi="Times New Roman"/>
          <w:b w:val="false"/>
          <w:color w:val="000000"/>
          <w:sz w:val="13"/>
        </w:rPr>
        <w:t>®</w:t>
      </w:r>
      <w:r>
        <w:rPr>
          <w:rFonts w:ascii="Times New Roman" w:hAnsi="Times New Roman"/>
          <w:b w:val="false"/>
          <w:color w:val="000000"/>
          <w:sz w:val="20"/>
        </w:rPr>
        <w:t>) demonstrated non-inferiority compared to recombinant erythropoietin alfa (SEPO</w:t>
      </w:r>
      <w:r>
        <w:rPr>
          <w:rFonts w:ascii="Times New Roman" w:hAnsi="Times New Roman"/>
          <w:b w:val="false"/>
          <w:color w:val="000000"/>
          <w:sz w:val="13"/>
        </w:rPr>
        <w:t>®</w:t>
      </w:r>
      <w:r>
        <w:rPr>
          <w:rFonts w:ascii="Times New Roman" w:hAnsi="Times New Roman"/>
          <w:b w:val="false"/>
          <w:color w:val="000000"/>
          <w:sz w:val="20"/>
        </w:rPr>
        <w:t>) on the primary endpoint of change in hemoglobin (Hb) level from baseline to the average level during Weeks 9-13.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the preliminary safety analysis, the adverse event profile of roxadustat was generally consistent with previous findings and supportive of a positive benefit risk in this patient population.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 total of 159 patients with non-myeloid malignancy (solid tumor) with a baseline hemoglobin level at or below 10 g/dL were enrolled into this Phase 3, randomized, open-label, active-controlled study investigating the efficacy and safety of roxadustat for treatment of CIA. Patients were randomly assigned roxadustat or erythropoietin alfa three times per week (TIW), during a treatment period of 12 weeks, with an additional 4-week follow-up period. We recently presented results from this study in an oral presentation at the European Society for Medical Oncology Congress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supplemental New Drug Application for roxadustat in CIA was accepted by the China Health Authority in August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Although CIA is one of the most common side effects of chemotherapy, it is frequently undertreated. CIA can adversely affect long-term patient outcomes, as anemia limits both quality of life and the ability of patients to continue chemotherapy treatment. The incidence and severity of CIA depends on a variety of factors. This includes the type of cancer and the treatment, including the type of chemotherapy, schedule, and intensity of therapy. It also depends on whether the patient has received prior myelosuppressive chemotherapy, radiation therapy, or both. Almost 80% of cancer patients in China receiving chemotherapy develop anemia. Approximately 50% of cancer patients in China receiving chemotherapy develop severe anemia that merits treatment (hemoglobin under 10g/dL). In China, over 3 million cancer patients undergo chemotherapy.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FG-3246: Prostate Cancer; Potential Additional Cancer Indications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May 2023 we obtained an exclusive license to develop FG-3246 (previously FOR46) in metastatic castration-resistant prostate cancer (“mCRPC”) and other cancer indications. FG-3246 is a first-in-class antibody-drug conjugate targeting a novel epitope on CD46 that is expressed at high levels in certain tumor types with limited expression in most normal tissues. The cytotoxic payload of FG-3246 is monomethyl auristatin E, an anti-mitotic agent that has been utilized in four commercially approved antibody-drug conjugate drugs.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FG-3246 showed monotherapy efficacy in a Phase 1 clinical study in patients with mCRPC, with a PSA50 interim response rate of 45% and an objective partial response rate of 19%. We expect final topline results of this study by the first quarter of 2024.</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 investigator sponsored trial of FG-3246 plus enzalutimide is ongoing. Side effects have been manageable and are consistent with other monomethyl auristatin E-based antibody-drug conjugate drugs.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anticipate the initiation of a PET biomarker driven Phase 2 trial of FG-3246 for mCRPC in the second half of 2024. Development of the CD46-targeted PET biomarker is currently underway with UCSF, a collaborator of Fortis. We are also exploring additional potential tumor indications in which CD46 is commonly expressed.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Preclinical Pipeline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preclinical pipeline consists of two antibodies for immuno-oncology that are in investigational new drug application-enabling studies, and an additional small molecule drug discovery pipeline that leverages the expertise we developed through our HIF-PH inhibitor programs in 2 oxoglutarate dependent dioxygenase biology.</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FG-3165 </w:t>
      </w:r>
      <w:r>
        <w:rPr>
          <w:rFonts w:ascii="Times New Roman" w:hAnsi="Times New Roman"/>
          <w:b w:val="false"/>
          <w:color w:val="000000"/>
          <w:sz w:val="20"/>
        </w:rPr>
        <w:t>is a galectin-9 (“Gal9”) targeted antibody under development for treatment of solid tumors characterized by high Gal9 levels of expression. Gal9 has been reported to bind to multiple immune checkpoints on lymphocytes that suppress T and natural killer cell activation. In preclinical studies FG-3165 and its variants inhibit Gal9 mediated T cell death, and also promotes anti-tumor immune responses in combination with other immune checkpoint targeted drugs. We plan to submit an investigational new drug application in the first quarter of 2024.</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 xml:space="preserve">FG-3175 </w:t>
      </w:r>
      <w:r>
        <w:rPr>
          <w:rFonts w:ascii="Times New Roman" w:hAnsi="Times New Roman"/>
          <w:b w:val="false"/>
          <w:color w:val="000000"/>
          <w:sz w:val="20"/>
        </w:rPr>
        <w:t>is a c-c motif chemokine receptor 8 (“CCR8”) targeted antibody under development for treatment of solid tumors that are highly infiltrated by CCR8-positive T regulatory cells. T regulatory cells contribute to an immune suppressed tumor microenvironment, and multiple preclinical studies have demonstrated immune activation and tumor regression following depletion of this cell type from the tumor microenvironment. FG-3175 is a variant of our previous lead anti-CCR8 antibody, FG-3163, and was deemed to be a superior clinical candidate following extended characterization of both antibodies. FG-3175 has enhanced antibody dependent cellular cytotoxicity activity and induces potent killing of CCR8 expressing cells by natural killer cells in in vitro assay systems. An investigational new drug application is planned for the second half of 2024.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2 oxoglutarate dependent dioxygenase targeted small molecule pipeline is being developed to target cancer epigenetic pathways that contribute to tumor proliferation.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Debt Financing Agreement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April 29, 2023, we entered into a financing agreement (the “Financing Agreement”) with a $75.0 million senior secured term loan with investment funds managed by Morgan Stanley Tactical Value, as lenders, and Wilmington Trust, National Association, as the administrative agent.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For additional details about this financing transaction, see Note 7, </w:t>
      </w:r>
      <w:r>
        <w:rPr>
          <w:rFonts w:ascii="Times New Roman" w:hAnsi="Times New Roman"/>
          <w:b w:val="false"/>
          <w:i/>
          <w:color w:val="000000"/>
          <w:sz w:val="20"/>
        </w:rPr>
        <w:t>Senior Secured Term Loan Facilities</w:t>
      </w:r>
      <w:r>
        <w:rPr>
          <w:rFonts w:ascii="Times New Roman" w:hAnsi="Times New Roman"/>
          <w:b w:val="false"/>
          <w:color w:val="000000"/>
          <w:sz w:val="20"/>
        </w:rPr>
        <w:t>, to the condensed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Exclusive License and Option to Acquire Fortis Therapeutics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May 5, 2023, we entered into an exclusive option agreement to acquire Fortis with its novel Phase 1 antibody-drug conjugate, FG-3246 (previously FOR46), that targets a novel epitope on CD46 preferentially expressed on certain cancer cells. FG-3246 is in development for the treatment of metastatic castration-resistant prostate cancer with potential applicability in other solid tumors and hematologic malignancies.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an evaluation agreement entered into with Fortis concurrent with the option agreement, FibroGen has exclusively licensed FG-3246 and will control and fund future research, development, including a Phase 2 clinical study sponsored by FibroGen, and manufacturing of FG-3246 during the option period. As part of the clinical development strategy, we will continue the work to develop a PET-based biomarker utilizing a radiolabeled version of the targeting antibody for patient selection.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FibroGen will pay Fortis $5.0 million during the up to four-year option period in support of their continued development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we exercise the option to acquire Fortis, we will pay Fortis $80.0 million, and thereafter, Fortis would be eligible to receive from FibroGen up to $200.0 million in contingent payments associated with the achievement of various regulatory approvals. If we acquire Fortis, we would also be responsible to pay UCSF, an upstream licensor to Fortis, development milestone fees and a single digit royalty on net sales of therapeutic or diagnostic products arising from the collaboration. If FibroGen chooses not to acquire Fortis, its exclusive license to FG-3246 would expire.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For additional details about this transaction, see Note 3, </w:t>
      </w:r>
      <w:r>
        <w:rPr>
          <w:rFonts w:ascii="Times New Roman" w:hAnsi="Times New Roman"/>
          <w:b w:val="false"/>
          <w:i/>
          <w:color w:val="000000"/>
          <w:sz w:val="20"/>
        </w:rPr>
        <w:t>Exclusive License and Option to Acquire Fortis Therapeutics</w:t>
      </w:r>
      <w:r>
        <w:rPr>
          <w:rFonts w:ascii="Times New Roman" w:hAnsi="Times New Roman"/>
          <w:b w:val="false"/>
          <w:color w:val="000000"/>
          <w:sz w:val="20"/>
        </w:rPr>
        <w:t>, to the condensed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Eluminex Agreement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April 2023, FibroGen and Eluminex entered into an Amended and Restated Exclusive License Agreement (“A&amp;R Eluminex Agreement”) in order to add to the license rights to recombinant human collagen Type I (in addition to the rights to collagen Type III that were already licensed). The A&amp;R Eluminex Agreement included additional total upfront payments of $1.5 million.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three months ended September 30, 2023, we recognized a $0.5 million upfront payment under the A&amp;R Eluminex Agreement. During the three months ended June 30, 2023, we recognized a $1.0 million upfront payment under the above amendment. During the three months ended March 31, 2023, we recognized a $3.0 million milestone payment based on Eluminex implanting a biosynthetic cornea in the first patient of its clinical trial in China, and a $3.0 million manufacturing related milestone payment.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See the</w:t>
      </w:r>
      <w:r>
        <w:rPr>
          <w:rFonts w:ascii="Times New Roman" w:hAnsi="Times New Roman"/>
          <w:color w:val="000000"/>
          <w:sz w:val="20"/>
        </w:rPr>
        <w:t xml:space="preserve"> </w:t>
      </w:r>
      <w:r>
        <w:rPr>
          <w:rFonts w:ascii="Times New Roman" w:hAnsi="Times New Roman"/>
          <w:b w:val="false"/>
          <w:i/>
          <w:color w:val="000000"/>
          <w:sz w:val="20"/>
        </w:rPr>
        <w:t xml:space="preserve">Eluminex Agreement </w:t>
      </w:r>
      <w:r>
        <w:rPr>
          <w:rFonts w:ascii="Times New Roman" w:hAnsi="Times New Roman"/>
          <w:b w:val="false"/>
          <w:color w:val="000000"/>
          <w:sz w:val="20"/>
        </w:rPr>
        <w:t xml:space="preserve">section in Note 2, </w:t>
      </w:r>
      <w:r>
        <w:rPr>
          <w:rFonts w:ascii="Times New Roman" w:hAnsi="Times New Roman"/>
          <w:b w:val="false"/>
          <w:i/>
          <w:color w:val="000000"/>
          <w:sz w:val="20"/>
        </w:rPr>
        <w:t>Collaboration Agreements, License Agreement and Revenues,</w:t>
      </w:r>
      <w:r>
        <w:rPr>
          <w:rFonts w:ascii="Times New Roman" w:hAnsi="Times New Roman"/>
          <w:color w:val="000000"/>
          <w:sz w:val="20"/>
        </w:rPr>
        <w:t xml:space="preserve"> </w:t>
      </w:r>
      <w:r>
        <w:rPr>
          <w:rFonts w:ascii="Times New Roman" w:hAnsi="Times New Roman"/>
          <w:b w:val="false"/>
          <w:color w:val="000000"/>
          <w:sz w:val="20"/>
        </w:rPr>
        <w:t>to the condensed consolidated financial statements for details.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val="false"/>
          <w:color w:val="000000"/>
          <w:sz w:val="20"/>
        </w:rPr>
        <w:br/>
      </w:r>
      <w:r>
        <w:rPr>
          <w:rFonts w:ascii="Times New Roman" w:hAnsi="Times New Roman"/>
          <w:b/>
          <w:color w:val="000000"/>
          <w:sz w:val="20"/>
        </w:rPr>
        <w:t>Collaboration Partnerships for Roxadustat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Our current and future research, development, manufacturing and commercialization efforts with respect to roxadustat depend on funds from our collaboration agreements with Astellas and AstraZeneca. See Note 2, </w:t>
      </w:r>
      <w:r>
        <w:rPr>
          <w:rFonts w:ascii="Times New Roman" w:hAnsi="Times New Roman"/>
          <w:b w:val="false"/>
          <w:i/>
          <w:color w:val="000000"/>
          <w:sz w:val="20"/>
        </w:rPr>
        <w:t>Collaboration Agreements, License Agreement and Revenues</w:t>
      </w:r>
      <w:r>
        <w:rPr>
          <w:rFonts w:ascii="Times New Roman" w:hAnsi="Times New Roman"/>
          <w:b w:val="false"/>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Astellas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June 2005, we entered into a collaboration agreement with Astellas for the development and commercialization (but not manufacture) of roxadustat for the treatment of anemia in Japan (“Astellas Japan Agreement”). In April 2006, we entered into a separate collaboration agreement with Astellas for roxadustat for the treatment of anemia in Europe, the Commonwealth of Independent States, the Middle East, and South Africa (“Astellas Europe Agreement”). Under these agreements, the aggregate amount of consideration received through September 30, 2023 totaled $790.1 million.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March 21, 2022, EVRENZO</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(roxadustat) was registered with the Russian Ministry of Health. We evaluated the regulatory milestone payment associated with the approval in Russia under the Astellas Europe Agreement and concluded that this milestone was achieved in the first quarter of 2022. Accordingly, the consideration of $25.0 million associated with this milestone was included in the transaction price and allocated to performance obligations under the Astellas Europe Agreement, all of which was recognized as revenue during the first quarter of 2022 from performance obligations satisfied.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2018, we and Astellas entered into an amendment to the Astellas Japan Agreement that allows Astellas to manufacture roxadustat drug product for commercialization in Japan (the “Astellas Japan Amendment”). The related drug product revenue was $0.7 million and $(4.3) million for the three months ended September 30, 2023 and 2022, and $16.2 million and $3.3 million for the nine months ended September 30, 2023 and 2022, respectively.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first quarter of 2021, we entered into an EU Supply Agreement with Astellas under the Astellas Europe Agreement to define general forecast, order, supply and payment terms for Astellas to purchase roxadustat bulk drug product from FibroGen in support of commercial supplies (the “Astellas EU Supply Agreement”). The related drug product revenue was $0.6 million and $0.2 million for the three months ended September 30, 2023 and 2022, and $1.5 million and $1.3 million for the nine months ended September 30, 2023 and 2022, respectively.</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AstraZeneca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July 2013, we entered into a collaboration agreement with AstraZeneca for roxadustat for the treatment of anemia in the U.S. and all territories not previously licensed to Astellas, except China (the “AstraZeneca U.S./RoW Agreement”). In July 2013, through our China subsidiary and related affiliates, we entered into a collaboration agreement with AstraZeneca for roxadustat for the treatment of anemia in China (the “AstraZeneca China Agreement”). Under the AstraZeneca agreements, the aggregate amount of consideration received through September 30, 2023 totaled $516.2 million.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Under the AstraZeneca China Agreement, which is conducted through FibroGen China Anemia Holdings, Ltd., FibroGen (China) Medical Technology Development Co., Ltd. (“FibroGen Beijing”), and FibroGen International (Hong Kong) Limited (collectively, (“FibroGen China”), the commercial collaboration was structured as a 50/50 profit share, which was amended by the AstraZeneca China Amendment in the third quarter of 2020, as discussed and defined below in </w:t>
      </w:r>
      <w:r>
        <w:rPr>
          <w:rFonts w:ascii="Times New Roman" w:hAnsi="Times New Roman"/>
          <w:b w:val="false"/>
          <w:i/>
          <w:color w:val="000000"/>
          <w:sz w:val="20"/>
        </w:rPr>
        <w:t>AstraZeneca China Amendment</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September 18, 2023, we received the formal notice, from Beijing Medical Products Administration, of renewal of its right to continue to market Roxadustat in China through 2028. The Company evaluated the regulatory milestone payment associated with this renewal under the AstraZeneca China Agreement and concluded that this milestone was achieved in the third quarter of 2023. Accordingly, the consideration of $4.0 million associated with this milestone was included in the transaction price and allocated to performance obligations under the AstraZeneca U.S./RoW Agreement and the AstraZeneca China Agreement, $3.5 million of which was recognized as revenue during the third quarter of 2023 from performance obligations satisfied or partially satisfied.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2020, we entered into a Master Supply Agreement with AstraZeneca under the AstraZeneca U.S./RoW Agreement (the “AstraZeneca Master Supply Agreement”) to define general forecast, order, supply and payment terms for AstraZeneca to purchase roxadustat bulk drug product from FibroGen in support of commercial supplies. There was no related drug product revenue for the three and nine months ended September 30, 2023 and 2022.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AstraZeneca China Amendment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July 2020, FibroGen China and AstraZeneca entered into an amendment, effective July 1, 2020, to the AstraZeneca China Agreement, relating to the development and commercialization of roxadustat in China (the “AstraZeneca China Amendment”). Under the AstraZeneca China Amendment, in September 2020, FibroGen Beijing and AstraZeneca completed the establishment of a jointly owned entity, Beijing Falikang Pharmaceutical Co., Ltd. (“Falikang”), which performs roxadustat distribution, as well as conducts sales and marketing through AstraZeneca.</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bookmarkStart w:id="13" w:name="highlight_result_12"/>
      <w:bookmarkEnd w:id="13"/>
      <w:r>
        <w:rPr>
          <w:rFonts w:ascii="Times New Roman" w:hAnsi="Times New Roman"/>
          <w:b w:val="false"/>
          <w:color w:val="000000"/>
          <w:sz w:val="20"/>
        </w:rPr>
        <w:t>FibroGen Beijing manufactures and supplies commercial product to Falikang based on an agreed upon transfer price, which includes gross transfer price, net of calculated profit share. Revenue is recognized upon the transfer of control of commercial products to Falikang in an amount that reflects the allocation of transaction price of the China manufacturing and supply obligation (“China performance obligation”) to the performance obligation satisfied during the reporting period. We recognized related net product revenue of $29.4 million and $17.4 million for the three months ended September 30, 2023 and 2022, and $77.4 million and $59.5 million for the nine months ended September 30, 2023 and 2022, respectively.</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Additional Information Related to Collaboration Agreements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Total cash consideration received through September 30, 2023 and potential cash consideration, for upfront payments and milestone payments under our collaboration agreements are as follows:</w:t>
      </w:r>
    </w:p>
    <w:tbl>
      <w:tblPr>
        <w:tblW w:w="10205" w:type="dxa"/>
        <w:jc w:val="left"/>
        <w:tblInd w:w="0" w:type="dxa"/>
        <w:tblLayout w:type="fixed"/>
        <w:tblCellMar>
          <w:top w:w="28" w:type="dxa"/>
          <w:left w:w="28" w:type="dxa"/>
          <w:bottom w:w="28" w:type="dxa"/>
          <w:right w:w="28" w:type="dxa"/>
        </w:tblCellMar>
      </w:tblPr>
      <w:tblGrid>
        <w:gridCol w:w="2186"/>
        <w:gridCol w:w="146"/>
        <w:gridCol w:w="477"/>
        <w:gridCol w:w="2106"/>
        <w:gridCol w:w="146"/>
        <w:gridCol w:w="146"/>
        <w:gridCol w:w="293"/>
        <w:gridCol w:w="1297"/>
        <w:gridCol w:w="146"/>
        <w:gridCol w:w="146"/>
        <w:gridCol w:w="428"/>
        <w:gridCol w:w="1893"/>
        <w:gridCol w:w="795"/>
      </w:tblGrid>
      <w:tr>
        <w:trPr/>
        <w:tc>
          <w:tcPr>
            <w:tcW w:w="2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2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Cash Received for Upfront Payments and Milestone Payments</w:t>
              <w:br/>
              <w:t>Through</w:t>
              <w:br/>
              <w:t>September 30,</w:t>
            </w:r>
            <w:r>
              <w:rPr>
                <w:rFonts w:ascii="Times New Roman" w:hAnsi="Times New Roman"/>
                <w:color w:val="000000"/>
                <w:sz w:val="16"/>
              </w:rPr>
              <w:t xml:space="preserve"> </w:t>
            </w: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Potential</w:t>
              <w:br/>
              <w:t>Cash Payment for Milestones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Potential</w:t>
              <w:br/>
              <w:t>Cash Payments for Upfront Payments and Milestones</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8"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795" w:type="dxa"/>
            <w:tcBorders/>
            <w:shd w:fill="FFFFFF" w:val="clear"/>
            <w:vAlign w:val="center"/>
          </w:tcPr>
          <w:p>
            <w:pPr>
              <w:pStyle w:val="TableContents"/>
              <w:bidi w:val="0"/>
              <w:spacing w:before="0" w:after="283"/>
              <w:jc w:val="center"/>
              <w:rPr/>
            </w:pPr>
            <w:r>
              <w:rPr/>
              <w:t> </w:t>
            </w:r>
          </w:p>
        </w:tc>
      </w:tr>
      <w:tr>
        <w:trPr/>
        <w:tc>
          <w:tcPr>
            <w:tcW w:w="21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Astellas--related-party:</w:t>
            </w:r>
          </w:p>
        </w:tc>
        <w:tc>
          <w:tcPr>
            <w:tcW w:w="146" w:type="dxa"/>
            <w:tcBorders/>
            <w:shd w:fill="CFF0FC" w:val="clear"/>
            <w:vAlign w:val="center"/>
          </w:tcPr>
          <w:p>
            <w:pPr>
              <w:pStyle w:val="TableContents"/>
              <w:bidi w:val="0"/>
              <w:spacing w:before="0" w:after="283"/>
              <w:jc w:val="center"/>
              <w:rPr/>
            </w:pPr>
            <w:r>
              <w:rPr/>
              <w:t> </w:t>
            </w:r>
          </w:p>
        </w:tc>
        <w:tc>
          <w:tcPr>
            <w:tcW w:w="258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59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321" w:type="dxa"/>
            <w:gridSpan w:val="2"/>
            <w:tcBorders/>
            <w:shd w:fill="CFF0FC" w:val="clear"/>
            <w:vAlign w:val="center"/>
          </w:tcPr>
          <w:p>
            <w:pPr>
              <w:pStyle w:val="TableContents"/>
              <w:bidi w:val="0"/>
              <w:spacing w:before="0" w:after="283"/>
              <w:jc w:val="center"/>
              <w:rPr/>
            </w:pPr>
            <w:r>
              <w:rPr/>
              <w:t> </w:t>
            </w:r>
          </w:p>
        </w:tc>
        <w:tc>
          <w:tcPr>
            <w:tcW w:w="795" w:type="dxa"/>
            <w:tcBorders/>
            <w:shd w:fill="CFF0FC" w:val="clear"/>
            <w:vAlign w:val="center"/>
          </w:tcPr>
          <w:p>
            <w:pPr>
              <w:pStyle w:val="TableContents"/>
              <w:bidi w:val="0"/>
              <w:spacing w:before="0" w:after="283"/>
              <w:ind w:left="0" w:right="0" w:firstLine="200"/>
              <w:jc w:val="center"/>
              <w:rPr/>
            </w:pPr>
            <w:r>
              <w:rPr/>
              <w:t> </w:t>
            </w:r>
          </w:p>
        </w:tc>
      </w:tr>
      <w:tr>
        <w:trPr/>
        <w:tc>
          <w:tcPr>
            <w:tcW w:w="21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Astellas Japan Agreement</w:t>
            </w:r>
          </w:p>
        </w:tc>
        <w:tc>
          <w:tcPr>
            <w:tcW w:w="146"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172,593</w:t>
            </w:r>
          </w:p>
        </w:tc>
        <w:tc>
          <w:tcPr>
            <w:tcW w:w="795" w:type="dxa"/>
            <w:tcBorders/>
            <w:shd w:fill="FFFFFF" w:val="clear"/>
            <w:vAlign w:val="center"/>
          </w:tcPr>
          <w:p>
            <w:pPr>
              <w:pStyle w:val="TableContents"/>
              <w:bidi w:val="0"/>
              <w:spacing w:before="0" w:after="283"/>
              <w:ind w:left="0" w:right="0" w:firstLine="200"/>
              <w:jc w:val="left"/>
              <w:rPr/>
            </w:pPr>
            <w:r>
              <w:rPr/>
              <w:t> </w:t>
            </w:r>
          </w:p>
        </w:tc>
      </w:tr>
      <w:tr>
        <w:trPr/>
        <w:tc>
          <w:tcPr>
            <w:tcW w:w="21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Astellas Europe Agreement</w:t>
            </w:r>
          </w:p>
        </w:tc>
        <w:tc>
          <w:tcPr>
            <w:tcW w:w="146" w:type="dxa"/>
            <w:tcBorders/>
            <w:shd w:fill="CFF0FC" w:val="clear"/>
            <w:vAlign w:val="center"/>
          </w:tcPr>
          <w:p>
            <w:pPr>
              <w:pStyle w:val="TableContents"/>
              <w:bidi w:val="0"/>
              <w:spacing w:before="0" w:after="283"/>
              <w:jc w:val="center"/>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745,000</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8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Astellas</w:t>
            </w:r>
          </w:p>
        </w:tc>
        <w:tc>
          <w:tcPr>
            <w:tcW w:w="146"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21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790,093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3"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28" w:type="dxa"/>
            <w:tcBorders/>
            <w:shd w:fill="FFFFFF" w:val="clear"/>
            <w:vAlign w:val="center"/>
          </w:tcPr>
          <w:p>
            <w:pPr>
              <w:pStyle w:val="TableContents"/>
              <w:bidi w:val="0"/>
              <w:spacing w:before="0" w:after="283"/>
              <w:jc w:val="left"/>
              <w:rPr/>
            </w:pPr>
            <w:r>
              <w:rPr/>
              <w:t> </w:t>
            </w:r>
          </w:p>
        </w:tc>
        <w:tc>
          <w:tcPr>
            <w:tcW w:w="18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917,593</w:t>
            </w:r>
          </w:p>
        </w:tc>
        <w:tc>
          <w:tcPr>
            <w:tcW w:w="795" w:type="dxa"/>
            <w:tcBorders/>
            <w:shd w:fill="FFFFFF" w:val="clear"/>
            <w:vAlign w:val="center"/>
          </w:tcPr>
          <w:p>
            <w:pPr>
              <w:pStyle w:val="TableContents"/>
              <w:bidi w:val="0"/>
              <w:spacing w:before="0" w:after="283"/>
              <w:jc w:val="left"/>
              <w:rPr/>
            </w:pPr>
            <w:r>
              <w:rPr/>
              <w:t> </w:t>
            </w:r>
          </w:p>
        </w:tc>
      </w:tr>
      <w:tr>
        <w:trPr/>
        <w:tc>
          <w:tcPr>
            <w:tcW w:w="21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AstraZeneca:</w:t>
            </w:r>
          </w:p>
        </w:tc>
        <w:tc>
          <w:tcPr>
            <w:tcW w:w="146" w:type="dxa"/>
            <w:tcBorders/>
            <w:shd w:fill="CFF0FC" w:val="clear"/>
            <w:vAlign w:val="center"/>
          </w:tcPr>
          <w:p>
            <w:pPr>
              <w:pStyle w:val="TableContents"/>
              <w:bidi w:val="0"/>
              <w:spacing w:before="0" w:after="283"/>
              <w:jc w:val="center"/>
              <w:rPr/>
            </w:pPr>
            <w:r>
              <w:rPr/>
              <w:t> </w:t>
            </w:r>
          </w:p>
        </w:tc>
        <w:tc>
          <w:tcPr>
            <w:tcW w:w="258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5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321" w:type="dxa"/>
            <w:gridSpan w:val="2"/>
            <w:tcBorders/>
            <w:shd w:fill="CFF0FC" w:val="clear"/>
            <w:vAlign w:val="center"/>
          </w:tcPr>
          <w:p>
            <w:pPr>
              <w:pStyle w:val="TableContents"/>
              <w:bidi w:val="0"/>
              <w:spacing w:before="0" w:after="283"/>
              <w:jc w:val="right"/>
              <w:rPr/>
            </w:pPr>
            <w:r>
              <w:rPr/>
              <w:t> </w:t>
            </w:r>
          </w:p>
        </w:tc>
        <w:tc>
          <w:tcPr>
            <w:tcW w:w="795" w:type="dxa"/>
            <w:tcBorders/>
            <w:shd w:fill="CFF0FC" w:val="clear"/>
            <w:vAlign w:val="center"/>
          </w:tcPr>
          <w:p>
            <w:pPr>
              <w:pStyle w:val="TableContents"/>
              <w:bidi w:val="0"/>
              <w:spacing w:before="0" w:after="283"/>
              <w:ind w:left="0" w:right="0" w:firstLine="200"/>
              <w:jc w:val="right"/>
              <w:rPr/>
            </w:pPr>
            <w:r>
              <w:rPr/>
              <w:t> </w:t>
            </w:r>
          </w:p>
        </w:tc>
      </w:tr>
      <w:tr>
        <w:trPr/>
        <w:tc>
          <w:tcPr>
            <w:tcW w:w="21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AstraZeneca U.S./RoW Agreement</w:t>
            </w:r>
          </w:p>
        </w:tc>
        <w:tc>
          <w:tcPr>
            <w:tcW w:w="146"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21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3"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28" w:type="dxa"/>
            <w:tcBorders/>
            <w:shd w:fill="FFFFFF" w:val="clear"/>
            <w:vAlign w:val="center"/>
          </w:tcPr>
          <w:p>
            <w:pPr>
              <w:pStyle w:val="TableContents"/>
              <w:bidi w:val="0"/>
              <w:spacing w:before="0" w:after="283"/>
              <w:jc w:val="left"/>
              <w:rPr/>
            </w:pPr>
            <w:r>
              <w:rPr/>
              <w:t> </w:t>
            </w:r>
          </w:p>
        </w:tc>
        <w:tc>
          <w:tcPr>
            <w:tcW w:w="18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1,249,000</w:t>
            </w:r>
          </w:p>
        </w:tc>
        <w:tc>
          <w:tcPr>
            <w:tcW w:w="795" w:type="dxa"/>
            <w:tcBorders/>
            <w:shd w:fill="FFFFFF" w:val="clear"/>
            <w:vAlign w:val="center"/>
          </w:tcPr>
          <w:p>
            <w:pPr>
              <w:pStyle w:val="TableContents"/>
              <w:bidi w:val="0"/>
              <w:spacing w:before="0" w:after="283"/>
              <w:ind w:left="0" w:right="0" w:firstLine="200"/>
              <w:jc w:val="left"/>
              <w:rPr/>
            </w:pPr>
            <w:r>
              <w:rPr/>
              <w:t> </w:t>
            </w:r>
          </w:p>
        </w:tc>
      </w:tr>
      <w:tr>
        <w:trPr/>
        <w:tc>
          <w:tcPr>
            <w:tcW w:w="21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AstraZeneca China Agreement</w:t>
            </w:r>
          </w:p>
        </w:tc>
        <w:tc>
          <w:tcPr>
            <w:tcW w:w="146" w:type="dxa"/>
            <w:tcBorders/>
            <w:shd w:fill="CFF0FC" w:val="clear"/>
            <w:vAlign w:val="center"/>
          </w:tcPr>
          <w:p>
            <w:pPr>
              <w:pStyle w:val="TableContents"/>
              <w:bidi w:val="0"/>
              <w:spacing w:before="0" w:after="283"/>
              <w:jc w:val="center"/>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376,700</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8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AstraZeneca</w:t>
            </w:r>
          </w:p>
        </w:tc>
        <w:tc>
          <w:tcPr>
            <w:tcW w:w="146" w:type="dxa"/>
            <w:tcBorders/>
            <w:shd w:fill="FFFFFF" w:val="clear"/>
            <w:vAlign w:val="center"/>
          </w:tcPr>
          <w:p>
            <w:pPr>
              <w:pStyle w:val="TableContents"/>
              <w:bidi w:val="0"/>
              <w:spacing w:before="0" w:after="283"/>
              <w:jc w:val="center"/>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1,109,500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1,625,700</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18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center"/>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1,306,293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1,237,000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2,543,293</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above table does not include development cost reimbursement, transfer price payments, and royalties and profit share under our existing collaboration agreements. Based on our current development plans for roxadustat in Japan, Europe and U.S., we do not expect to receive most or all of these additional potential milestones under the Astellas Japan Agreement, the Astellas Europe Agreement and the AstraZeneca U.S./RoW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jc w:val="left"/>
        <w:rPr/>
      </w:pPr>
      <w:r>
        <w:rPr/>
        <w:t> </w:t>
      </w:r>
    </w:p>
    <w:tbl>
      <w:tblPr>
        <w:tblW w:w="11525" w:type="dxa"/>
        <w:jc w:val="left"/>
        <w:tblInd w:w="0" w:type="dxa"/>
        <w:tblLayout w:type="fixed"/>
        <w:tblCellMar>
          <w:top w:w="28" w:type="dxa"/>
          <w:left w:w="28" w:type="dxa"/>
          <w:bottom w:w="28" w:type="dxa"/>
          <w:right w:w="28" w:type="dxa"/>
        </w:tblCellMar>
      </w:tblPr>
      <w:tblGrid>
        <w:gridCol w:w="1416"/>
        <w:gridCol w:w="146"/>
        <w:gridCol w:w="211"/>
        <w:gridCol w:w="676"/>
        <w:gridCol w:w="146"/>
        <w:gridCol w:w="146"/>
        <w:gridCol w:w="211"/>
        <w:gridCol w:w="676"/>
        <w:gridCol w:w="166"/>
        <w:gridCol w:w="146"/>
        <w:gridCol w:w="211"/>
        <w:gridCol w:w="676"/>
        <w:gridCol w:w="146"/>
        <w:gridCol w:w="146"/>
        <w:gridCol w:w="146"/>
        <w:gridCol w:w="421"/>
        <w:gridCol w:w="146"/>
        <w:gridCol w:w="271"/>
        <w:gridCol w:w="146"/>
        <w:gridCol w:w="211"/>
        <w:gridCol w:w="781"/>
        <w:gridCol w:w="146"/>
        <w:gridCol w:w="146"/>
        <w:gridCol w:w="211"/>
        <w:gridCol w:w="781"/>
        <w:gridCol w:w="146"/>
        <w:gridCol w:w="146"/>
        <w:gridCol w:w="211"/>
        <w:gridCol w:w="736"/>
        <w:gridCol w:w="166"/>
        <w:gridCol w:w="146"/>
        <w:gridCol w:w="146"/>
        <w:gridCol w:w="421"/>
        <w:gridCol w:w="166"/>
        <w:gridCol w:w="716"/>
      </w:tblGrid>
      <w:tr>
        <w:trPr/>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4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81" w:type="dxa"/>
            <w:gridSpan w:val="3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14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License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(12,941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Development and other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Product revenue,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6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Drug product revenue,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w:t>
            </w:r>
          </w:p>
        </w:tc>
        <w:tc>
          <w:tcPr>
            <w:tcW w:w="16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1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120,614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pBdr>
          <w:bottom w:val="single" w:sz="8" w:space="1" w:color="000000"/>
        </w:pBdr>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NM = Not meaningful</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Under our revenue recognition policy, license revenue includes amounts from upfront, non-refundable license payments and amounts allocated pursuant to the standalone selling price method from other consideration received during the respective periods. This revenue is generally recognized as deliverables are met and services are performed.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Development revenue includes co-development and other development related services. We recognize development services as revenue in the period in which they are billed to our partners, excluding China. As of September 30, 2023, we expect the future development services to continue through the end of 2023. For China co-development services, we defer revenue until we begin to transfer control of the manufactured commercial product to AstraZeneca, which commenced in the first quarter of 2021 and we expect to continue through 2028, which reflects our best estimates. Other revenues consist of contract manufacturing revenue, patent transfer and sales of research and development material, which have not been material for any of the periods presented.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recognize product revenue when our customer obtains control of promised goods or services in an amount that reflects the consideration we expect to receive in exchange for those goods or services.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Drug product revenue includes commercial-grade API or bulk drug product sales to AstraZeneca, under the AstraZeneca U.S./RoW Agreement, and Astellas in support of pre-commercial preparation prior to the New Drug Application or marketing authorization application approval, and to Astellas for ongoing commercial launch in Japan and Europe. We recognize drug product revenue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the future, we will continue generating revenue from collaboration agreements in the form of license fees, milestone payments, reimbursements for collaboration services and royalties on drug product sales, and from product sales. We expect that any revenues we generate will fluctuate from quarter to quarter due to the uncertain timing and amount of such payments and sales.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Total revenue increased $24.4 million, or 155% for the three months ended September 30, 2023, and increased $14.2 million, or 13% for the nine months ended September 30, 2023, respectively, compared to the same periods a year ago for the reasons discussed in the sections below.</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License Revenue</w:t>
      </w:r>
    </w:p>
    <w:tbl>
      <w:tblPr>
        <w:tblW w:w="10205" w:type="dxa"/>
        <w:jc w:val="left"/>
        <w:tblInd w:w="0" w:type="dxa"/>
        <w:tblLayout w:type="fixed"/>
        <w:tblCellMar>
          <w:top w:w="28" w:type="dxa"/>
          <w:left w:w="28" w:type="dxa"/>
          <w:bottom w:w="28" w:type="dxa"/>
          <w:right w:w="28" w:type="dxa"/>
        </w:tblCellMar>
      </w:tblPr>
      <w:tblGrid>
        <w:gridCol w:w="1408"/>
        <w:gridCol w:w="146"/>
        <w:gridCol w:w="223"/>
        <w:gridCol w:w="603"/>
        <w:gridCol w:w="154"/>
        <w:gridCol w:w="154"/>
        <w:gridCol w:w="223"/>
        <w:gridCol w:w="365"/>
        <w:gridCol w:w="146"/>
        <w:gridCol w:w="146"/>
        <w:gridCol w:w="211"/>
        <w:gridCol w:w="571"/>
        <w:gridCol w:w="146"/>
        <w:gridCol w:w="146"/>
        <w:gridCol w:w="421"/>
        <w:gridCol w:w="146"/>
        <w:gridCol w:w="146"/>
        <w:gridCol w:w="217"/>
        <w:gridCol w:w="587"/>
        <w:gridCol w:w="150"/>
        <w:gridCol w:w="150"/>
        <w:gridCol w:w="217"/>
        <w:gridCol w:w="695"/>
        <w:gridCol w:w="146"/>
        <w:gridCol w:w="146"/>
        <w:gridCol w:w="211"/>
        <w:gridCol w:w="736"/>
        <w:gridCol w:w="166"/>
        <w:gridCol w:w="146"/>
        <w:gridCol w:w="146"/>
        <w:gridCol w:w="376"/>
        <w:gridCol w:w="166"/>
        <w:gridCol w:w="595"/>
      </w:tblGrid>
      <w:tr>
        <w:trPr/>
        <w:tc>
          <w:tcPr>
            <w:tcW w:w="1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4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tcBorders/>
            <w:shd w:fill="FFFFFF" w:val="clear"/>
            <w:vAlign w:val="center"/>
          </w:tcPr>
          <w:p>
            <w:pPr>
              <w:pStyle w:val="TableContents"/>
              <w:bidi w:val="0"/>
              <w:spacing w:before="0" w:after="283"/>
              <w:jc w:val="center"/>
              <w:rPr/>
            </w:pPr>
            <w:r>
              <w:rPr/>
              <w:t> </w:t>
            </w:r>
          </w:p>
        </w:tc>
      </w:tr>
      <w:tr>
        <w:trPr/>
        <w:tc>
          <w:tcPr>
            <w:tcW w:w="14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tcBorders/>
            <w:shd w:fill="FFFFFF" w:val="clear"/>
            <w:vAlign w:val="center"/>
          </w:tcPr>
          <w:p>
            <w:pPr>
              <w:pStyle w:val="TableContents"/>
              <w:bidi w:val="0"/>
              <w:spacing w:before="0" w:after="283"/>
              <w:jc w:val="center"/>
              <w:rPr/>
            </w:pPr>
            <w:r>
              <w:rPr/>
              <w:t> </w:t>
            </w:r>
          </w:p>
        </w:tc>
      </w:tr>
      <w:tr>
        <w:trPr/>
        <w:tc>
          <w:tcPr>
            <w:tcW w:w="14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90" w:type="dxa"/>
            <w:gridSpan w:val="29"/>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595" w:type="dxa"/>
            <w:tcBorders/>
            <w:shd w:fill="FFFFFF" w:val="clear"/>
            <w:vAlign w:val="center"/>
          </w:tcPr>
          <w:p>
            <w:pPr>
              <w:pStyle w:val="TableContents"/>
              <w:bidi w:val="0"/>
              <w:spacing w:before="0" w:after="283"/>
              <w:jc w:val="center"/>
              <w:rPr/>
            </w:pPr>
            <w:r>
              <w:rPr/>
              <w:t> </w:t>
            </w:r>
          </w:p>
        </w:tc>
      </w:tr>
      <w:tr>
        <w:trPr/>
        <w:tc>
          <w:tcPr>
            <w:tcW w:w="140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License revenue:</w:t>
            </w:r>
          </w:p>
        </w:tc>
        <w:tc>
          <w:tcPr>
            <w:tcW w:w="146" w:type="dxa"/>
            <w:tcBorders/>
            <w:shd w:fill="CFF0FC" w:val="clear"/>
            <w:vAlign w:val="center"/>
          </w:tcPr>
          <w:p>
            <w:pPr>
              <w:pStyle w:val="TableContents"/>
              <w:bidi w:val="0"/>
              <w:spacing w:before="0" w:after="283"/>
              <w:jc w:val="center"/>
              <w:rPr/>
            </w:pPr>
            <w:r>
              <w:rPr/>
              <w:t> </w:t>
            </w:r>
          </w:p>
        </w:tc>
        <w:tc>
          <w:tcPr>
            <w:tcW w:w="826" w:type="dxa"/>
            <w:gridSpan w:val="2"/>
            <w:tcBorders/>
            <w:shd w:fill="CFF0FC" w:val="clear"/>
            <w:vAlign w:val="center"/>
          </w:tcPr>
          <w:p>
            <w:pPr>
              <w:pStyle w:val="TableContents"/>
              <w:bidi w:val="0"/>
              <w:spacing w:before="0" w:after="283"/>
              <w:jc w:val="center"/>
              <w:rPr/>
            </w:pPr>
            <w:r>
              <w:rPr/>
              <w:t> </w:t>
            </w:r>
          </w:p>
        </w:tc>
        <w:tc>
          <w:tcPr>
            <w:tcW w:w="154" w:type="dxa"/>
            <w:tcBorders/>
            <w:shd w:fill="CFF0FC" w:val="clear"/>
            <w:vAlign w:val="center"/>
          </w:tcPr>
          <w:p>
            <w:pPr>
              <w:pStyle w:val="TableContents"/>
              <w:bidi w:val="0"/>
              <w:spacing w:before="0" w:after="283"/>
              <w:jc w:val="center"/>
              <w:rPr/>
            </w:pPr>
            <w:r>
              <w:rPr/>
              <w:t> </w:t>
            </w:r>
          </w:p>
        </w:tc>
        <w:tc>
          <w:tcPr>
            <w:tcW w:w="154"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gridSpan w:val="2"/>
            <w:tcBorders/>
            <w:shd w:fill="CFF0FC" w:val="clear"/>
            <w:vAlign w:val="center"/>
          </w:tcPr>
          <w:p>
            <w:pPr>
              <w:pStyle w:val="TableContents"/>
              <w:bidi w:val="0"/>
              <w:spacing w:before="0" w:after="283"/>
              <w:jc w:val="center"/>
              <w:rPr/>
            </w:pPr>
            <w:r>
              <w:rPr/>
              <w:t> </w:t>
            </w:r>
          </w:p>
        </w:tc>
        <w:tc>
          <w:tcPr>
            <w:tcW w:w="150" w:type="dxa"/>
            <w:tcBorders/>
            <w:shd w:fill="CFF0FC" w:val="clear"/>
            <w:vAlign w:val="center"/>
          </w:tcPr>
          <w:p>
            <w:pPr>
              <w:pStyle w:val="TableContents"/>
              <w:bidi w:val="0"/>
              <w:spacing w:before="0" w:after="283"/>
              <w:jc w:val="center"/>
              <w:rPr/>
            </w:pPr>
            <w:r>
              <w:rPr/>
              <w:t> </w:t>
            </w:r>
          </w:p>
        </w:tc>
        <w:tc>
          <w:tcPr>
            <w:tcW w:w="150"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140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Astellas</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3"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7" w:type="dxa"/>
            <w:tcBorders/>
            <w:shd w:fill="FFFFFF" w:val="clear"/>
            <w:vAlign w:val="center"/>
          </w:tcPr>
          <w:p>
            <w:pPr>
              <w:pStyle w:val="TableContents"/>
              <w:bidi w:val="0"/>
              <w:spacing w:before="0" w:after="283"/>
              <w:jc w:val="right"/>
              <w:rPr>
                <w:color w:val="000000"/>
              </w:rPr>
            </w:pPr>
            <w:r>
              <w:rPr>
                <w:color w:val="000000"/>
              </w:rPr>
              <w:t>—</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(22,590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166" w:type="dxa"/>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140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AstraZeneca</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2,649</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2,649</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166" w:type="dxa"/>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0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Eluminex</w:t>
            </w:r>
          </w:p>
        </w:tc>
        <w:tc>
          <w:tcPr>
            <w:tcW w:w="146" w:type="dxa"/>
            <w:tcBorders/>
            <w:shd w:fill="FFFFFF" w:val="cle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7,000</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166" w:type="dxa"/>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ind w:left="0" w:right="0" w:firstLine="400"/>
              <w:jc w:val="left"/>
              <w:rPr/>
            </w:pPr>
            <w:r>
              <w:rPr/>
              <w:t> </w:t>
            </w:r>
          </w:p>
        </w:tc>
      </w:tr>
      <w:tr>
        <w:trPr/>
        <w:tc>
          <w:tcPr>
            <w:tcW w:w="140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license revenue</w:t>
            </w:r>
          </w:p>
        </w:tc>
        <w:tc>
          <w:tcPr>
            <w:tcW w:w="146" w:type="dxa"/>
            <w:tcBorders/>
            <w:shd w:fill="CFF0FC" w:val="clear"/>
            <w:vAlign w:val="center"/>
          </w:tcPr>
          <w:p>
            <w:pPr>
              <w:pStyle w:val="TableContents"/>
              <w:bidi w:val="0"/>
              <w:spacing w:before="0" w:after="283"/>
              <w:jc w:val="center"/>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2,649</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9,649</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pBdr>
          <w:bottom w:val="single" w:sz="8" w:space="1" w:color="000000"/>
        </w:pBdr>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NM = Not meaningful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License revenue recognized under our collaboration agreements with AstraZeneca for three and nine months ended September 30, 2023 represented the allocated revenue related to $4.0 million regulatory milestone associated with the renewal of our right to continue to market roxadustat in China that was included in the transaction price during the third quarter of 2023 when such milestone was achieved. License revenue recognized for the nine months ended September 30, 2023 also included a $1.0 million upfront payment under the A&amp;R Eluminex Agreement, a $3.0 million milestone payment based on Eluminex implanting a biosynthetic cornea in the first patient of its clinical trial in China, and a $3.0 million manufacturing related milestone payment when such milestones were achieved.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License revenue recognized under our collaboration agreements with Astellas for the nine months ended September 30, 2022 represented the allocated revenue related to a $25.0 million regulatory milestone payment associated with the approval of EVRENZO</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(roxadustat) in Russia that was included in the transaction price during the first quarter of 2022 when such milestone was achieved.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Development and Other Revenue</w:t>
      </w:r>
    </w:p>
    <w:p>
      <w:pPr>
        <w:pStyle w:val="TextBody"/>
        <w:bidi w:val="0"/>
        <w:jc w:val="left"/>
        <w:rPr/>
      </w:pPr>
      <w:r>
        <w:rPr/>
        <w:t> </w:t>
      </w:r>
    </w:p>
    <w:tbl>
      <w:tblPr>
        <w:tblW w:w="11000" w:type="dxa"/>
        <w:jc w:val="left"/>
        <w:tblInd w:w="0" w:type="dxa"/>
        <w:tblLayout w:type="fixed"/>
        <w:tblCellMar>
          <w:top w:w="28" w:type="dxa"/>
          <w:left w:w="28" w:type="dxa"/>
          <w:bottom w:w="28" w:type="dxa"/>
          <w:right w:w="28" w:type="dxa"/>
        </w:tblCellMar>
      </w:tblPr>
      <w:tblGrid>
        <w:gridCol w:w="1586"/>
        <w:gridCol w:w="146"/>
        <w:gridCol w:w="211"/>
        <w:gridCol w:w="571"/>
        <w:gridCol w:w="146"/>
        <w:gridCol w:w="146"/>
        <w:gridCol w:w="211"/>
        <w:gridCol w:w="571"/>
        <w:gridCol w:w="146"/>
        <w:gridCol w:w="146"/>
        <w:gridCol w:w="211"/>
        <w:gridCol w:w="571"/>
        <w:gridCol w:w="146"/>
        <w:gridCol w:w="146"/>
        <w:gridCol w:w="146"/>
        <w:gridCol w:w="421"/>
        <w:gridCol w:w="146"/>
        <w:gridCol w:w="271"/>
        <w:gridCol w:w="146"/>
        <w:gridCol w:w="211"/>
        <w:gridCol w:w="676"/>
        <w:gridCol w:w="146"/>
        <w:gridCol w:w="146"/>
        <w:gridCol w:w="211"/>
        <w:gridCol w:w="676"/>
        <w:gridCol w:w="146"/>
        <w:gridCol w:w="146"/>
        <w:gridCol w:w="211"/>
        <w:gridCol w:w="631"/>
        <w:gridCol w:w="166"/>
        <w:gridCol w:w="146"/>
        <w:gridCol w:w="146"/>
        <w:gridCol w:w="376"/>
        <w:gridCol w:w="166"/>
        <w:gridCol w:w="716"/>
      </w:tblGrid>
      <w:tr>
        <w:trPr/>
        <w:tc>
          <w:tcPr>
            <w:tcW w:w="1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86" w:type="dxa"/>
            <w:gridSpan w:val="3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5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Development revenue:</w:t>
            </w:r>
          </w:p>
        </w:tc>
        <w:tc>
          <w:tcPr>
            <w:tcW w:w="146" w:type="dxa"/>
            <w:tcBorders/>
            <w:shd w:fill="CFF0FC" w:val="clear"/>
            <w:vAlign w:val="center"/>
          </w:tcPr>
          <w:p>
            <w:pPr>
              <w:pStyle w:val="TableContents"/>
              <w:bidi w:val="0"/>
              <w:spacing w:before="0" w:after="283"/>
              <w:jc w:val="center"/>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left"/>
              <w:rPr/>
            </w:pPr>
            <w:r>
              <w:rPr/>
              <w:t> </w:t>
            </w:r>
          </w:p>
        </w:tc>
      </w:tr>
      <w:tr>
        <w:trPr/>
        <w:tc>
          <w:tcPr>
            <w:tcW w:w="15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Astellas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5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AstraZeneca</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158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development revenue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5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revenue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6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158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development and other revenue</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Development and other revenue increased $4.3 million, or 176% for the three months ended September 30, 2023, and decreased $3.8 million, or 20% for the nine months ended September 30, 2023, respectively, compared to the same periods a year ago.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Development revenue recognized under our collaboration agreements with Astellas for the three and nine months ended September 30, 2023 was impacted by the increase in co-development billings due to the closeout activities under our collaboration agreements with Astellas for roxadustat.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Development revenue recognized under our collaboration agreements with Astellas for the nine months ended September 30, 2022 included the allocated revenue of $2.4 million related to the above-mentioned $25.0 million regulatory milestone payment associated with the approval in Russia during the first quarter of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Development revenue recognized under our collaboration agreements with AstraZeneca for the three months ended September 30, 2023 was impacted by the increase in co-development billings due to the closeout activities under our collaboration agreements with AstraZeneca for roxadustat, and included the allocated revenue of $0.8 million related to the above-mentioned $4.0 million regulatory milestone associated with the renewal of our right to continue to market Roxadustat in China.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Development revenue recognized under our collaboration agreements with AstraZeneca for the nine months ended September 30, 2023 was impacted by the decrease in CKD-related co-development billings in the U.S.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Other revenue recognized for the three months ended September 30, 2023 included a $0.5 million upfront payment related to patent transfer under from Eluminex. Other revenue recognized for the three and nine months ended September 30, 2023 and 2022 also included our contract manufacturing agreement with Eluminex, under which we are responsible for supplying the cornea product at 110% of our product manufacturing costs until our manufacturing technology is fully transferred to Eluminex, as well as revenue from sales of certain research and development material.</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Product Revenue, Net</w:t>
      </w:r>
    </w:p>
    <w:p>
      <w:pPr>
        <w:pStyle w:val="TextBody"/>
        <w:bidi w:val="0"/>
        <w:jc w:val="left"/>
        <w:rPr/>
      </w:pPr>
      <w:r>
        <w:rPr/>
        <w:t> </w:t>
      </w:r>
    </w:p>
    <w:tbl>
      <w:tblPr>
        <w:tblW w:w="11625" w:type="dxa"/>
        <w:jc w:val="left"/>
        <w:tblInd w:w="0" w:type="dxa"/>
        <w:tblLayout w:type="fixed"/>
        <w:tblCellMar>
          <w:top w:w="28" w:type="dxa"/>
          <w:left w:w="28" w:type="dxa"/>
          <w:bottom w:w="28" w:type="dxa"/>
          <w:right w:w="28" w:type="dxa"/>
        </w:tblCellMar>
      </w:tblPr>
      <w:tblGrid>
        <w:gridCol w:w="1221"/>
        <w:gridCol w:w="146"/>
        <w:gridCol w:w="211"/>
        <w:gridCol w:w="736"/>
        <w:gridCol w:w="166"/>
        <w:gridCol w:w="146"/>
        <w:gridCol w:w="211"/>
        <w:gridCol w:w="736"/>
        <w:gridCol w:w="166"/>
        <w:gridCol w:w="146"/>
        <w:gridCol w:w="211"/>
        <w:gridCol w:w="676"/>
        <w:gridCol w:w="166"/>
        <w:gridCol w:w="146"/>
        <w:gridCol w:w="146"/>
        <w:gridCol w:w="481"/>
        <w:gridCol w:w="166"/>
        <w:gridCol w:w="271"/>
        <w:gridCol w:w="146"/>
        <w:gridCol w:w="211"/>
        <w:gridCol w:w="781"/>
        <w:gridCol w:w="166"/>
        <w:gridCol w:w="146"/>
        <w:gridCol w:w="211"/>
        <w:gridCol w:w="736"/>
        <w:gridCol w:w="166"/>
        <w:gridCol w:w="146"/>
        <w:gridCol w:w="211"/>
        <w:gridCol w:w="736"/>
        <w:gridCol w:w="166"/>
        <w:gridCol w:w="146"/>
        <w:gridCol w:w="146"/>
        <w:gridCol w:w="481"/>
        <w:gridCol w:w="166"/>
        <w:gridCol w:w="716"/>
      </w:tblGrid>
      <w:tr>
        <w:trPr/>
        <w:tc>
          <w:tcPr>
            <w:tcW w:w="1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76" w:type="dxa"/>
            <w:gridSpan w:val="3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2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Sales:</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jc w:val="left"/>
              <w:rPr/>
            </w:pPr>
            <w:r>
              <w:rPr/>
              <w:t> </w:t>
            </w:r>
          </w:p>
        </w:tc>
      </w:tr>
      <w:tr>
        <w:trPr/>
        <w:tc>
          <w:tcPr>
            <w:tcW w:w="1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revenue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2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Discounts and rebates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16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Sales returns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6" w:type="dxa"/>
            <w:tcBorders/>
            <w:shd w:fill="FFFFFF" w:val="cle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21"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Direct sales revenue, net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21"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12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Sales to Falikang:</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jc w:val="left"/>
              <w:rPr/>
            </w:pPr>
            <w:r>
              <w:rPr/>
              <w:t> </w:t>
            </w:r>
          </w:p>
        </w:tc>
      </w:tr>
      <w:tr>
        <w:trPr/>
        <w:tc>
          <w:tcPr>
            <w:tcW w:w="1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transaction price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118,696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6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2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Profit share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16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transaction price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6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Decrease (increase) in deferred revenue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6" w:type="dxa"/>
            <w:tcBorders/>
            <w:shd w:fill="CFF0FC" w:val="cle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21"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Sales to Falikang revenue, net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2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product revenue, net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6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Substantially all direct product sales to distributors in China have been made by Falikang, while FibroGen Beijing continues to sell product directly in one province in China. Total product revenue, net increased $12.0 million, or 69% for the three months ended September 30, 2023, and increased $17.9 million, or 30%, respectively, compared to the same periods a year ago.</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recognize product revenue from direct sales to distributors in an amount that reflects the consideration that we expect to be entitled to in exchange for those products, net of various sales rebates and discounts. The discounts and rebates primarily consisted of the contractual sales rebate that were calculated based on the stated percentage of gross sales by each distributor in the distribution agreement, and non-key account hospital listing award that was calculated based on eligible non-key account hospital listing to date achieved by each distributor with certain requirements met during the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Product revenue from direct sales, increased $0.5 million, or 20% for the three months ended September 30, 2023, and increased $0.5 million, or 5% for the nine months ended September 30, 2023, respectively, compared to the same periods a year ago, due to the increase in sales volume during the current year period. The total discounts and rebates were immaterial for each of the three and nine months ended September 30, 2023 and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FibroGen Beijing manufactures and supplies commercial product to Falikang based on an agreed upon transfer price, which includes gross transfer price, net of calculated profit share. We recognize revenue upon the transfer of control of commercial products to Falikang in an amount that reflects the allocation of the China performance obligation transaction price to the performance obligation satisfied during the reporting period. The variable consideration components that are included in the transaction price may be constrained, and are included in the product revenue only to the extent that it is probable that a significant reversal in the amount of the cumulative revenue recognized will not occur in a future period when the uncertainty associated with the variable consideration is subsequently resolved.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Sales to Falikang revenue, net increased $11.5 million, or 77% for the three months ended September 30, 2023, and increased $17.5 million, or 34% for the nine months ended September 30, 2023, respectively, compared to the same periods a year ago. The gross transfer price increased $9.8 million and $35.2 million, and the calculated profit share increased $5.2 million and $19.5 million for the three and nine months ended September 30, 2023, respectively, compared to the same periods a year ago, primarily due to the increase in sales volume during the current year period.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Periodically, we update our assumptions such as total sales quantity, performance period and other inputs including foreign currency translation impact, among others. Following updates to our estimates, for the three and nine months ended September 30, 2023, we recognized $2.3 million and $1.1 million, respectively, from the net transfer price to Falikang, which was included in the related deferred revenue of the China performance obligation. Comparatively, for the three and nine months ended September 30, 2022, we deferred</w:t>
      </w:r>
      <w:r>
        <w:rPr>
          <w:rFonts w:ascii="Times New Roman" w:hAnsi="Times New Roman"/>
          <w:color w:val="FF0000"/>
          <w:sz w:val="20"/>
        </w:rPr>
        <w:t xml:space="preserve"> </w:t>
      </w:r>
      <w:r>
        <w:rPr>
          <w:rFonts w:ascii="Times New Roman" w:hAnsi="Times New Roman"/>
          <w:b w:val="false"/>
          <w:color w:val="000000"/>
          <w:sz w:val="20"/>
        </w:rPr>
        <w:t>$4.6 million and $0.8 million, respectively, from the net transfer price to Falikang, which was included in the related deferred revenue of the China performance obligation.</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Drug Product Revenue, Net</w:t>
      </w:r>
    </w:p>
    <w:tbl>
      <w:tblPr>
        <w:tblW w:w="10650" w:type="dxa"/>
        <w:jc w:val="left"/>
        <w:tblInd w:w="0" w:type="dxa"/>
        <w:tblLayout w:type="fixed"/>
        <w:tblCellMar>
          <w:top w:w="28" w:type="dxa"/>
          <w:left w:w="28" w:type="dxa"/>
          <w:bottom w:w="28" w:type="dxa"/>
          <w:right w:w="28" w:type="dxa"/>
        </w:tblCellMar>
      </w:tblPr>
      <w:tblGrid>
        <w:gridCol w:w="1211"/>
        <w:gridCol w:w="146"/>
        <w:gridCol w:w="211"/>
        <w:gridCol w:w="571"/>
        <w:gridCol w:w="146"/>
        <w:gridCol w:w="146"/>
        <w:gridCol w:w="211"/>
        <w:gridCol w:w="631"/>
        <w:gridCol w:w="166"/>
        <w:gridCol w:w="146"/>
        <w:gridCol w:w="211"/>
        <w:gridCol w:w="571"/>
        <w:gridCol w:w="146"/>
        <w:gridCol w:w="146"/>
        <w:gridCol w:w="146"/>
        <w:gridCol w:w="421"/>
        <w:gridCol w:w="146"/>
        <w:gridCol w:w="271"/>
        <w:gridCol w:w="146"/>
        <w:gridCol w:w="211"/>
        <w:gridCol w:w="676"/>
        <w:gridCol w:w="146"/>
        <w:gridCol w:w="146"/>
        <w:gridCol w:w="211"/>
        <w:gridCol w:w="571"/>
        <w:gridCol w:w="146"/>
        <w:gridCol w:w="146"/>
        <w:gridCol w:w="211"/>
        <w:gridCol w:w="676"/>
        <w:gridCol w:w="146"/>
        <w:gridCol w:w="146"/>
        <w:gridCol w:w="146"/>
        <w:gridCol w:w="421"/>
        <w:gridCol w:w="146"/>
        <w:gridCol w:w="716"/>
      </w:tblGrid>
      <w:tr>
        <w:trPr/>
        <w:tc>
          <w:tcPr>
            <w:tcW w:w="1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31" w:type="dxa"/>
            <w:gridSpan w:val="3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Drug product revenue, net:</w:t>
            </w:r>
          </w:p>
        </w:tc>
        <w:tc>
          <w:tcPr>
            <w:tcW w:w="146" w:type="dxa"/>
            <w:tcBorders/>
            <w:shd w:fill="CFF0FC" w:val="clear"/>
            <w:vAlign w:val="center"/>
          </w:tcPr>
          <w:p>
            <w:pPr>
              <w:pStyle w:val="TableContents"/>
              <w:bidi w:val="0"/>
              <w:spacing w:before="0" w:after="283"/>
              <w:jc w:val="center"/>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left"/>
              <w:rPr/>
            </w:pPr>
            <w:r>
              <w:rPr/>
              <w:t> </w:t>
            </w:r>
          </w:p>
        </w:tc>
      </w:tr>
      <w:tr>
        <w:trPr/>
        <w:tc>
          <w:tcPr>
            <w:tcW w:w="12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Astellas Japan Agreement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w:t>
            </w:r>
          </w:p>
        </w:tc>
        <w:tc>
          <w:tcPr>
            <w:tcW w:w="14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Astellas Europe Agreement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121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drug product revenue, net:</w:t>
            </w:r>
          </w:p>
        </w:tc>
        <w:tc>
          <w:tcPr>
            <w:tcW w:w="146" w:type="dxa"/>
            <w:tcBorders/>
            <w:shd w:fill="FFFFFF" w:val="cle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17,701</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13,091</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w:t>
            </w:r>
          </w:p>
        </w:tc>
        <w:tc>
          <w:tcPr>
            <w:tcW w:w="14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Drug product revenue, net increased $5.4 million, or 132% for the three months ended September 30, 2023, and increased $13.1 million, or 284% for the nine months ended September 30, 2023, respectively, compared to the same periods a year ago.</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Astellas Japan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third quarter of 2023, we updated our estimate of variable consideration related to the API shipments fulfilled under the terms of Astellas Japan Amendment, and accordingly recorded an adjustment to the drug product revenue of $0.7 million for the three months ended September 30, 2023. Specifically, the change in estimated variable consideration was based on the API held by Astellas at period end, adjusted to reflect the changes in the estimated bulk product strength mix intended to be manufactured by Astellas, and foreign exchange impacts, among others.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second quarter of 2023, we fulfilled two shipment obligations under the terms of Astellas Japan Amendment, and recognized related drug product revenue of $14.4 million in the same period. In addition, we updated our estimate of variable consideration related to the API shipments fulfilled under the terms of Astellas Japan Amendment, and accordingly recorded a reduction to the drug product revenue of $0.6 million. Specifically, the change in estimated variable consideration was based on the API held by Astellas at period end, adjusted to reflect the changes in the estimated bulk product strength mix intended to be manufactured by Astellas, and foreign exchange impacts, among others.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first quarter of 2023, we updated our estimate of variable consideration related to the API shipments fulfilled under the terms of Astellas Japan Amendment, and accordingly recorded adjustments to the drug product revenue of $1.7 million. Specifically, the change in estimated variable consideration was based on the API held by Astellas at period end, adjusted to reflect the changes in the estimated bulk product strength mix intended to be manufactured by Astellas, and estimated yield from the manufacture of bulk product tablets, among others.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third quarter of 2022, we updated our estimate of variable consideration related to the API shipments fulfilled under the terms of Astellas Japan Amendment, and accordingly recorded a reduction to the drug product revenue of $4.3 million. Specifically, the change in estimated variable consideration was based on the API held by Astellas at period end, adjusted to reflect the changes in the estimated bulk product strength mix intended to be manufactured by Astellas and foreign currency translation impact, among others.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first quarter of 2022, we fulfilled a shipment obligation under the terms of Astellas Japan Amendment and recognized related drug product revenue of $9.8 million in the same period. In addition, during the first quarter of 2022, we updated our estimate of variable consideration related to the API shipments fulfilled under the terms of Astellas Japan Amendment, and recorded a reduction to the drug product revenue of $2.2 million. Specifically, the change in estimated variable consideration was based on the API held by Astellas at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jc w:val="left"/>
        <w:rPr>
          <w:rFonts w:ascii="Times New Roman" w:hAnsi="Times New Roman"/>
          <w:b w:val="false"/>
          <w:color w:val="000000"/>
          <w:sz w:val="20"/>
        </w:rPr>
      </w:pPr>
      <w:r>
        <w:rPr>
          <w:rFonts w:ascii="Times New Roman" w:hAnsi="Times New Roman"/>
          <w:b w:val="false"/>
          <w:color w:val="000000"/>
          <w:sz w:val="20"/>
        </w:rPr>
        <w:t>As of September 30, 2023, the balances related to the API price true-up under the Astellas Japan Agreement were $0.6 million in accrued liabilities and $0.7 million in other long-term liabilities, representing the Company’s best estimate of the timing for these amounts to be paid. As of December 31, 2022, the related balance in accrued liabilities was $6.5 million.</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Astellas Europe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first quarter of 2022, we updated our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we reclassified the related deferred revenue to accrued liabilities during the year ended December 31, 2022. As of December 31, 2022, the related balance was $57.4 million in accrued liabilities. Further during the first three quarters of 2023, we reclassified $28.7 million from the related deferred revenue to accrued liabilities. As of September 30, 2023, the balances related to the bulk drug product price true-up under the Astellas Europe Agreement and the Astellas EU Supply Agreement were $28.6 million in accrued liabilities, representing our best estimate that these amounts will be paid within the next 12 months.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recognized royalty revenue as drug product revenue, from the deferred revenue under the Astellas Europe Agreement, of $0.6 million and $1.5 million for the three and nine months ended September 30, 2023, and $0.2 million and $1.3 million for the three and nine months ended September 30, 2022, respectively. It is our best estimate that the remainder of the deferred revenue will be recognized as revenue and when uncertainty is resolved, based on the performance of roxadustat product sales in the Astellas territory.</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AstraZeneca U.S./RoW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was no shipment of bulk drug product to AstraZeneca as commercial supply under the terms of the AstraZeneca Master Supply Agreement during the three and nine months ended September 30, 2023 and 2022.</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first quarter of 2022, we evaluated the current developments in the U.S. market, and updated our estimates of variable consideration associated with bulk drug product shipments to AstraZeneca in prior years as commercial supply under the terms of the AstraZeneca Master Supply Agreement. As a result, we reclassified $11.2 million from the related deferred revenue to accrued liabilities during the year ended December 31, 2022, which remained unchanged as of September 30, 2023 and December 31, 2022, representing our best estimate that this amount will be paid within the next 12 months.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Costs and Expenses</w:t>
      </w:r>
    </w:p>
    <w:tbl>
      <w:tblPr>
        <w:tblW w:w="11615" w:type="dxa"/>
        <w:jc w:val="left"/>
        <w:tblInd w:w="0" w:type="dxa"/>
        <w:tblLayout w:type="fixed"/>
        <w:tblCellMar>
          <w:top w:w="28" w:type="dxa"/>
          <w:left w:w="28" w:type="dxa"/>
          <w:bottom w:w="28" w:type="dxa"/>
          <w:right w:w="28" w:type="dxa"/>
        </w:tblCellMar>
      </w:tblPr>
      <w:tblGrid>
        <w:gridCol w:w="1491"/>
        <w:gridCol w:w="146"/>
        <w:gridCol w:w="211"/>
        <w:gridCol w:w="781"/>
        <w:gridCol w:w="146"/>
        <w:gridCol w:w="146"/>
        <w:gridCol w:w="211"/>
        <w:gridCol w:w="781"/>
        <w:gridCol w:w="146"/>
        <w:gridCol w:w="146"/>
        <w:gridCol w:w="211"/>
        <w:gridCol w:w="736"/>
        <w:gridCol w:w="166"/>
        <w:gridCol w:w="146"/>
        <w:gridCol w:w="146"/>
        <w:gridCol w:w="376"/>
        <w:gridCol w:w="166"/>
        <w:gridCol w:w="271"/>
        <w:gridCol w:w="146"/>
        <w:gridCol w:w="211"/>
        <w:gridCol w:w="781"/>
        <w:gridCol w:w="146"/>
        <w:gridCol w:w="146"/>
        <w:gridCol w:w="211"/>
        <w:gridCol w:w="781"/>
        <w:gridCol w:w="146"/>
        <w:gridCol w:w="146"/>
        <w:gridCol w:w="211"/>
        <w:gridCol w:w="676"/>
        <w:gridCol w:w="166"/>
        <w:gridCol w:w="146"/>
        <w:gridCol w:w="146"/>
        <w:gridCol w:w="376"/>
        <w:gridCol w:w="166"/>
        <w:gridCol w:w="591"/>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1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1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21" w:type="dxa"/>
            <w:gridSpan w:val="3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1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costs and expenses</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goods sold</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61,194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75,182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231,158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235,163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Selling, general and administrative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90,722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4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Restructuring charge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16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166" w:type="dxa"/>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14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costs and expenses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103,616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pBdr>
          <w:bottom w:val="single" w:sz="8" w:space="1" w:color="000000"/>
        </w:pBdr>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NM = Not meaningful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Total operating costs and expenses decreased $5.8 million, or 5% for the three months ended September 30, 2023, and increased $7.0 million, or 2% for the nine months ended September 30, 2023, respectively, compared to the same periods a year ago for the reasons discussed in the sections below.</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Cost of Goods Sold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Cost of goods sold decreased $0.1 million, or 2% for the three months ended September 30, 2023, and decreased $1.9 million, or 12% for the nine months ended September 30, 2023, respectively, compared to the same periods a year ago.</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Cost of goods sold, associated with the roxadustat commercial sales in China, consists of direct costs to manufacture commercial product, as well as indirect costs including factory overhead, storage, shipping, quality assurance, idle capacity charges, and inventory valuation adjustments. Cost of goods sold associated with the roxadustat commercial sales in China was $3.9 million and $4.0 million for the three months ended September 30, 2023 and 2022, and $10.7 million and 11.5 million for the nine months ended September 30, 2023 and 2022, respectively. Cost of goods sold in China decreased as compared to the prior year periods resulting from the improved unit cost efficiency due to higher production volume, offset by the increases in the sales volume.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Cost of goods sold in the U.S. was immaterial for the three months ended September 30, 2023 and 2022, and $2.1 million and $2.7 million for the nine months ended September 30, 2023 and 2022, respectively. associated with the costs of the roxadustat API or bulk drug product delivered to Astellas in the respective periods. We expect costs of goods sold to increase in relation to drug product revenue as we deplete inventories that we had expensed prior to receiving regulatory approvals.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Cost of goods sold also included manufacturing costs related to our contract manufacturing revenue from Eluminex, which was immaterial for the periods presented.</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Research and Development Expenses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Research and development expenses consist of third-party research and development costs and the fully-burdened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We expense research and development costs as incurred. We recognize costs for certain development activities based on an evaluation of the progress to completion of specific tasks using information and data provided to us by our vendors and our clinical sites. Research and development expenses also include IPR&amp;D assets that have no alternative future use other than in a particular research and development project.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summarizes our research and development expenses incurred during the three and nine months ended September 30, 2023 and 2022:</w:t>
      </w:r>
    </w:p>
    <w:tbl>
      <w:tblPr>
        <w:tblW w:w="9639" w:type="dxa"/>
        <w:jc w:val="left"/>
        <w:tblInd w:w="0" w:type="dxa"/>
        <w:tblLayout w:type="fixed"/>
        <w:tblCellMar>
          <w:top w:w="28" w:type="dxa"/>
          <w:left w:w="28" w:type="dxa"/>
          <w:bottom w:w="28" w:type="dxa"/>
          <w:right w:w="28" w:type="dxa"/>
        </w:tblCellMar>
      </w:tblPr>
      <w:tblGrid>
        <w:gridCol w:w="1684"/>
        <w:gridCol w:w="163"/>
        <w:gridCol w:w="1887"/>
        <w:gridCol w:w="146"/>
        <w:gridCol w:w="274"/>
        <w:gridCol w:w="878"/>
        <w:gridCol w:w="189"/>
        <w:gridCol w:w="189"/>
        <w:gridCol w:w="274"/>
        <w:gridCol w:w="878"/>
        <w:gridCol w:w="146"/>
        <w:gridCol w:w="146"/>
        <w:gridCol w:w="228"/>
        <w:gridCol w:w="844"/>
        <w:gridCol w:w="157"/>
        <w:gridCol w:w="293"/>
        <w:gridCol w:w="228"/>
        <w:gridCol w:w="844"/>
        <w:gridCol w:w="191"/>
      </w:tblGrid>
      <w:tr>
        <w:trPr/>
        <w:tc>
          <w:tcPr>
            <w:tcW w:w="16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4" w:type="dxa"/>
            <w:tcBorders/>
            <w:shd w:fill="FFFFFF" w:val="cle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center"/>
              <w:rPr/>
            </w:pPr>
            <w:r>
              <w:rPr/>
              <w:t> </w:t>
            </w:r>
          </w:p>
        </w:tc>
        <w:tc>
          <w:tcPr>
            <w:tcW w:w="188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Phase of</w:t>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Product Candidate</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Development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 w:type="dxa"/>
            <w:tcBorders/>
            <w:shd w:fill="FFFFFF" w:val="cle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4" w:type="dxa"/>
            <w:tcBorders/>
            <w:shd w:fill="FFFFFF" w:val="cle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center"/>
              <w:rPr/>
            </w:pPr>
            <w:r>
              <w:rPr/>
              <w:t> </w:t>
            </w:r>
          </w:p>
        </w:tc>
        <w:tc>
          <w:tcPr>
            <w:tcW w:w="18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68"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6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Pamrevlumab</w:t>
            </w:r>
          </w:p>
        </w:tc>
        <w:tc>
          <w:tcPr>
            <w:tcW w:w="163" w:type="dxa"/>
            <w:tcBorders/>
            <w:shd w:fill="CFF0FC" w:val="clear"/>
            <w:vAlign w:val="center"/>
          </w:tcPr>
          <w:p>
            <w:pPr>
              <w:pStyle w:val="TableContents"/>
              <w:bidi w:val="0"/>
              <w:spacing w:before="0" w:after="283"/>
              <w:jc w:val="left"/>
              <w:rPr/>
            </w:pPr>
            <w:r>
              <w:rPr/>
              <w:t> </w:t>
            </w:r>
          </w:p>
        </w:tc>
        <w:tc>
          <w:tcPr>
            <w:tcW w:w="18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Phase 2/3</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27,466</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115,237</w:t>
            </w:r>
          </w:p>
        </w:tc>
        <w:tc>
          <w:tcPr>
            <w:tcW w:w="157"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149,590</w:t>
            </w:r>
          </w:p>
        </w:tc>
        <w:tc>
          <w:tcPr>
            <w:tcW w:w="191" w:type="dxa"/>
            <w:tcBorders/>
            <w:shd w:fill="CFF0FC" w:val="clear"/>
            <w:vAlign w:val="center"/>
          </w:tcPr>
          <w:p>
            <w:pPr>
              <w:pStyle w:val="TableContents"/>
              <w:bidi w:val="0"/>
              <w:spacing w:before="0" w:after="283"/>
              <w:jc w:val="left"/>
              <w:rPr/>
            </w:pPr>
            <w:r>
              <w:rPr/>
              <w:t> </w:t>
            </w:r>
          </w:p>
        </w:tc>
      </w:tr>
      <w:tr>
        <w:trPr/>
        <w:tc>
          <w:tcPr>
            <w:tcW w:w="168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Roxadustat</w:t>
            </w:r>
          </w:p>
        </w:tc>
        <w:tc>
          <w:tcPr>
            <w:tcW w:w="163" w:type="dxa"/>
            <w:tcBorders/>
            <w:shd w:fill="FFFFFF" w:val="clear"/>
            <w:vAlign w:val="center"/>
          </w:tcPr>
          <w:p>
            <w:pPr>
              <w:pStyle w:val="TableContents"/>
              <w:bidi w:val="0"/>
              <w:spacing w:before="0" w:after="283"/>
              <w:jc w:val="left"/>
              <w:rPr/>
            </w:pPr>
            <w:r>
              <w:rPr/>
              <w:t> </w:t>
            </w:r>
          </w:p>
        </w:tc>
        <w:tc>
          <w:tcPr>
            <w:tcW w:w="188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Approved / Phase 3</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9,120</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26,570</w:t>
            </w:r>
          </w:p>
        </w:tc>
        <w:tc>
          <w:tcPr>
            <w:tcW w:w="157"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31,873</w:t>
            </w:r>
          </w:p>
        </w:tc>
        <w:tc>
          <w:tcPr>
            <w:tcW w:w="191" w:type="dxa"/>
            <w:tcBorders/>
            <w:shd w:fill="FFFFFF" w:val="clear"/>
            <w:vAlign w:val="center"/>
          </w:tcPr>
          <w:p>
            <w:pPr>
              <w:pStyle w:val="TableContents"/>
              <w:bidi w:val="0"/>
              <w:spacing w:before="0" w:after="283"/>
              <w:jc w:val="left"/>
              <w:rPr/>
            </w:pPr>
            <w:r>
              <w:rPr/>
              <w:t> </w:t>
            </w:r>
          </w:p>
        </w:tc>
      </w:tr>
      <w:tr>
        <w:trPr/>
        <w:tc>
          <w:tcPr>
            <w:tcW w:w="16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FG-3246</w:t>
            </w:r>
          </w:p>
        </w:tc>
        <w:tc>
          <w:tcPr>
            <w:tcW w:w="163" w:type="dxa"/>
            <w:tcBorders/>
            <w:shd w:fill="CFF0FC" w:val="clear"/>
            <w:vAlign w:val="center"/>
          </w:tcPr>
          <w:p>
            <w:pPr>
              <w:pStyle w:val="TableContents"/>
              <w:bidi w:val="0"/>
              <w:spacing w:before="0" w:after="283"/>
              <w:jc w:val="left"/>
              <w:rPr/>
            </w:pPr>
            <w:r>
              <w:rPr/>
              <w:t> </w:t>
            </w:r>
          </w:p>
        </w:tc>
        <w:tc>
          <w:tcPr>
            <w:tcW w:w="18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Preclinical</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1,759</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27,654</w:t>
            </w:r>
          </w:p>
        </w:tc>
        <w:tc>
          <w:tcPr>
            <w:tcW w:w="157"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w:t>
            </w:r>
          </w:p>
        </w:tc>
        <w:tc>
          <w:tcPr>
            <w:tcW w:w="228"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734" w:type="dxa"/>
            <w:gridSpan w:val="3"/>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research and development expenses</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22,849</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61,697</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53,700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4" w:type="dxa"/>
            <w:gridSpan w:val="3"/>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61,194</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75,182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231,158</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235,163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 Included $24.6 million one-time, non-cash acquired IPR&amp;D expenses associated with the recent exclusive license for FG-3246 from Fortis and the acquisition of Fortis. See Note 3, </w:t>
      </w:r>
      <w:r>
        <w:rPr>
          <w:rFonts w:ascii="Times New Roman" w:hAnsi="Times New Roman"/>
          <w:b w:val="false"/>
          <w:i/>
          <w:color w:val="000000"/>
          <w:sz w:val="20"/>
        </w:rPr>
        <w:t>Exclusive License and Option to Acquire Fortis Therapeutics</w:t>
      </w:r>
      <w:r>
        <w:rPr>
          <w:rFonts w:ascii="Times New Roman" w:hAnsi="Times New Roman"/>
          <w:b w:val="false"/>
          <w:color w:val="000000"/>
          <w:sz w:val="20"/>
        </w:rPr>
        <w:t>, to the condensed consolidated financial statements.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Research and development expenses decreased $14.0 million, or 19% for the three months ended September 30, 2023, compared to the same period a year ago, primarily as a result of the net effect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Decrease of $14.5 million in drug development expenses associated with drug substance, drug product manufacturing and logistic activities related to pamrevlumab which was largely completed in the prior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Decrease of $3.1 million in employee-related costs primarily due to the reduction in force in July 2023, offset by overall merit increase and the impact from a payroll tax refund received during the third quarter of 2022 that did not recur in the current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Decrease of $2.3 million in stock-based compensation primarily resulting from significantly lower stock price and cancellations of stock options and restricted stock units;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Increase of $2.5 million in outside services expenses primarily related to roxadustat post-approval safety studies activities in China;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Increase of $1.8 million in clinical trials costs primarily due to Phase 3 trials for pamrevlumab for the treatment of metastatic pancreatic cancer.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Research and development expenses decreased $4.0 million, or 2% for the nine months ended September 30, 2023, compared to the same period a year ago, primarily as a result of the net effect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Decrease of $36.0 million in drug development expenses associated with drug substance, drug product manufacturing activities and logistic activities related to roxadustat post-approval safety studies in China and pamrevlumab which were largely completed in the prior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Decrease of $5.2 million in stock-based compensation primarily resulting from significantly lower stock price and cancellations of stock options and restricted stock units;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Increase of $2.2 million in employee-related costs primarily due to overall merit increase and higher business travel activities during the current year period, as well as the impact from a payroll tax refund received during the third quarter of 2022 that did not recur in the current year period, offset by the impact from the reduction in force in July 2023;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Increase of $4.1 million information technology, facilities and allocated costs primarily associated with software costs and maintenance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Increase of $3.7 million in outside services expenses primarily related to roxadustat post-approval safety studies activities in China;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$24.6 million one-time, non-cash acquired IPR&amp;D expenses associated with the recent exclusive license for FG-3246 from Fortis and the acquisition of Fortis.</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Selling, General and Administrative Expenses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associated with our commercialization efforts in China, recruiting fees and expenses associated with obtaining and maintaining patents.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SG&amp;A expenses decreased $4.3 million, or 14% for the three months ended September 30, 2023, compared to the same period a year ago, primarily as a result of the net effect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Decrease of $3.8 million in stock-based compensation primarily resulting from significantly lower stock price and cancellations of stock options and restricted stock units;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Decrease of $1.2 million in employee-related costs primarily due to the reduction in force in July 2023, offset by overall merit increase and the impact from a payroll tax refund received during the third quarter of 2022 that did not recur in the current year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Increase of $1.6 million in outside services expenses primarily due to higher consulting activities in general administrative function.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SG&amp;A expenses remained relatively flat for the nine months ended September 30, 2023, compared to the same period a year ago, primarily as a result of the net effect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Increase of $3.9 million in outside services expenses due to higher consulting activities in general administrative function and efforts to prepare for commercialization in the first half of the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Increase of $1.5 million in employee-related costs primarily due to primarily due to overall merit increase and the impact from a payroll tax refund received during the third quarter of 2022 that did not recur in the current year period, offset by the impact from the reduction in force in July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Decrease of $2.7 million in stock-based compensation primarily resulting from significantly lower stock price and cancellations of stock options and restricted stock units;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Decrease of $3.8 million due to higher allocated-out information technology, facilities and costs primarily associated with software costs and maintenance services.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Restructuring Charge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July 14, 2023, we approved a restructuring plan (the “Plan”) to lower our operating expenses. The Plan included a reduction to our U.S. workforce of approximately 32%. As a result, we recorded a total of $12.6 million non-recurring restructuring charge during the three months ended September 30, 2023, primarily consisting of notice period and severance payments, accrued vacation and employee benefits contributions. The Plan is in connection with the Company’s efforts to streamline operations to align with the Company’s business goals.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and Other, Net</w:t>
      </w:r>
    </w:p>
    <w:p>
      <w:pPr>
        <w:pStyle w:val="TextBody"/>
        <w:bidi w:val="0"/>
        <w:jc w:val="left"/>
        <w:rPr/>
      </w:pPr>
      <w:r>
        <w:rPr/>
        <w:t> </w:t>
      </w:r>
    </w:p>
    <w:tbl>
      <w:tblPr>
        <w:tblW w:w="11235" w:type="dxa"/>
        <w:jc w:val="left"/>
        <w:tblInd w:w="0" w:type="dxa"/>
        <w:tblLayout w:type="fixed"/>
        <w:tblCellMar>
          <w:top w:w="28" w:type="dxa"/>
          <w:left w:w="28" w:type="dxa"/>
          <w:bottom w:w="28" w:type="dxa"/>
          <w:right w:w="28" w:type="dxa"/>
        </w:tblCellMar>
      </w:tblPr>
      <w:tblGrid>
        <w:gridCol w:w="1176"/>
        <w:gridCol w:w="146"/>
        <w:gridCol w:w="211"/>
        <w:gridCol w:w="631"/>
        <w:gridCol w:w="166"/>
        <w:gridCol w:w="146"/>
        <w:gridCol w:w="211"/>
        <w:gridCol w:w="571"/>
        <w:gridCol w:w="166"/>
        <w:gridCol w:w="146"/>
        <w:gridCol w:w="211"/>
        <w:gridCol w:w="631"/>
        <w:gridCol w:w="166"/>
        <w:gridCol w:w="146"/>
        <w:gridCol w:w="146"/>
        <w:gridCol w:w="571"/>
        <w:gridCol w:w="166"/>
        <w:gridCol w:w="271"/>
        <w:gridCol w:w="146"/>
        <w:gridCol w:w="211"/>
        <w:gridCol w:w="736"/>
        <w:gridCol w:w="166"/>
        <w:gridCol w:w="146"/>
        <w:gridCol w:w="211"/>
        <w:gridCol w:w="571"/>
        <w:gridCol w:w="166"/>
        <w:gridCol w:w="146"/>
        <w:gridCol w:w="211"/>
        <w:gridCol w:w="736"/>
        <w:gridCol w:w="166"/>
        <w:gridCol w:w="146"/>
        <w:gridCol w:w="146"/>
        <w:gridCol w:w="571"/>
        <w:gridCol w:w="166"/>
        <w:gridCol w:w="716"/>
      </w:tblGrid>
      <w:tr>
        <w:trPr/>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31" w:type="dxa"/>
            <w:gridSpan w:val="3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1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and other, net: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left"/>
              <w:rPr/>
            </w:pPr>
            <w:r>
              <w:rPr/>
              <w:t> </w:t>
            </w:r>
          </w:p>
        </w:tc>
      </w:tr>
      <w:tr>
        <w:trPr/>
        <w:tc>
          <w:tcPr>
            <w:tcW w:w="11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5,879</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(10,464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(10,143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3,160</w:t>
            </w:r>
          </w:p>
        </w:tc>
        <w:tc>
          <w:tcPr>
            <w:tcW w:w="16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1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and other income (expenses),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117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interest and other,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Interest Expense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expense represents the interest related to the senior secured term loan facilities, interest related to sale of future revenues and interest related to the Technology Development Center of the Republic of Finland product development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Interest expense for the three and nine months ended September 30, 2023 included $2.1 million and $5.6 million, respectively, related to sale of future revenues under the Revenue Interest Financing Agreement (“RIFA”) with an affiliate of NovaQuest Capital Management (“NovaQuest”). See Note 8, </w:t>
      </w:r>
      <w:r>
        <w:rPr>
          <w:rFonts w:ascii="Times New Roman" w:hAnsi="Times New Roman"/>
          <w:b w:val="false"/>
          <w:i/>
          <w:color w:val="000000"/>
          <w:sz w:val="20"/>
        </w:rPr>
        <w:t>Liability Related to Sale of Future Revenues</w:t>
      </w:r>
      <w:r>
        <w:rPr>
          <w:rFonts w:ascii="Times New Roman" w:hAnsi="Times New Roman"/>
          <w:b w:val="false"/>
          <w:color w:val="000000"/>
          <w:sz w:val="20"/>
        </w:rPr>
        <w:t>, to the condensed consolidated financial statements for details.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Interest expense for each of the three and nine months ended September 30, 2023 also included $2.9 million and $4.5 million, respectively, related to the senior secured term loan facilities. See Note 7, </w:t>
      </w:r>
      <w:r>
        <w:rPr>
          <w:rFonts w:ascii="Times New Roman" w:hAnsi="Times New Roman"/>
          <w:b w:val="false"/>
          <w:i/>
          <w:color w:val="000000"/>
          <w:sz w:val="20"/>
        </w:rPr>
        <w:t>Senior Secured Term Loan Facilities,</w:t>
      </w:r>
      <w:r>
        <w:rPr>
          <w:rFonts w:ascii="Times New Roman" w:hAnsi="Times New Roman"/>
          <w:color w:val="000000"/>
          <w:sz w:val="20"/>
        </w:rPr>
        <w:t xml:space="preserve"> </w:t>
      </w:r>
      <w:r>
        <w:rPr>
          <w:rFonts w:ascii="Times New Roman" w:hAnsi="Times New Roman"/>
          <w:b w:val="false"/>
          <w:color w:val="000000"/>
          <w:sz w:val="20"/>
        </w:rPr>
        <w:t>to the condensed consolidated financial statements for details.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Interest Income and Other Income (Expenses), Net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Interest income and other income (expenses), net increased $2.5 million, or 139% for the three months ended September 30, 2023, and $1.3 million, or 20% for the nine months ended September 30, 2023, compared to the same periods a year ago, primarily due to higher interest income from our investments with higher interest rate during the current year period, and favorable foreign exchange impact. The increases in the nine-month period was partially offset by an impact of $5.0 million recorded during the second quarter of 2022, which did not recur in the current year period, resulting from a reduction to other expenses to release the previously estimated late payment fees related to value added tax in China.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tbl>
      <w:tblPr>
        <w:tblW w:w="10092" w:type="dxa"/>
        <w:jc w:val="left"/>
        <w:tblInd w:w="0" w:type="dxa"/>
        <w:tblLayout w:type="fixed"/>
        <w:tblCellMar>
          <w:top w:w="28" w:type="dxa"/>
          <w:left w:w="28" w:type="dxa"/>
          <w:bottom w:w="28" w:type="dxa"/>
          <w:right w:w="28" w:type="dxa"/>
        </w:tblCellMar>
      </w:tblPr>
      <w:tblGrid>
        <w:gridCol w:w="3436"/>
        <w:gridCol w:w="146"/>
        <w:gridCol w:w="228"/>
        <w:gridCol w:w="798"/>
        <w:gridCol w:w="180"/>
        <w:gridCol w:w="293"/>
        <w:gridCol w:w="158"/>
        <w:gridCol w:w="228"/>
        <w:gridCol w:w="798"/>
        <w:gridCol w:w="166"/>
        <w:gridCol w:w="271"/>
        <w:gridCol w:w="146"/>
        <w:gridCol w:w="211"/>
        <w:gridCol w:w="841"/>
        <w:gridCol w:w="166"/>
        <w:gridCol w:w="271"/>
        <w:gridCol w:w="146"/>
        <w:gridCol w:w="211"/>
        <w:gridCol w:w="841"/>
        <w:gridCol w:w="166"/>
        <w:gridCol w:w="3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 w:type="dxa"/>
            <w:tcBorders/>
            <w:shd w:fill="FFFFFF" w:val="cle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center"/>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53" w:type="dxa"/>
            <w:gridSpan w:val="17"/>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(64,208</w:t>
            </w:r>
          </w:p>
        </w:tc>
        <w:tc>
          <w:tcPr>
            <w:tcW w:w="1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93"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(91,943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(230,100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(228,522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FF0FC" w:val="clear"/>
            <w:vAlign w:val="center"/>
          </w:tcPr>
          <w:p>
            <w:pPr>
              <w:pStyle w:val="TableContents"/>
              <w:bidi w:val="0"/>
              <w:spacing w:before="0" w:after="283"/>
              <w:jc w:val="right"/>
              <w:rPr/>
            </w:pPr>
            <w:r>
              <w:rPr/>
              <w:t> </w:t>
            </w:r>
          </w:p>
        </w:tc>
      </w:tr>
      <w:tr>
        <w:trPr/>
        <w:tc>
          <w:tcPr>
            <w:tcW w:w="34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(benefit from) income taxes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18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16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4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Effective tax rate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8"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Provisions for (benefit from) income taxes for the three and nine months ended September 30, 2023 and 2022 were primarily due to foreign taxes.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intend to continue maintaining a full valuation allowance on our deferred tax assets until there is sufficient evidence to support the reversal of all or some portion of this allowance.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Investment Income in Unconsolidated Variable Interest Entity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Investment income in unconsolidated variable interest entity represented our proportionate share of the reported profits of Falikang, an unconsolidated variable interest entity accounted for under the equity method, which was immaterial for the three and nine months ended September 30, 2023 and 2022. See Note 4,</w:t>
      </w:r>
      <w:r>
        <w:rPr>
          <w:rFonts w:ascii="Times New Roman" w:hAnsi="Times New Roman"/>
          <w:color w:val="000000"/>
          <w:sz w:val="20"/>
        </w:rPr>
        <w:t xml:space="preserve"> </w:t>
      </w:r>
      <w:r>
        <w:rPr>
          <w:rFonts w:ascii="Times New Roman" w:hAnsi="Times New Roman"/>
          <w:b w:val="false"/>
          <w:i/>
          <w:color w:val="000000"/>
          <w:sz w:val="20"/>
        </w:rPr>
        <w:t>Equity method investment - Variable Interest Entity</w:t>
      </w:r>
      <w:r>
        <w:rPr>
          <w:rFonts w:ascii="Times New Roman" w:hAnsi="Times New Roman"/>
          <w:b w:val="false"/>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Condition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historically funded our operations principally from the sale of common stock (including our public offering proceeds), from the execution of collaboration agreements involving license payments, milestone payments, reimbursement for development services, and the associated product revenue and drug product revenue.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On November 4, 2022, we entered into a RIFA with NovaQuest with respect to our revenues from Astellas’ sales of roxadustat in Europe, Japan and the other Astellas territories. Pursuant to the RIFA, in the fourth quarter of 2022, we received $49.8 million from NovaQuest, representing the gross proceeds of $50.0 million net of initial issuance costs, in consideration for a portion of future revenues we will receive from Astellas. For additional details about this financing transaction, see Note 8, </w:t>
      </w:r>
      <w:r>
        <w:rPr>
          <w:rFonts w:ascii="Times New Roman" w:hAnsi="Times New Roman"/>
          <w:b w:val="false"/>
          <w:i/>
          <w:color w:val="000000"/>
          <w:sz w:val="20"/>
        </w:rPr>
        <w:t>Liability Related to Sale of Future Revenues</w:t>
      </w:r>
      <w:r>
        <w:rPr>
          <w:rFonts w:ascii="Times New Roman" w:hAnsi="Times New Roman"/>
          <w:b w:val="false"/>
          <w:color w:val="000000"/>
          <w:sz w:val="20"/>
        </w:rPr>
        <w:t>, to the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On February 27, 2023, we entered into an Amended and Restated Equity Distribution Agreement (the “at-the-market agreement”) with Goldman Sachs &amp; Co., LLC and BofA Securities, Inc. (each a “Sales Agent”), which amended and restated its Equity Distribution Agreement with Goldman Sachs &amp; Co., LLC, dated August 8, 2022, to add BofA Securities, Inc. as an additional Sales Agent under that agreement. Under the at-the-market agreement, we may issue and sell, from time to time and through the Sales Agents, shares of our common stock having an aggregate offering price of up to $200.0 million (the “ATM Program”). Under the ATM Program, we sold 2,472,090 shares of our common stock and received net proceeds of approximately $48.4 million during the nine months ended September 30, 2023. See Note 9, </w:t>
      </w:r>
      <w:r>
        <w:rPr>
          <w:rFonts w:ascii="Times New Roman" w:hAnsi="Times New Roman"/>
          <w:b w:val="false"/>
          <w:i/>
          <w:color w:val="000000"/>
          <w:sz w:val="20"/>
        </w:rPr>
        <w:t>At-the-Market Program</w:t>
      </w:r>
      <w:r>
        <w:rPr>
          <w:rFonts w:ascii="Times New Roman" w:hAnsi="Times New Roman"/>
          <w:b w:val="false"/>
          <w:color w:val="000000"/>
          <w:sz w:val="20"/>
        </w:rPr>
        <w:t>, to the condensed consolidated financial statements for details.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On April 29, 2023, we entered into the Financing Agreement with investment funds managed by Morgan Stanley Tactical Value, (“Lenders”), and Wilmington Trust, National Association, as the administrative agent, providing for senior secured term loan facilities consisting of (i) a $75.0 million initial term loan, (ii) a $37.5 million delayed draw term loan that will be funded upon the achievement of certain clinical development milestones and, (iii) an uncommitted delayed draw term loan of up to $37.5 million, to be funded at the Lenders sole discretion. The clinical development milestones which could have triggered Delayed Draw Term Loan 1 were not achieved, and the Lenders have not funded Delayed Draw Term Loan 2. For additional details about this financing transaction, see Note 7, </w:t>
      </w:r>
      <w:r>
        <w:rPr>
          <w:rFonts w:ascii="Times New Roman" w:hAnsi="Times New Roman"/>
          <w:b w:val="false"/>
          <w:i/>
          <w:color w:val="000000"/>
          <w:sz w:val="20"/>
        </w:rPr>
        <w:t>Senior Secured Revolving Line of Credit</w:t>
      </w:r>
      <w:r>
        <w:rPr>
          <w:rFonts w:ascii="Times New Roman" w:hAnsi="Times New Roman"/>
          <w:b w:val="false"/>
          <w:color w:val="000000"/>
          <w:sz w:val="20"/>
        </w:rPr>
        <w:t>, to the condensed consolidated financial statements.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we had cash and cash equivalents of $120.9 million, compared to $155.7 million as of December 31, 2022. Cash is invested in accordance with our investment policy, primarily with a view to liquidity and capital preservation. Investments, consisting of available-for-sale securities, and stated at fair value, are also available as a source of liquidity. As of September 30, 2023, we had short-term investments of $130.4 million, compared to short-term investments of $266.3 million and long-term investments of $4.3 million as of December 31, 2022. As of September 30, 2023, a total of $60.1 million of our cash and cash equivalents was held outside of the U.S. in our foreign subsidiaries, substantially all held in China, to be used primarily for our China operations.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long-term plans for distributing cash flows from FibroGen Beijing may involve any number of scenarios including keeping the money onshore to fund future expansion of our China operations or paying down certain debt obligations. During the three months ended September 30, 2023, FibroGen Beijing made a repayment of $11.8 million of intercompany loans. In addition, in October 2023, FibroGen Beijing made another repayment of $21.2 million of intercompany loans. Our capital contributions to FibroGen Beijing and the liquidity position of FibroGen Beijing depend on many factors, including those set forth under Part II, Item 1A “</w:t>
      </w:r>
      <w:r>
        <w:rPr>
          <w:rFonts w:ascii="Times New Roman" w:hAnsi="Times New Roman"/>
          <w:b w:val="false"/>
          <w:i/>
          <w:color w:val="000000"/>
          <w:sz w:val="20"/>
        </w:rPr>
        <w:t>Risk Factors</w:t>
      </w:r>
      <w:r>
        <w:rPr>
          <w:rFonts w:ascii="Times New Roman" w:hAnsi="Times New Roman"/>
          <w:color w:val="000000"/>
          <w:sz w:val="20"/>
        </w:rPr>
        <w:t xml:space="preserve">” </w:t>
      </w:r>
      <w:r>
        <w:rPr>
          <w:rFonts w:ascii="Times New Roman" w:hAnsi="Times New Roman"/>
          <w:b w:val="false"/>
          <w:color w:val="000000"/>
          <w:sz w:val="20"/>
        </w:rPr>
        <w:t>in this Quarterly Report.</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Sources and Uses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sets forth the primary sources and uses of cash and cash equivalents for each of the periods set forth below (in thousands):</w:t>
      </w:r>
    </w:p>
    <w:p>
      <w:pPr>
        <w:pStyle w:val="TextBody"/>
        <w:bidi w:val="0"/>
        <w:spacing w:before="20" w:after="283"/>
        <w:jc w:val="left"/>
        <w:rPr/>
      </w:pPr>
      <w:r>
        <w:rPr/>
        <w:t> </w:t>
      </w:r>
    </w:p>
    <w:tbl>
      <w:tblPr>
        <w:tblW w:w="8637" w:type="dxa"/>
        <w:jc w:val="left"/>
        <w:tblInd w:w="0" w:type="dxa"/>
        <w:tblLayout w:type="fixed"/>
        <w:tblCellMar>
          <w:top w:w="28" w:type="dxa"/>
          <w:left w:w="28" w:type="dxa"/>
          <w:bottom w:w="28" w:type="dxa"/>
          <w:right w:w="28" w:type="dxa"/>
        </w:tblCellMar>
      </w:tblPr>
      <w:tblGrid>
        <w:gridCol w:w="5286"/>
        <w:gridCol w:w="146"/>
        <w:gridCol w:w="237"/>
        <w:gridCol w:w="944"/>
        <w:gridCol w:w="186"/>
        <w:gridCol w:w="164"/>
        <w:gridCol w:w="237"/>
        <w:gridCol w:w="826"/>
        <w:gridCol w:w="611"/>
      </w:tblGrid>
      <w:tr>
        <w:trPr/>
        <w:tc>
          <w:tcPr>
            <w:tcW w:w="5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w:t>
            </w:r>
          </w:p>
        </w:tc>
        <w:tc>
          <w:tcPr>
            <w:tcW w:w="146" w:type="dxa"/>
            <w:tcBorders/>
            <w:shd w:fill="CFF0FC" w:val="clear"/>
            <w:vAlign w:val="center"/>
          </w:tcPr>
          <w:p>
            <w:pPr>
              <w:pStyle w:val="TableContents"/>
              <w:bidi w:val="0"/>
              <w:spacing w:before="0" w:after="283"/>
              <w:jc w:val="center"/>
              <w:rPr/>
            </w:pPr>
            <w:r>
              <w:rPr/>
              <w:t> </w:t>
            </w:r>
          </w:p>
        </w:tc>
        <w:tc>
          <w:tcPr>
            <w:tcW w:w="1181" w:type="dxa"/>
            <w:gridSpan w:val="2"/>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center"/>
              <w:rPr/>
            </w:pPr>
            <w:r>
              <w:rPr/>
              <w:t> </w:t>
            </w:r>
          </w:p>
        </w:tc>
        <w:tc>
          <w:tcPr>
            <w:tcW w:w="1063"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2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(296,700</w:t>
            </w:r>
          </w:p>
        </w:tc>
        <w:tc>
          <w:tcPr>
            <w:tcW w:w="1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(93,420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52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143,415</w:t>
            </w:r>
          </w:p>
        </w:tc>
        <w:tc>
          <w:tcPr>
            <w:tcW w:w="186"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88,023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2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122,995</w:t>
            </w:r>
          </w:p>
        </w:tc>
        <w:tc>
          <w:tcPr>
            <w:tcW w:w="18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52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Effect of exchange rate changes on cash and cash equivalents</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(4,496</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528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(34,786</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(15,263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 was $296.7 million for the nine months ended September 30, 2023 and consisted primarily of net loss of $228.0 million adjusted for non-operating cash items of $77.6 million, and a net decrease in operating assets and liabilities of $146.3 million. The significant non-operating cash items included stock-based compensation expense of $41.5 million, acquired IPR&amp;D expenses associated with the acquisition of Fortis of $24.6 million, depreciation expense of $7.7 million and non-cash interest expense related to sale of future revenues of $5.6 million. The significant items in the changes in operating assets and liabilities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 xml:space="preserve">Accrued and other liabilities decreased $50.2 million, primarily related to the movements related to API and bulk drug product price true-up, resulting from changes in estimated variable consideration associated with the API shipments fulfilled under the terms of the Astellas Japan Amendment, and the bulk drug product transferred under the terms of the Astellas Europe Agreement and the Astellas EU Supply Agreement, including the payment of $57.4 million previously accrued balance made during the current year period. See the </w:t>
      </w:r>
      <w:r>
        <w:rPr>
          <w:rFonts w:ascii="Times New Roman" w:hAnsi="Times New Roman"/>
          <w:b w:val="false"/>
          <w:i/>
          <w:color w:val="000000"/>
          <w:sz w:val="20"/>
        </w:rPr>
        <w:t xml:space="preserve">Drug Product Revenue, Net </w:t>
      </w:r>
      <w:r>
        <w:rPr>
          <w:rFonts w:ascii="Times New Roman" w:hAnsi="Times New Roman"/>
          <w:b w:val="false"/>
          <w:color w:val="000000"/>
          <w:sz w:val="20"/>
        </w:rPr>
        <w:t xml:space="preserve">section in Note 2, </w:t>
      </w:r>
      <w:r>
        <w:rPr>
          <w:rFonts w:ascii="Times New Roman" w:hAnsi="Times New Roman"/>
          <w:b w:val="false"/>
          <w:i/>
          <w:color w:val="000000"/>
          <w:sz w:val="20"/>
        </w:rPr>
        <w:t>Collaboration Agreements, License Agreement and Revenues,</w:t>
      </w:r>
      <w:r>
        <w:rPr>
          <w:color w:val="000000"/>
        </w:rPr>
        <w:t xml:space="preserve"> </w:t>
      </w:r>
      <w:r>
        <w:rPr>
          <w:rFonts w:ascii="Times New Roman" w:hAnsi="Times New Roman"/>
          <w:b w:val="false"/>
          <w:color w:val="000000"/>
          <w:sz w:val="20"/>
        </w:rPr>
        <w:t xml:space="preserve">to the condensed consolidated financial statements for details. The decrease was partially offset by the accrued liabilities of $28.5 million for the litigation settlement as of September 30, 2023, which is fully recoverable under our insurance policies. See Note 12, </w:t>
      </w:r>
      <w:r>
        <w:rPr>
          <w:rFonts w:ascii="Times New Roman" w:hAnsi="Times New Roman"/>
          <w:b w:val="false"/>
          <w:i/>
          <w:color w:val="000000"/>
          <w:sz w:val="20"/>
        </w:rPr>
        <w:t>Commitments and Contingencies,</w:t>
      </w:r>
      <w:r>
        <w:rPr>
          <w:color w:val="000000"/>
        </w:rPr>
        <w:t xml:space="preserve"> </w:t>
      </w:r>
      <w:r>
        <w:rPr>
          <w:rFonts w:ascii="Times New Roman" w:hAnsi="Times New Roman"/>
          <w:b w:val="false"/>
          <w:color w:val="000000"/>
          <w:sz w:val="20"/>
        </w:rPr>
        <w:t>to the condensed consolidated financial statements for details. The accrued and other liabilities were also impacted by the timing of invoicing and payment;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 xml:space="preserve">Deferred revenue decreased $36.9 million, primarily related to the reclassification of $28.7 million to accrued liabilities, resulting from changes in estimated variable consideration associated with the bulk drug product transferred to Astellas under the terms of the Astellas Europe Agreement and the Astellas EU Supply Agreement during the current year period. See the </w:t>
      </w:r>
      <w:r>
        <w:rPr>
          <w:rFonts w:ascii="Times New Roman" w:hAnsi="Times New Roman"/>
          <w:b w:val="false"/>
          <w:i/>
          <w:color w:val="000000"/>
          <w:sz w:val="20"/>
        </w:rPr>
        <w:t xml:space="preserve">Drug Product Revenue, Net </w:t>
      </w:r>
      <w:r>
        <w:rPr>
          <w:rFonts w:ascii="Times New Roman" w:hAnsi="Times New Roman"/>
          <w:b w:val="false"/>
          <w:color w:val="000000"/>
          <w:sz w:val="20"/>
        </w:rPr>
        <w:t xml:space="preserve">section in Note 2, </w:t>
      </w:r>
      <w:r>
        <w:rPr>
          <w:rFonts w:ascii="Times New Roman" w:hAnsi="Times New Roman"/>
          <w:b w:val="false"/>
          <w:i/>
          <w:color w:val="000000"/>
          <w:sz w:val="20"/>
        </w:rPr>
        <w:t>Collaboration Agreements, License Agreement and Revenues,</w:t>
      </w:r>
      <w:r>
        <w:rPr>
          <w:color w:val="000000"/>
        </w:rPr>
        <w:t xml:space="preserve"> </w:t>
      </w:r>
      <w:r>
        <w:rPr>
          <w:rFonts w:ascii="Times New Roman" w:hAnsi="Times New Roman"/>
          <w:b w:val="false"/>
          <w:color w:val="000000"/>
          <w:sz w:val="20"/>
        </w:rPr>
        <w:t xml:space="preserve">to the condensed consolidated financial statements for details.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Accounts receivable increased $16.3 million, primarily driven by the receivable related to the API shipments to Astellas during the second quarter of 2023, as well as the timing of the receipt of payments and the billings under our collaboration and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Accounts payable decreased $14.1 million, primarily driven by the payments made for the historical co-promotion expenses to AstraZeneca during the current year period, as well as the timing of invoicing and payments;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Prepaid expenses and other current assets increased $27.4 million, primarily due to the $28.5 million receivable as of September 30, 2023 for the insurance recovery for the above-mentioned litigation settlement.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 was $93.4 million for the nine months ended September 30, 2022 and consisted primarily of net loss of $227.5 million adjusted for non-operating cash items of $57.8 million, partially offset by a net increase in operating assets and liabilities of $76.2 million. The significant non-operating cash items included stock-based compensation expense of $49.4 million, and depreciation expense of $7.5 million. The significant items in the changes in operating assets and liabilities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Accrued and other liabilities increased $87.2 million, primarily related to the total of $66.5 million for API and bulk drug product price true-up as of September 30, 2022, resulting from changes in estimated variable consideration associated with the API shipments fulfilled under the terms of the Astellas Japan Amendment, the bulk drug product transferred under the terms of the Astellas Europe Agreement and the Astellas EU Supply Agreement, and the bulk drug product shipments to AstraZeneca under the terms of the AstraZeneca Master Supply Agreement. The accrued and other liabilities were also impacted by the classification of a portion of accrued co-promotion expenses from other long-term liabilities to current liabilities based on the updated estimate of timing for payment, and by the timing of invoicing and payment;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Prepaid expenses and other current assets decreased $8.3 million, primarily due to the collection of $8.0 million from Eluminex for upfront license payment during the first quarter of 2022, and less prepayments made for roxadustat API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Deferred revenue increased $4.5 million, primarily related to the deferred considerations of the bulk drug product transferred to Astellas under the terms of the Astellas Europe Agreement and the Astellas EU Supply Agreement during the current year period, offset by the above-mentioned reclassification to accrued liabilities, resulting from changes in estimated variable consideration associated with the API or bulk drug product deliveries fulfilled with Astellas and AstraZeneca;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Inventories increased $11.1 million, driven by the increased inventory level primarily related to inventory cost capitalized related to Europe and other territories, and FibroGen Beijing’s productions of roxadustat for commercial sales purposes;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long-term liabilities decreased $10.3 million driven by the above-mentioned classification of a portion of accrued co-promotion expenses from other long-term liabilities to current liabilities based on the updated estimate of timing for payment;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Accounts payable decreased $5.1 million, primarily driven by the timing of invoicing and payments.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Investing activities primarily consist of purchases of property and equipment, purchases of investments, purchase of acquired IPR&amp;D assets and proceeds from the maturity and sale of investments.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Net cash provided by investing activities was $143.4 million for the nine months ended September 30, 2023 and consisted primarily of $300.5 million of proceeds from maturities of investments, partially offset by $157.2 million of cash used in purchases of available-for-sale securities.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Net cash provided by investing activities was $88.0 million for the nine months ended September 30, 2022 and consisted primarily of $216.3 million of proceeds from maturities of investments and $7.4 million of proceeds from sales of available-for-sale securities, partially offset by $97.3 million of cash used in purchases of available-for-sale securities, $35.0 million of cash paid for the acquired IPR&amp;D asset, and $3.4 million of cash used in purchases of property and equipment.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Financing activities primarily reflect proceeds from the issuance of our common stock, cash paid for payroll taxes on restricted stock unit releases, repayments of our lease liabilities and obligations.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 was $123.0 million for the nine months ended September 30, 2023 and consisted primarily of $71.3 million net proceeds from senior secured term loan facilities, $48.4 million net proceeds received under the ATM Program, $3.7 million of proceeds from the issuance of common stock upon exercise of stock options and purchases under our Employee Stock Purchase Plan.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Net cash used in financing activities was $1.9 million for the nine months ended September 30, 2022 and consisted primarily of $4.6 million of cash paid for payroll taxes on restricted stock unit releases, partially offset by $3.0 million of proceeds from the issuance of common stock upon exercise of stock options and purchases under our Employee Stock Purchase Plan.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generate revenue from commercial sales of roxadustat product in China, Japan and Europe. Even with the expectation of increases in these revenues, we anticipate that we will continue to generate losses for the foreseeable future. To date, we have funded certain portions of our research and development and manufacturing efforts globally through collaboration partners, debt financings, and equity financing. We expect to continue to incur significant research and development expenses to invest in our other programs and there is no guarantee that sufficient funds will be available to continue to fund these development efforts through commercialization or otherwise. We are also subject to all the risks related to the development and commercialization of novel therapeutics, and we may encounter unforeseen expenses, difficulties, complications, delays and other factors outlined under Part II, Item 1A “</w:t>
      </w:r>
      <w:r>
        <w:rPr>
          <w:rFonts w:ascii="Times New Roman" w:hAnsi="Times New Roman"/>
          <w:b w:val="false"/>
          <w:i/>
          <w:color w:val="000000"/>
          <w:sz w:val="20"/>
        </w:rPr>
        <w:t>Risk Factors</w:t>
      </w:r>
      <w:r>
        <w:rPr>
          <w:rFonts w:ascii="Times New Roman" w:hAnsi="Times New Roman"/>
          <w:color w:val="000000"/>
          <w:sz w:val="20"/>
        </w:rPr>
        <w:t xml:space="preserve">” </w:t>
      </w:r>
      <w:r>
        <w:rPr>
          <w:rFonts w:ascii="Times New Roman" w:hAnsi="Times New Roman"/>
          <w:b w:val="false"/>
          <w:color w:val="000000"/>
          <w:sz w:val="20"/>
        </w:rPr>
        <w:t>in this Quarterly Report on Form 10-Q, as well as unknown factors that may adversely affect our business. We anticipate that we will need substantial additional funding in connection with our continuing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We believe that our existing cash and cash equivalents, short-term and long-term investments and accounts receivable, together with the proceeds from senior secured term loan facilities in the second quarter of 2023, the financing amount under the RIFA received in the fourth quarter of 2022, and the net proceeds received under our ATM program in the first half of 2023, as well as the cost savings we have recently implemented (including from the reduction in workforce that we announced on July 19, 2023), will be sufficient to meet our anticipated cash requirements for at least the next 12 months from the date of issuance of the financial statements included in this Quarterly Report on Form 10-Q. However, we may need additional capital thereafter and our liquidity assumptions could turn out to be wrong, or may change over time, and we could utilize our available financial resources sooner than we currently expect. We may incur additional expenses not currently contemplated due to events associated with the recently announced reduction in workforce. In addition, we may elect to raise additional funds at any time through equity, equity-linked, debt financing arrangements or from other sources. Our forecast of the period of time through which our financial resources will be adequate to support our operations is a forward-looking statement and involves risks and uncertainties, and actual results could vary as a result of a number of factors. Our future capital requirements and the adequacy of available funds will depend on many factors, including those set forth under Part II, Item 1A “</w:t>
      </w:r>
      <w:r>
        <w:rPr>
          <w:rFonts w:ascii="Times New Roman" w:hAnsi="Times New Roman"/>
          <w:b w:val="false"/>
          <w:i/>
          <w:color w:val="000000"/>
          <w:sz w:val="20"/>
        </w:rPr>
        <w:t>Risk Factors</w:t>
      </w:r>
      <w:r>
        <w:rPr>
          <w:rFonts w:ascii="Times New Roman" w:hAnsi="Times New Roman"/>
          <w:color w:val="000000"/>
          <w:sz w:val="20"/>
        </w:rPr>
        <w:t xml:space="preserve">” </w:t>
      </w:r>
      <w:r>
        <w:rPr>
          <w:rFonts w:ascii="Times New Roman" w:hAnsi="Times New Roman"/>
          <w:b w:val="false"/>
          <w:color w:val="000000"/>
          <w:sz w:val="20"/>
        </w:rPr>
        <w:t>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growth prospects and could otherwise negatively impact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we had $81.9 million of operating lease liabilities. The material cash requirements related to our lease liabilities included $15.2 million expected to be paid within the next 12 months.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we had outstanding total non-cancelable purchase obligations of $37.8 million, including $22.8 million for manufacture and supply of pamrevlumab, $2.2 million for manufacture and supply of roxadustat, and $12.8 million for other purchases and programs. We expect to fulfill our commitments under these agreements in the normal course of business, and as such, no liability has been recorded. The material cash requirements related to our non-cancelable purchase obligations included $31.8 million expected to be paid within the next 12 months.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Under the Financing Agreement with Morgan Stanley Tactical Value, as of September 30, 2023, we had $71.7 million of senior secured term loan facilities balance on the condensed consolidated balance sheets, which are not subject for repayment until May 2026. Meanwhile, we are obliged to pay interest on a monthly basis, for which we expect to pay a total of $10.5 million within the next 12 months. See Note 7, </w:t>
      </w:r>
      <w:r>
        <w:rPr>
          <w:rFonts w:ascii="Times New Roman" w:hAnsi="Times New Roman"/>
          <w:b w:val="false"/>
          <w:i/>
          <w:color w:val="000000"/>
          <w:sz w:val="20"/>
        </w:rPr>
        <w:t>Senior Secured Term Loan Facilities</w:t>
      </w:r>
      <w:r>
        <w:rPr>
          <w:rFonts w:ascii="Times New Roman" w:hAnsi="Times New Roman"/>
          <w:b w:val="false"/>
          <w:color w:val="000000"/>
          <w:sz w:val="20"/>
        </w:rPr>
        <w:t>, to the condensed consolidated financial statements for details.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Under the RIFA with NovaQuest, as of September 30, 2023, we had $55.0 million of liability related to sale of future revenues on the condensed consolidated balance sheets, $5.9 million of which we anticipate to pay within the next 12 month. Based on our current estimates of drug product revenue and revenue from milestone payments under the Astellas Agreements, and taking into the consideration of the terms under the RIFA, we anticipate to reach a Payment Cap up to $125.0 million by 2031. See Note 8, </w:t>
      </w:r>
      <w:r>
        <w:rPr>
          <w:rFonts w:ascii="Times New Roman" w:hAnsi="Times New Roman"/>
          <w:b w:val="false"/>
          <w:i/>
          <w:color w:val="000000"/>
          <w:sz w:val="20"/>
        </w:rPr>
        <w:t>Liability Related to Sale of Future Revenues</w:t>
      </w:r>
      <w:r>
        <w:rPr>
          <w:rFonts w:ascii="Times New Roman" w:hAnsi="Times New Roman"/>
          <w:b w:val="false"/>
          <w:color w:val="000000"/>
          <w:sz w:val="20"/>
        </w:rPr>
        <w:t>, to the condensed consolidated financial statements for details.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Some of our license agreements provide for periodic maintenance fees over specified time periods, as well as payments by the Company upon the achievement of development, regulatory and commercial milestones. As of September 30, 2023, future milestone payments for research and preclinical stage development programs consisted of up to approximately $697.9 million in total potential future milestone payments under our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three and nine months ended September 30, 2023, we did not have any relationships with unconsolidated organizations or financial partnerships, such as structured finance or special purpose entities that would have been established for the purpose of facilitating off-balance sheet arrangements.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There have been no material changes in our critical accounting policies, estimates and judgments during the three and nine months ended September 30, 2023 compared with the disclosures in Part II, Item 7 of our 2022 Form 10-K.</w:t>
      </w:r>
    </w:p>
    <w:p>
      <w:pPr>
        <w:pStyle w:val="TextBody"/>
        <w:bidi w:val="0"/>
        <w:spacing w:before="360" w:after="283"/>
        <w:jc w:val="left"/>
        <w:rPr>
          <w:rFonts w:ascii="Times New Roman" w:hAnsi="Times New Roman"/>
          <w:b/>
          <w:color w:val="000000"/>
          <w:sz w:val="20"/>
        </w:rPr>
      </w:pPr>
      <w:bookmarkStart w:id="14" w:name="item_3_quantitative_qualitative_disclosu"/>
      <w:bookmarkEnd w:id="14"/>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During the three and nine months ended September 30, 2023, we believe there were no material changes to our exposure to market risks as set forth in Part II, Item 7A </w:t>
      </w:r>
      <w:r>
        <w:rPr>
          <w:rFonts w:ascii="Times New Roman" w:hAnsi="Times New Roman"/>
          <w:color w:val="000000"/>
          <w:sz w:val="20"/>
        </w:rPr>
        <w:t>“</w:t>
      </w:r>
      <w:r>
        <w:rPr>
          <w:rFonts w:ascii="Times New Roman" w:hAnsi="Times New Roman"/>
          <w:b w:val="false"/>
          <w:i/>
          <w:color w:val="000000"/>
          <w:sz w:val="20"/>
        </w:rPr>
        <w:t>Quantitative and Qualitative Disclosures About Market Risk”</w:t>
      </w:r>
      <w:r>
        <w:rPr>
          <w:rFonts w:ascii="Times New Roman" w:hAnsi="Times New Roman"/>
          <w:color w:val="000000"/>
          <w:sz w:val="20"/>
        </w:rPr>
        <w:t xml:space="preserve"> </w:t>
      </w:r>
      <w:r>
        <w:rPr>
          <w:rFonts w:ascii="Times New Roman" w:hAnsi="Times New Roman"/>
          <w:b w:val="false"/>
          <w:color w:val="000000"/>
          <w:sz w:val="20"/>
        </w:rPr>
        <w:t>in our 2022 Form 10-K.</w:t>
      </w:r>
    </w:p>
    <w:p>
      <w:pPr>
        <w:pStyle w:val="TextBody"/>
        <w:bidi w:val="0"/>
        <w:spacing w:before="360" w:after="283"/>
        <w:jc w:val="left"/>
        <w:rPr>
          <w:rFonts w:ascii="Times New Roman" w:hAnsi="Times New Roman"/>
          <w:b/>
          <w:color w:val="000000"/>
          <w:sz w:val="20"/>
        </w:rPr>
      </w:pPr>
      <w:bookmarkStart w:id="15" w:name="item_4_controls_procedures"/>
      <w:bookmarkEnd w:id="15"/>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management, with the participation of our Principal Executive Officer and our Principal Financial Officer, has evaluated the effectiveness of our disclosure controls and procedures as of September 30, 2023,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our evaluation, the Principal Executive Officer and Principal Financial Officer have concluded that our disclosure controls and procedures were effective at the reasonable assurance level as of September 30,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were no changes in our internal control over financial reporting identified in connection with the evaluation required by Rule 13a-15(d) and 15d-15(d) of the Exchange Act that occurred during the three months ended September 30, 2023 that have materially affected, or are reasonably likely to materially affect, our internal control over financial reporting.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on the Effectiveness of Controls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sz w:val="20"/>
        </w:rPr>
      </w:pPr>
      <w:bookmarkStart w:id="16" w:name="part_iior_information"/>
      <w:bookmarkEnd w:id="16"/>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7" w:name="item_1_legal_proceedings"/>
      <w:bookmarkEnd w:id="17"/>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We are a party to various legal actions that arose in the ordinary course of our business. We recognize accruals for any legal action when we conclude that a loss is probable and reasonably estimable. We did not have any material accruals for any active legal action in our condensed consolidated balance sheet as of September 30, 2023, as we could not predict the ultimate outcome of these matters, or reasonably estimate the potential exposure. See Note 12, </w:t>
      </w:r>
      <w:r>
        <w:rPr>
          <w:rFonts w:ascii="Times New Roman" w:hAnsi="Times New Roman"/>
          <w:b w:val="false"/>
          <w:i/>
          <w:color w:val="000000"/>
          <w:sz w:val="20"/>
        </w:rPr>
        <w:t>Commitments and Contingencies</w:t>
      </w:r>
      <w:r>
        <w:rPr>
          <w:rFonts w:ascii="Times New Roman" w:hAnsi="Times New Roman"/>
          <w:b w:val="false"/>
          <w:color w:val="000000"/>
          <w:sz w:val="20"/>
        </w:rPr>
        <w:t>, to the condensed consolidated financial statements for details.</w:t>
      </w:r>
    </w:p>
    <w:p>
      <w:pPr>
        <w:pStyle w:val="TextBody"/>
        <w:bidi w:val="0"/>
        <w:spacing w:before="360" w:after="283"/>
        <w:jc w:val="left"/>
        <w:rPr>
          <w:rFonts w:ascii="Times New Roman" w:hAnsi="Times New Roman"/>
          <w:b/>
          <w:color w:val="000000"/>
          <w:sz w:val="20"/>
        </w:rPr>
      </w:pPr>
      <w:bookmarkStart w:id="18" w:name="item_1a_risk_factors"/>
      <w:bookmarkEnd w:id="18"/>
      <w:r>
        <w:rPr>
          <w:rFonts w:ascii="Times New Roman" w:hAnsi="Times New Roman"/>
          <w:b/>
          <w:color w:val="000000"/>
          <w:sz w:val="20"/>
        </w:rPr>
        <w:t>ITEM 1A. RISK FACTORS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deem immaterial may also impair our business operations.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We have marked with an asterisk (*) those risks described below that reflect substantive changes from the risks described under Part I, Item 1A </w:t>
      </w:r>
      <w:r>
        <w:rPr>
          <w:rFonts w:ascii="Times New Roman" w:hAnsi="Times New Roman"/>
          <w:color w:val="000000"/>
          <w:sz w:val="20"/>
        </w:rPr>
        <w:t>“</w:t>
      </w:r>
      <w:r>
        <w:rPr>
          <w:rFonts w:ascii="Times New Roman" w:hAnsi="Times New Roman"/>
          <w:b w:val="false"/>
          <w:i/>
          <w:color w:val="000000"/>
          <w:sz w:val="20"/>
        </w:rPr>
        <w:t>Risk Factors”</w:t>
      </w:r>
      <w:r>
        <w:rPr>
          <w:rFonts w:ascii="Times New Roman" w:hAnsi="Times New Roman"/>
          <w:color w:val="000000"/>
          <w:sz w:val="20"/>
        </w:rPr>
        <w:t xml:space="preserve"> </w:t>
      </w:r>
      <w:r>
        <w:rPr>
          <w:rFonts w:ascii="Times New Roman" w:hAnsi="Times New Roman"/>
          <w:b w:val="false"/>
          <w:color w:val="000000"/>
          <w:sz w:val="20"/>
        </w:rPr>
        <w:t>included in our Annual Report on Form 10-K for the year ended December 31, 2022, filed on February 27, 2023 (“2022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success of FibroGen will depend on a number of factors, many of which are beyond our control and involve risks, including but not limited to the following: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are substantially dependent on the success of our lead products pamrevlumab and roxadustat.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a company, we have limited late-stage development and commercialization experience, and the time and resources required to develop such experience are significant.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Drug development and obtaining marketing authorization is a very difficult endeavor and we may ultimately be unable to obtain regulatory approval for our various product candidates in one or more jurisdictions and in one or more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Preclinical, Phase 1 and Phase 2 clinical trial results may not be indicative of the results that may be obtained in larger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do not know whether our ongoing or planned clinical trials of roxadustat or pamrevlumab will need to be redesigned based on interim results or if we will be able to achieve sufficient patient enrollment or complete planned clinical trials on schedule.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product candidates may cause or have attributed to them undesirable side effects or have other properties that delay or prevent their regulatory approval or limit their commercial potential.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If our manufacturers or we cannot properly manufacture the appropriate volume of product, we may experience delays in development, regulatory approval, launch, or successful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face substantial competition in the discovery, development and commercialization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product candidates may not achieve adequate market acceptance among physicians, patients, healthcare payors, and others in the medical community necessary for commercial success.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If our collaborations were terminated or if our partners were unwilling or unable to contribute or participate in these collaborations, our ability to successfully develop and commercialize the relevant product candidate would suffer.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our preclinical and clinical trial contractors do not properly perform their agreed upon obligations, we may not be able to obtain or may be delayed in receiving regulatory approvals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currently rely, and expect to continue to rely, on third parties to conduct many aspects of our product manufacturing and distribution, and these third parties may terminate these agreements or not perform satisfactorily.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have shortfalls, delays, or excesses in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Certain components of our products are acquired from single-source suppliers or without long-term supply agreements. The loss of these suppliers, or their failure to supply, would materially and adversely affect our business.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our efforts to protect our proprietary technologies are not adequate,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reliance on third parties and agreements with collaboration partners requires us to share our trade secrets, which increases the possibility that a competitor may discover them or that our trade secrets will be misappropriated or disclosed.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 of maintaining our patent protection is high and requires continuous review and diligence. We may not be able to effectively maintain our intellectual property position throughout the major markets of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laws of some foreign countries do not protect proprietary rights to the same extent as do the laws of the U.S., and we may encounter significant problems in securing and defending our intellectual property rights outside the 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regulatory approval process is highly uncertain and we may not obtain regulatory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International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have established operations in China and are seeking approval to commercialize our product candidates outside of the U.S., and a number of risks associated with international operations could materially and adversely affect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pharmaceutical industry in China is highly regulated and such regulations are subject to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experience difficulties in successfully growing and sustaining sales of roxadustat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retail prices of any product candidates that we develop will be subject to pricing control in China and elsewhere.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FibroGen Beijing would be subject to restrictions on paying dividends or making other payments to us, which may restrict our ability to satisfy our liquidity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foreign operations, particularly those in China, are subject to significant risks involving the protection of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Uncertainties with respect to the China legal system and regulations could have a material adverse effect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China’s economic, governmental, or social conditions could have a material adverse effect on our business.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substantially dependent on the success of our lead products pamrevlumab and roxadustat.*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 date, we have invested substantially in the research and development of pamrevlumab and roxadustat.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near-term value drivers for the Company depend in large part on pamrevlumab, which is in clinical development for locally advanced unresectable pancreatic cancer and metastatic pancreatic cancer. If the Phase 3 clinical trials are successful, pamrevlumab will require substantial further investment. At this time, we do not have a collaboration partner to support the development and commercialization of pamrevlumab. Additionally, as a monoclonal antibody, pamrevlumab may require greater financial resources to commercialize (particularly in manufacturing).</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near-term value drivers also include continued development and commercialization of roxadustat in the People’s Republic of China (“China”), Japan, Europe, and elsewhere. While we continue to co-commercialize roxadustat in China with AstraZeneca AB (“AstraZeneca”) and develop roxadustat in China in chemotherapy-induced anemia (“CIA”), we have no plans to develop roxadustat in the United States (“U.S.”) for anemia associated with chronic kidney disease (“CKD”) (and have withdrawn our New Drug Application for CKD anemia), myelodysplastic syndromes, or CIA.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With an eye toward our longer-term success, we are investing in new drug programs to expand our early-stage clinical pipeline. While we see great potential value in our early-stage pipeline, these programs are years away from commercialization, and the success of any development program is not guaranteed. Our biggest value drivers in the near-term rely on the success of pamrevlumab Phase 3 trials and roxadustat commercialization.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 a company, we have limited late-stage and commercialization experience, and the time and resources required to develop such experience are significant.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any of our late stage programs are successful, and we choose to undertake sales, distribution, and marketing of any of our products directly, there are risks involved with establishing these capabilities. Factors that may inhibit our efforts to commercialize our products on our own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inability to recruit, train and retain adequate numbers of effective sales and marketing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inability of sales personnel to obtain access to physicians or persuade adequate numbers of physicians to prescribe any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inability to effectively manage geographically dispersed commercial teams;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unforeseen costs and expenses associated with creating an independent commercial organization.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Successful development and commercialization of any of our products requires us to establish and further develop our clinical, regulatory, and commercialization capabilities, including but not limited to, medical affairs, marketing, product reimbursement, sales, price reporting, pharmacovigilance, supply-chain, and distribution. These efforts require resources and time to either develop or acquire expertise in these areas and there is a risk that we are unsuccessful or we fail to comply with rules or regulations applicable to development or commercialization of our products. There is also a risk that we are delayed due to the need to develop these capabilities or due to a lack of resources. All of which would adversely affect our business and financial condition.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Drug development and obtaining marketing authorization is a very difficult endeavor and we may ultimately be unable to obtain regulatory approval for our various product candidates in one or more jurisdictions and in one or more indications.*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development, manufacturing, marketing, and selling of our products and product candidates are and will continue to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drug development and approval processes are expensive and require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any of our other product candidates in one or more indications and jurisdictions.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Moreover, for any clinical trial to support a New Drug Application/Biologics License Application submission for approval, the U.S. Food and Drug Administration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Regulatory authorities may take actions or impose requirements that delay, limit or deny approval of our product candidates for many reasons,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failure to adequately demonstrate to the satisfaction of regulatory authorities or an independent advisory committee that our product candidate is safe and effective in a particular indication, or that such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failure of clinical trials to meet the level of statistical significance required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determination by regulatory authorities that additional information (including additional preclinical or clinical data or trials) are necessary to demonstrate the safety and efficacy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disagreement over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product candidates may exhibit an unacceptable safety signal at any stage of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or the clinical research organizations (“CROs”) or investigators that conduct clinical trials on our behalf, may fail to comply with regulations or GCPs, clinical trial protocols, or contractual agreements, which may adversely impact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disagreement over whether to accept results from clinical trial sites in a country where the standard of care is potentially different from that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or third-party contractors manufacturing our product candidates may not maintain current good manufacturing practices (“cGMP”), successfully pass inspection or meet other applicable manufacturing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authorities may require us to exclude the use of patient data from unreliable clinical trials, or may not agree with our interpretation of the data from our preclinical trials and clinical trials;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collaboration partners may not perform or complete their clinical programs in a timely manner, or at all.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of these factors, many of which are beyond our control, could delay or jeopardize our or our collaboration partners’ abilities to obtain regulatory approval for our product candidates in one or more indications.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Even if we believe our clinical trials are successful, regulatory authorities may not agree that our completed clinical trials provide adequate data on safety or efficacy. Approval by one regulatory authority does not ensure approval by any other regulatory authority. For example, while we have received approval of our marketing authorization applications for roxadustat in the European Union, Great Britain, China, Japan, and other countries for the treatment of anemia in CKD for patients who are on dialysis and not on dialysis, we received a complete response letter in CKD anemia in the U.S. from the FDA regarding roxadustat’s New Drug Application for the treatment of anemia due to CKD, stating that it could not be approved in its present form. In addition, a failure or delay in obtaining regulatory approval in one country may have a negative effect on the regulatory process or commercial uptake in other countries.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of the foregoing scenarios could materially harm the commercial prospects for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Phase 1 and Phase 2 clinical trial results may not be indicative of the results that may be obtained in larger clinical trials.*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 For example, our Phase 3 clinical trials of pamrevlumab in idiopathic pulmonary fibrosis (“IPF”) and Duchenne muscular dystrophy (“DMD”) were unable to replicate the efficacy results we saw in smaller Phase 2 studies.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Many companies in the pharmaceutical and biotechnology industries have suffered significant setbacks in late-stage clinical trials after achieving positive results in early-stage development, and we may face similar setbacks.</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know whether our ongoing or planned clinical trials of roxadustat or pamrevlumab will need to be redesigned based on interim results or if we will be able to achieve sufficient patient enrollment or complete planned clinical trials on schedule.*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Clinical trials can be delayed, suspended, or terminated by us, by the relevant institutional review boards at the sites at which such trials are being conducted, or by the FDA or other regulatory authorities, for a variety of reasons or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 or failure to address any physician or patient safety concerns that arise during the course of the trial, including unforeseen safety issues or adverse side effects, or a principal investigator’s determination that a serious adverse event could be related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 or failure to obtain required regulatory or institutional review board approval or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 or failure to reach timely agreement on acceptable terms with prospective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 or failure to recruit, enroll and retain patients through the completion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patient recruitment, enrollment, or retention, or clinical site initiation or retention problems associated with the Severe Acute Respiratory Syndrome Coronavirus 2 and the resulting Coronavirus Disease (“COVID-19”) pandemic;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patient recruitment, enrollment, or retention, clinical site initiation, or retention problems associated with civil unrest or military conflicts around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 or failure to maintain clinical sites in compliance with clinical trial protocols or to conduct the clinical trial in accordance with regulatory requirements or our clinical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 or failure to initiate or add a sufficient number of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 or failure to manufacture sufficient quantities of product candidate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difficulty enrolling a sufficient number of patients to conduct our clinical trials as planned;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inspection of the clinical trial operations or trial site by the FDA or other regulatory authorities resulting in the imposition of a clinical hold, warning letter, or other regulatory 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laws or regulations.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availability of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size and nature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eligibility criteria for and design of the study in question;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ongoing clinical trials of competitive agents;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physicians’ and patients’ perceptions of the potential advantages of our product candidates being studied in relation to available therapies or other products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CRO’s and our trial sites’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patient referral practices of physicians;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ability to monitor patients and collect patient data adequately during and after treatment.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cause or have attributed to them undesirable side effects or have other properties that delay or prevent their regulatory approval or limit their commercial potential.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clinical trial development plan becoming longer and more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terminating some of our clinical trials for the product candidates or specific indications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authorities increasing the data and information required to approve our product candidates and imposing other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collaboration partners terminating our existing agreements.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occurrence of any or all of these events may cause the development of our product candidates to be delayed or terminated, which could materially and adversely affect our business and prospects.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trials of our product candidates may not uncover all possible adverse effects that patients may experience.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Clinical trials are conducted in representative samples of the potential patient population, which may have significant variability. Pamrevlumab is being studied in patient populations that are at high risk of death and adverse events, and even if unrelated to pamrevlumab, adverse safety findings in these trials may limit its further development or commercial potential.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erythropoiesis stimulating agents, for which safety concerns have been uncovered following approval by regulatory authorities. Such safety concerns have led to labeling changes or withdrawal of erythropoiesis stimulating agent products from the market. While roxadustat is chemically unique from erythropoiesis stimulating agents, it or any of our product candidates may be subject to known or unknown risks.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manufacturers or we cannot properly manufacture the appropriate volume of product, we may experience delays in development, regulatory approval, launch or successful commercialization.*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Completion of our clinical trials and commercialization of our products require access to, or development of, facilities to manufacture and manage our product candidates at sufficient yields, quality and at commercial scale. Although we have entered into commercial supply agreements for roxadustat and pamrevlumab, we will need to enter into additional commercial supply agreements, including for backup or second source third-party manufacturers. We may not be able to enter into these agreements with satisfactory terms or on a timely manner. In addition, we may experience delays or technical problems associated with technology transfer of manufacturing processes to any new suppliers.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have relatively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and customs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 particularly if the marketing authorization or market uptake is more rapid than anticipated or we have an unanticipated surge in demand.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have a limited amount of roxadustat and pamrevlumab in storage, limited capacity reserved at our third-party manufacturers, and, even if we have or are able to put sufficient supply agreements in place for our development and commercialization plan, there are long lead times required to manufacture and scale-up the manufacture of additional supply, as well as for raw materials and components for manufacture of our products, as required for both late-stage clinical trials, post-approval trials, and commercial supply. There is a general risk of delayed drug supply due to delays experienced by any third-party provider in the supply chain, including raw material and components suppliers, export and customs locations, and shipping companies. In addition, due to our withdrawal of our New Drug Application in the U.S. in CKD anemia, we may have excess supply manufactured in anticipation of commercialization. Such roxadustat excess supply could be wasted, for example, if it expires prior to being used in other clinical trials or prior to being used in other territories where such roxadustat formulation is approved. If we are unable to forecast, order or manufacture sufficient quantities of roxadustat or pamrevlumab on a timely basis, it may delay our development, launch or commercialization in some or all indications we are currently pursuing. Any delay or interruption in the supply of our product candidates or products could have a material adverse effect on our business and operations.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or our partners may add or change manufacturers, change our manufacturing processes, or change packaging specifications to accommodate changes in regulations, manufacturing equipment or to account for different processes at new or second source suppliers. Changes made to roxadustat or pamrevlumab including, but not limited to, demonstration of comparability to regulatory approved/ in approval products and processes, additional clinical trials, delays in development or commercialization, earlier expiration dates, shorter shelf life, or specification failures, may materially impact our operations and potential profitability.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and even an experienced third-party manufacturer, may encounter difficulties in production. Difficulties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costs and challenges associated with scale-up and attaining sufficient manufacturing yields, in particular for biologic products such as pamrevlumab, which is a monoclonal antibody;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contracting with additional suppliers and validation/qualification of additional facilities to meet growing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supply chain issues, including coordination of multiple contractors in our supply chain and securing necessary licenses (such as export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timely availability and shelf life requirements of raw materials and supplies, including delays in availability due to the COVID-19 pandemic;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limited stability and product shelf life;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equipment maintenance issues or failure;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quality control and quality assurance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shortages of qualified personnel and capital required to manufacture large quantities of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compliance with regulatory requirements that vary in each country where a product might be sold;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capacity or forecasting limitations and scheduling availability in contracted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natural disasters, such as pandemics, floods, storms, earthquakes, tsunamis, and droughts, or accidents such as fire, that affect facilities, possibly limit or postpone production, and increase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in transporting intermediates, active pharmaceutical ingredients (“API”) or finished products from one geography to another;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to obtain license to proprietary starting materials.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Even if we believe we have achieved positive clinical results, such as superiority or non-inferiority, in certain endpoints, populations or sub-populations, or using certain statistical methods of analysis, regulatory authorities conduct their own benefit-risk analysis and may reach different conclusions, using different statistical methods, different endpoints or definitions thereof, or different patient populations or sub-populations.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Regulatory authorities may approve one of our product candidates for fewer or more limited indications than we request or may grant approval contingent on the performance of costly post-approval clinical trials. While we have and will present to regulatory authorities certain pre-specified and post hoc (not pre-specified) sub-populations, sub-group, and sensitivity analyses (for example, incident dialysis), multiple secondary endpoints, and multiple sets of stratification factors and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substantial competition in the discovery, development and commercialization of product candidates.*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expect that in many cases, the products that we commercialize will compete with existing marketed products of companies that have large, established commercial organizations. We face competition from generics that could enter the market after expiry of our composition of matter patent. As of the end of the third quarter of 2023, the Chinese health authority has accepted abbreviated New Drug Applications for 12 generic roxadustat applicants.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we will likely face competition from other companies developing products in the same diseases or indications in which we are developing or commercializing products. We will also face competition for patient recruitment, enrollment for clinical trials.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Refer to Item 1. “</w:t>
      </w:r>
      <w:r>
        <w:rPr>
          <w:rFonts w:ascii="Times New Roman" w:hAnsi="Times New Roman"/>
          <w:b w:val="false"/>
          <w:i/>
          <w:color w:val="000000"/>
          <w:sz w:val="20"/>
        </w:rPr>
        <w:t>Business - Competition</w:t>
      </w:r>
      <w:r>
        <w:rPr>
          <w:rFonts w:ascii="Times New Roman" w:hAnsi="Times New Roman"/>
          <w:color w:val="000000"/>
          <w:sz w:val="20"/>
        </w:rPr>
        <w:t xml:space="preserve">” </w:t>
      </w:r>
      <w:r>
        <w:rPr>
          <w:rFonts w:ascii="Times New Roman" w:hAnsi="Times New Roman"/>
          <w:b w:val="false"/>
          <w:color w:val="000000"/>
          <w:sz w:val="20"/>
        </w:rPr>
        <w:t>in our 2022 Form 10-K for a discussion of the specific companies that are on the market or in late-stage development with which we may compete.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success of any or all of these potential competitive products may negatively impact the development and potential for success of our products.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Moreover, many of our competitors have significantly greater resources than we do. Large pharmaceutical companies have extensive experience, greater scale, and efficiency, in clinical testing, obtaining regulatory approvals, recruiting patients, manufacturing pharmaceutical products, and commercialization. If our collaboration partners and we are not able to compete effectively against existing and potential competitors, our business and financial condition may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not achieve adequate market acceptance among physicians, patients, healthcare payors, and others in the medical community necessary for commercial success.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efficacy of the product candidate as demonstrated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safety profile and perceptions of safety of our product candidates relative to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acceptance of the product candidate as a safe and effective treatment by healthcare providers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clinical indications for which the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potential and perceived advantages of the product candidate over alternative treatments, including any similar generic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inclusion or exclusion of the product candidate from treatment guidelines established by various physician groups and the viewpoints of influential physicians with respect to the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 of the product candidate relative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adequate pricing and reimbursement by third parties and government authorities as described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frequency and severity of adverse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effectiveness of sales and marketing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unfavorable publicity relating to the product candidate.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see the risk factor titled “</w:t>
      </w:r>
      <w:r>
        <w:rPr>
          <w:rFonts w:ascii="Times New Roman" w:hAnsi="Times New Roman"/>
          <w:b w:val="false"/>
          <w:i/>
          <w:color w:val="000000"/>
          <w:sz w:val="20"/>
        </w:rPr>
        <w:t>Our product candidates may cause or have attributed to them undesirable side effects or have other properties that delay or prevent their regulatory approval or limit their commercial potential</w:t>
      </w:r>
      <w:r>
        <w:rPr>
          <w:rFonts w:ascii="Times New Roman" w:hAnsi="Times New Roman"/>
          <w:color w:val="000000"/>
          <w:sz w:val="20"/>
        </w:rPr>
        <w:t xml:space="preserve">” </w:t>
      </w:r>
      <w:r>
        <w:rPr>
          <w:rFonts w:ascii="Times New Roman" w:hAnsi="Times New Roman"/>
          <w:b w:val="false"/>
          <w:color w:val="000000"/>
          <w:sz w:val="20"/>
        </w:rPr>
        <w:t>above. If any product candidate is approved but does not achieve an adequate level of acceptance by such parties, we may not generate or derive sufficient revenue from that product candidate and may not become or remain profitable.</w:t>
      </w:r>
    </w:p>
    <w:p>
      <w:pPr>
        <w:pStyle w:val="TextBody"/>
        <w:bidi w:val="0"/>
        <w:spacing w:before="360" w:after="283"/>
        <w:jc w:val="left"/>
        <w:rPr>
          <w:rFonts w:ascii="Times New Roman" w:hAnsi="Times New Roman"/>
          <w:sz w:val="20"/>
        </w:rPr>
      </w:pPr>
      <w:r>
        <w:rPr>
          <w:rFonts w:ascii="Times New Roman" w:hAnsi="Times New Roman"/>
          <w:b/>
          <w:i/>
          <w:color w:val="000000"/>
          <w:sz w:val="20"/>
        </w:rPr>
        <w:t>No or limited reimbursement or insurance coverage of our approved products, by third-party payors may render our products less attractive to patients and healthcare providers.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covered benefit under applicable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neither experimental nor investigational.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For example, our current National Reimbursement Drug List reimbursement pricing for China is effective for a standard two-year period (between January 1, 2022 to December 31, 2023), after which time we will have to renegotiate a new price for roxadustat.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collaborations were terminated or if our partners were unwilling or unable to contribute or participate in the collaborations, our ability to successfully develop and commercialize the relevant product candidate would suffer.*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entered into an Evaluation Agreement with Fortis Therapeutics, Inc. (“Fortis”) under which we rely, in part, on Fortis and its development partners, including UCSF, for the continued development of FOR46 (now referred to as “FG-3246”). While we control development of FG-3246 during the up to 4-year evaluation period, we will be doing so under Fortis’s investigational new drug application. If Fortis was unable or unwilling to continue their development efforts, our ability to develop FG-3246 would be delayed.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rely on the Pancreatic Cancer Action Network (“PanCAN”) to run its Precision Promise</w:t>
      </w:r>
      <w:r>
        <w:rPr>
          <w:rFonts w:ascii="Times New Roman" w:hAnsi="Times New Roman"/>
          <w:b w:val="false"/>
          <w:color w:val="000000"/>
          <w:sz w:val="16"/>
        </w:rPr>
        <w:t>SM</w:t>
      </w:r>
      <w:r>
        <w:rPr>
          <w:rFonts w:ascii="Times New Roman" w:hAnsi="Times New Roman"/>
          <w:color w:val="000000"/>
          <w:sz w:val="20"/>
        </w:rPr>
        <w:t xml:space="preserve"> </w:t>
      </w:r>
      <w:r>
        <w:rPr>
          <w:rFonts w:ascii="Times New Roman" w:hAnsi="Times New Roman"/>
          <w:b w:val="false"/>
          <w:color w:val="000000"/>
          <w:sz w:val="20"/>
        </w:rPr>
        <w:t>Phase 2/3 registration study in metastatic pancreatic cancer. While this study includes pamrevlumab in combination with standard of care chemotherapy, we do not run this study and have very little control over the way it is conducted. Therefore pamrevlumab’s success in this indication is highly dependent on PanCAN’s ability and willingness to run the Precision Promise study. We are also dependent on PanCAN providing sufficient data for us to analyze and, if successful, submit for marketing authorization to the appropriate regulatory authorities.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have also entered into collaboration agreements with respect to the development and commercialization of roxadustat with Astellas Pharma Inc. (“Astellas”) and AstraZeneca. These agreements provide for reimbursement of our development costs by our collaboration partners and also provide for commercialization of roxadustat throughout the major territories of the world.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In addition, each of those agreements provides our respective partners the right to terminate any of those agreements upon written notice for convenience.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commercialize roxadustat could suffer.</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While we continue to co-commercialize roxadustat in China with AstraZeneca and develop roxadustat in China in CIA, it is probable that our U.S./Rest of World Collaboration Agreement with AstraZeneca will be terminated now that we have withdrawn our NDA in the U.S. for CKD anemia. In addition, if our collaboration partners are unsuccessful in their commercialization efforts (particularly in Europe and China), our results will be negatively affected.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and could impact our commercial results.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preclinical and clinical trial contractors do not properly perform their agreed upon obligations, we may not be able to obtain or may be delayed in receiving regulatory approvals for our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rely heavily on university, hospital,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We expect to continue to rely on CROs, clinical data management organizations, medical institutions and clinical investigators to conduct our development efforts in the future. We compete with many other companies for the resources of these third parties, and other companies may have significantly more extensive agreements and relationships with such third-party providers, and such third-party providers may prioritize these relationships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Despite our reliance on third parties for certain development and management activities, such as clinical trials, we, as the sponsor, remain responsible for ensuring that these activities are conducted in accordance with the FDA and foreign regulatory authorities’ investigational plans and protocols, including GCP requirements. Regulatory enforcement of GCP requirements can occur through periodic inspections of trial sponsors, principal investigators, and trial sites.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To ensure the quality and accuracy of our data remains uncompromised and reliable, our third-party service providers must comply with applicable GCP requirements, regulations, protocols, and agreements. Failures to do so by such third-party partners, or needing to replace such third-party service providers, may delay, suspend or terminate development of our product candidates, result in exclusion of patient data from approval applications, or require additional clinical trials before approval of marketing applications. Such events may ultimately prevent regulatory approval for our product candidates on a timely basis, at a reasonable cost, or at all.</w:t>
      </w:r>
    </w:p>
    <w:p>
      <w:pPr>
        <w:pStyle w:val="TextBody"/>
        <w:bidi w:val="0"/>
        <w:spacing w:before="360" w:after="283"/>
        <w:jc w:val="left"/>
        <w:rPr>
          <w:rFonts w:ascii="Times New Roman" w:hAnsi="Times New Roman"/>
          <w:sz w:val="20"/>
        </w:rPr>
      </w:pPr>
      <w:r>
        <w:rPr>
          <w:rFonts w:ascii="Times New Roman" w:hAnsi="Times New Roman"/>
          <w:b/>
          <w:i/>
          <w:color w:val="000000"/>
          <w:sz w:val="20"/>
        </w:rPr>
        <w:t>We currently rely, and expect to continue to rely, on third parties to conduct many aspects of our product manufacturing and distribution, and these third parties may terminate these agreements or not perform satisfactorily.*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do not have operating manufacturing facilities at this time other than our roxadustat manufacturing facilities in China. We currently rely, and expect to continue to rely, on third parties to scale-up, manufacture and supply roxadustat and our other product candidates for drug product in Europe and other countries, and on our partner Astellas for drug product in Japan.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reduced control and additional burdens of oversight as a result of using third-party manufacturers and distributors for all aspects of manufacturing activities, including regulatory compliance and quality control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termination of manufacturing agreements, termination fees associated with such termination, or nonrenewal of manufacturing agreements with third parties may negatively impact our planned development and commercialization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significant financial commitments we may be required to make with third-party manufacturers for early-stage clinical or pre-clinical programs that may fail to produce scientific results that would justify further development (without the ability to mitigate the manufacturing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possible misappropriation of our proprietary technology, including our trade secrets and know-how;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disruptions to the operations of our third-party manufacturers, distributors or suppliers unrelated to our product, including the merger, acquisition, or bankruptcy of a manufacturer or supplier or a catastrophic event, affecting our manufacturers, distributors or suppliers.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Considering we do not control our contract manufacturers’ facilities and operations used to manufacture our product candidates, but are still responsible for cGMP adherence, if our contract manufacturers cannot successfully manufacture material that conforms to our or our collaboration partners’ specifications, or the regulatory requirements, our development and commercialization plans and activities may be adversely affected. Although our longer-term agreements are expected to provide for requirements to meet our quantity and quality requirements (e.g., through audit rights) to manufacture our products candidates for clinical studies and commercial sale, we have limited or minimal direct control over the ability of our contract manufacturers to maintain adequate quality control, quality assurance and qualified personnel. If our contract manufacturers’ facilities do not pass inspection, are not approved or have their approvals withdrawn by regulatory authorities,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legal sanctions/penalties being imposed on us or adverse regulatory consequences, which would be expected to significantly and adversely affect our product supplies.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any third-party manufacturers terminate their engagements with us or fail to perform as agreed, we may be required to identify, qualify, and contract with replacement manufacturers (including entering into technical transfer agreements to share know-how), which process may result in significant costs and delays to our development and commercialization programs.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have shortfalls, delays, or excesses in manufacturing.*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entered into an initial commercial supply agreement for the manufacture of pamrevlumab with Samsung Biologics Co., Ltd. (“Samsung”).</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have made certain manufacturing commitments to Samsung, and there is a contractual risk we will not require the quantities of pamrevlumab we have committed to, particularly if we cease our final pamrevlumab clinical trials in pancreatic cancer, such as we did for our ZEPHYRUS-2 study and LELANTOS studies, as well as open label extensions for IPF and DMD indications. We may also not require quantities of pamrevlumab we have prepared for launch supply (for example for the above studies).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 We also carry the risk that we may need to pay termination fees to Samsung or other manufacturers in the event that we have to manufacture lower volumes or not at all depending on the results of our clinical trials. We may be subject to payments to Samsung to cover for committed manufacturing campaigns even if we do not need the material for clinical or commercial usage. In addition, third party manufacturers tend to change their upfront fees or postponement/cancelation fees over time or upon initiation of additional contracts, and this may lead to unanticipated financial loss for FibroGen.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There may also be additional delays in importing or exporting products, intermediates, or raw materials between countries.</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components of our products are acquired from single-source suppliers or without long-term supply agreements. The loss of these suppliers, or their failure to supply, would materially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do not have an alternative supplier of certain components of our commercial products and product candidates. While we have obligations for second-source suppliers in our roxadustat collaboration agreements, we may be unable to enter into long-term commercial supply arrangements for some of our other products, or do so on commercially reasonable terms, which could have a material adverse impact upon our business. Although we have entered into long-term clinical and commercial supply arrangements for pamrevlumab, we currently rely on our contract manufacturers to purchase from third-party suppliers some of the materials necessary to produce our product candidates. We do not have direct control over the acquisition of those materials by our contract manufacturers.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API, and drug product to meet our and our collaboration partners’ needs to date, the lead-time and regulatory approvals required to source from and into countries outside of the U.S. increase the risk of delay and potential shortages of supply.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efforts to protect our proprietary technologies are not adequate, we may not be able to compete effectively in our market.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proprietary information or technology could compromise our competitive position. Moreover, we are, have been, and may in the future be involved in legal proceedings involving our intellectual property and initiated by third parties, which proceedings can be associated with significant costs and commitment of management time and attention.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have in the past been involved,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Biotechnology and pharmaceutical product patents involve highly complex legal and scientific questions and can be uncertain. Any patent applications we own or license may fail to result in granted or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to the protection afforded by patents, we seek to rely on trade secret protection and confidentiality agreements to protect proprietary know-how, information, or technology that is not covered by our patents. Although our agreements require employees to acknowledge ownership by us of inventions conceived as a result of employment from the point of conception and, to the extent necessary, perfect such ownership by assignment, and we require employees, consultants, advisors and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cannot prevent unauthorized disclosure of our intellectual property related to our product candidates and technology to third parties, we may not establish or maintain a competitive advantage in our market, which could materially and adversely affect our business and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disputes may be costly, time consuming, and may negatively affect our competitive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commercial success may depend on our avoiding infringement of the patents and other proprietary rights of third parties as well as on enforcing our patents and other proprietary rights against third parties.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Third parties have challenged and may again challenge our patents and patent applications. For example, various challenges against our hypoxia-inducible factor anemia-related technologies patent portfolio are ongoing in several territories, including Europe, the United Kingdom, and Japan. Regardless of final outcome, the potential narrowing or revocation of any of the hypoxia-inducible factor anemia-related technology patents does not affect our exclusivity for roxadustat or our freedom-to-operate with respect to use of roxadustat for the treatment of anemia in these or other territories.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Oppositions were filed against European Patent Nos. 2872488 (the “`488 Patent”) and 3470397 (the “`397 Patent”), which claims relate to a crystalline form of roxadustat, and against European Patent No. 3003284 (the “`284 Patent”), which claims photostable formulations of roxadustat. Similar challenges have been filed in China against patents which claim a crystalline form of roxadustat. Final resolution of such proceedings will take time, and we cannot be assured that these patents will ultimately survive as originally granted or at all.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reliance on third parties and agreements with collaboration partners requires us to share our trade secrets, which increases the possibility that a competitor may discover them or that our trade secrets will be misappropriated or disclosed.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cost of maintaining our patent protection is high and requires continuous review and diligence. We may not be able to effectively maintain our intellectual property position throughout the major markets of the world.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The laws of some foreign countries do not protect proprietary rights to the same extent as do the laws of the U.S., and we may encounter significant problems in securing and defending our intellectual property rights outside the U.S.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address all potential threats to any competitive advantage we may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Others may be able to make compounds or independently develop similar or alternative technologies that are the same as or similar to our current or future product candidates but that are not covered by the claims of the patents that we own or have exclusively licensed.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Patent protection on our product candidates may expire before we are able to develop and commercialize the product, or before we are able to recover our investment in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existence of counterfeit pharmaceutical products in pharmaceutical markets may compromise our brand and reputation and have a material adverse effect on our business, operations and prospects.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regulatory approval process is highly uncertain and we may not obtain regulatory approval for our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time required to obtain approval by the FDA and comparable foreign regulatory authorities is unpredictable, but typically takes many years following the commencement of preclinical studies and clinical trials and depends upon numerous factors. In addition, approval policies, regulations, or the type and amount of clinical data necessary to gain approval may change during the course of a product candidate’s clinical development and may vary among jurisdictions. For example, while we have received approval of our marketing authorization applications for roxadustat in the European Union, Great Britain, China, Japan, and other countries for the treatment of anemia in CKD for patients who are on dialysis and not on dialysis, we received a complete response letter for roxadustat in CKD anemia in the U.S. from the FDA. It is possible that roxadustat will not obtain regulatory approval in additional countries or indications. It is possible that our other product candidates we may discover, in-license or acquire and seek to develop in the future, will not obtain regulatory approval in any particular jurisdiction.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 the federal Anti-Kickback Statute; federal civil and criminal false claims laws and civil monetary penalty laws; the Health Insurance Portability and Accountability Act, including as amended by Health Information Technology for Economic and Clinical Health Act, and its implementing regulations; the federal physician sunshine requirements under the Patient Protection and Affordable Care Act, as amended by the Health Care and Education Reconciliation Act; and the Trade Agreement Act. In addition, 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our operations are found to be in violation of any of such laws or any other governmental regulations that apply to us, we may be subject to significant penalties, including administrative, civil and criminal penalties, damages, fines, disgorgement, the curtailment or restructuring of our operations, the exclusion from participation in federal and state healthcare programs and imprisonment, any of which could materially adversely affect our ability to operate our business and our financial results.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r>
        <w:rPr>
          <w:rFonts w:ascii="Times New Roman" w:hAnsi="Times New Roman"/>
          <w:b w:val="false"/>
          <w:color w:val="000000"/>
          <w:sz w:val="2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ordinary course of business, we collect, receive, store, process, generate, use, transfer, disclose, make accessible, protect, secure, dispose of, transmit, and share confidential, proprietary, and sensitive information, including personal information, business data, trade secrets, intellectual property, information we collect about trial participants in connection with clinical trials, sensitive third-party data, business plans, transactions, and financial information.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In the U.S., there are State data privacy and security laws, including data breach notification laws, personal data privacy laws, consumer protection laws (e.g., Section 5 of the Federal Trade Commission Act), and the Federal Health Insurance Portability and Accountability Act, and other similar laws (e.g., wiretapping laws). For example, the California Consumer Privacy Act of 2018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expands the CCPA’s requirements, including by adding a new right for individuals to correct their personal data and establishing a new regulatory agency to implement and enforce the law.</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Outside the U.S., laws, regulations, and industry standards govern data privacy and security. For example, the European Union’s General Data Protection Regulation (“GDPR”), the United Kingdom (“UK’s) GDPR, Brazil’s General Data Protection Law (Lei Geral de Proteção de Dados Pessoais) (Law No. 13,709/2018), and China’s Personal Information Protection Law impose strict requirements for processing personal data, including health-related information. For example, under the European Union GDPR, companies may face fines of up to 20 million Euros or 4% of annual global revenue, whichever is greater; or private litigation related to processing of personal data. We also target customers in Asia and have operations in China and are subject to the data privacy laws in Asia, including China’s Personal Information Protection Law, Japan’s Act on the Protection of Personal Information, and Singapore’s Personal Data Protection Act.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Although there are currently various mechanisms that may be used to transfer personal data from the EEA and UK to the U.S. in compliance with law, such as the EEA and UK’s standard contractual clauses, these mechanisms are subject to legal challenges. Additionally, companies that transfer personal data out of the EEA and UK to other jurisdictions are subject to scrutiny from regulators, individual litigants, and activities groups.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Preparing for and complying with these obligations requires us to devote resources and may necessitate changes to our services, information technologies, systems, and practices and to those of any third parties that process personal data on our behalf.</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laws and regulations governing corruption, which require us to maintain costly compliance programs.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must comply with a wide range of laws and regulations to prevent corruption, bribery, and other unethical business practices, including the U.S. Foreign Corrupt Practices Act (“FCPA”), anti-bribery and anti-corruption laws in other countries, particularly China. The implementation and maintenance of compliance programs is costly and such programs may be difficult to enforce, particularly where reliance on third parties is required.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Considering our current presence and potential expansion in international jurisdictions, the creation, implementation, and maintenance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U.S. Securities and Exchange Commission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it may result in material misstatements in our financial statements.*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Efforts required to remediate an ineffective system of control over financial reporting may place a significant burden on management and add increased pressure on our financial resources and processes. Moreover, we implemented an enterprise resource planning (“ERP”) system in the first quarter of 2023, which replaced our existing operating and financial systems, to improve the efficiency of certain financial and transactional processes. However, there is an increased risk that changing controls may be ineffective during the implementation and this ERP system may place additional burden on employees to learn and adapt our processes to effectively operate under the ERP system. If the ERP system does not operate as intended, the effectiveness of our internal control over financial reporting could be negatively impacted. If we experience material weaknesses or otherwise fail to maintain an effective system of internal control over financial reporting, the accuracy and timing of our financial reporting and subsequently our liquidity and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w:t>
      </w:r>
    </w:p>
    <w:p>
      <w:pPr>
        <w:pStyle w:val="TextBody"/>
        <w:bidi w:val="0"/>
        <w:spacing w:before="360" w:after="283"/>
        <w:jc w:val="left"/>
        <w:rPr>
          <w:rFonts w:ascii="Times New Roman" w:hAnsi="Times New Roman"/>
          <w:sz w:val="20"/>
        </w:rPr>
      </w:pPr>
      <w:r>
        <w:rPr>
          <w:rFonts w:ascii="Times New Roman" w:hAnsi="Times New Roman"/>
          <w:b/>
          <w:i/>
          <w:color w:val="000000"/>
          <w:sz w:val="20"/>
        </w:rPr>
        <w:t>The impact of U.S. healthcare reform may adversely affect our business model.</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that included multiple provisions aimed at prescription drugs. In response to Biden’s executive order, on September 9, 2021, the U.S. Department of Health and Human Services (“HHS”) released a Comprehensive Plan for Addressing High Drug Prices that outlines principles for drug pricing reform. The plan sets out a variety of potential legislative policies that Congress could pursue as well as potential administrative actions the HHS can take to advance these principles. In addition,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Further, the IRA (1) directs the HHS to negotiate the price of certain single-source drugs or biologics covered under Medicare, and (2) imposes rebates under Medicare Part B and Medicare Part D to penalize price increases that outpace inflation. These provisions will take effect progressively starting in fiscal year 2023, although the Medicare drug price negotiation program is currently subject to legal challenges. The HHS has and will continue to issue and update guidance as these programs are implemented. It is currently unclear how the IRA of 2022 will be implemented but is likely to have a significant impact on the pharmaceutical industry. Further, the Biden administration released an additional executive order on October 14, 2022, directing the HHS to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Roxadustat is considered a Class 2 substance on the 2019 World Anti-Doping Agency Prohibited List that could limit sales and increase security and distribution costs for our partners and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may engage in misconduct or improper activities, which could result in significant liability or harm our reputation.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exposed to the risk of employee fraud or other misconduct, including intentional failure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comply with FDA regulations or similar regulations of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provide accurate information to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comply with manufacturing standards we have established;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comply with data privacy and security laws protecting personal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comply with federal and state healthcare fraud and abuse laws and regulations and similar laws and regulations established and enforced by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comply with the FCPA and other anti-bribery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report financial information or data accurately;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disclose unauthorized activities to us.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or safety laws and regulations, we could incur fines, penalties or other costs.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International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established operations in China and are seeking approval to commercialize our product candidates outside of the U.S., and a number of risks associated with international operations could materially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number of risks related to our international operations, many of which may be beyond our control, include: different regulatory requirements in different countries, including for drug approvals, manufacturing, and distribution; potential liability resulting from development work conducted by foreign distributors; economic weakness, including inflation, or foreign currency fluctuations, which could result in increased operating costs and expenses and reduced revenues, and other obligations incident to doing business in another country; workforce uncertainty in countries where labor unrest is more common than in the U.S.; compliance with tax, employment, immigration and labor laws for employees living or traveling abroad; political instability in particular foreign economies and markets; and business interruptions resulting from geopolitical actions specific to an international region, including war and terrorism, natural disasters, or pandemics.</w:t>
      </w:r>
    </w:p>
    <w:p>
      <w:pPr>
        <w:pStyle w:val="TextBody"/>
        <w:bidi w:val="0"/>
        <w:spacing w:before="360" w:after="283"/>
        <w:jc w:val="left"/>
        <w:rPr>
          <w:rFonts w:ascii="Times New Roman" w:hAnsi="Times New Roman"/>
          <w:sz w:val="20"/>
        </w:rPr>
      </w:pPr>
      <w:r>
        <w:rPr>
          <w:rFonts w:ascii="Times New Roman" w:hAnsi="Times New Roman"/>
          <w:b/>
          <w:i/>
          <w:color w:val="000000"/>
          <w:sz w:val="20"/>
        </w:rPr>
        <w:t>The pharmaceutical industry in China is highly regulated and such regulations are subject to change.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The China-operations portion of our audit is conducted by PricewaterhouseCoopers Zhong Tian LLP, an independent registered public accounting firm headquartered in China.*</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majority of audit work incurred for the audit report included in the 2022 Form 10-K was performed by the U.S.-based independent registered public accounting firm we have retained, PricewaterhouseCoopers LLP, which is headquartered in the U.S. and was not identified in the report issued by the PCAOB on December 16, 2021.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However, we estimate that between 30% and 40% of the total audit hours for our December 31, 2022 audit were provided by PricewaterhouseCoopers Zhong Tian LLP.</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December 18, 2020, the Holding Foreign Companies Accountable Act (the “HFCAA”) was signed into law. The HFCAA requires that the SEC identify issuers that retain an auditor that has a branch or office that is located in a foreign jurisdiction and that the PCAOB determines it is unable to inspect or investigate completely because of a position taken by an authority in that foreign jurisdiction. Among other things, the HFCAA requires the SEC to prohibit the securities of any issuer from being traded on any of the U.S. national securities exchanges, such as The Nasdaq Global Select Market, or on the U.S. “over-the-counter” markets, if the auditor of the issuer’s financial statements is not subject to PCAOB inspections for three consecutive “non-inspection” years after the law became effective. On December 29, 2022, the Accelerating Holding Foreign Companies Accountable Act (the “AHFCAA”) signed into law as part of a package of bills reduced the number of consecutive non-inspection years required for triggering the listing and trading prohibitions under the HFCA Act from three years to two years.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December 2, 2021, the SEC adopted final amendments to its rules implementing the HFCAA and established procedures to identify issuers and prohibit the trading of the securities of certain registrants as required by the HFCAA. This rule stated that only the principal accountant, as defined by Rule 2-05 of Regulation S-X and PCAOB AS 1205, is “deemed ‘retained’ for purposes of Section 104(i) of the Sarbanes-Oxley Act and the Commission’s determination of whether the registrant should be a Commission Identified Issuer.” The principal accountant, as defined, that we have retained is PricewaterhouseCoopers LLP. The HFCAA does not apply to registrants that retain a principal accountant that is headquartered in the U.S. and subject to PCAOB inspection. Accordingly, the HFCAA does not currently apply to us.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Although the PCAOB issued a report on December 16, 2021 on its determination that it was unable to inspect or investigate completely PCAOB-registered accounting firms headquartered in China and in Hong Kong, on December 15, 2022, it announced that it was able to conduct inspections and investigations of such accounting firms in 2022 and vacated its previous 2021 determinations accordingly. While vacating those determinations, however, the PCAOB noted that, should it encounter any impediment to conducting an inspection or investigation of auditors in mainland China or Hong Kong as a result of a position taken by any authority there, the PCAOB would act to immediately reconsider the need to issue new determinations consistent with the HFCAA and PCAOB’s Rule 6100.</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our operations fundamentally change in a way that requires our independent registered public accounting firm be located in China or Hong Kong in order to comply with the standards of the PCAOB regarding principal auditor then the HFCAA would apply to us, including the potential delisting from The Nasdaq Global Select Market and prohibition from trading in the over-the counter market in the U.S. Such a restriction would negatively impact our ability to raise capital. We view the likelihood to be remote that our operations will fundamentally change so as to require our principal auditor to be located in China or Hong Kong. Additionally, it is possible that in the future Congress could amend the HFCAA or the SEC could modify its regulations to apply the restrictions, including trading prohibitions and delisting, under the HFCAA in situations in which an independent registered public accounting firm in China or Hong Kong performs part of the audit such as in our current situation. There are currently no such proposals.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Inspections of auditors conducted by the PCAOB in territories outside of China have at times identified deficiencies in those auditors’ audit procedures and quality control procedures, which may be addressed as part of the inspection process to improve future audit quality. In the future, should PCAOB encounter any impediment to continue conducting an inspection of audit work undertaken in China, including by PricewaterhouseCoopers Zhong Tian LLP, it could prevent the PCAOB from evaluating the effectiveness of such audits and such auditors’ quality control procedures. As a result, investors could be deprived of the potential benefits of such PCAOB inspections for this portion of our audit, which could cause investors and potential investors in our common stock to lose confidence in the audit procedures conducted by our U.S. auditor’s China-based subsidiary, which may negatively impact investor sentiment towards us or our China operations, which in turn could adversely affect the market price of our common stock.</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U.S. and China relations, as well as relations with other countries, and/or regulations may adversely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U.S. government, including the SEC, has made statements and taken certain actions that have led to changes to U.S. and international relations, and will impact companies with connections to the U.S.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We conduct contract manufacturing and development activities and have business operations both in the U.S. and China. Any unfavorable government policies on cross-border relations and/or international trade, including increased scrutiny on companies with significant China-based operations, capital controls or tariffs, may affect the competitive position of our drug products, the hiring of scientists and other research and development personnel, the demand for our drug products, the import or export of products and product components, our ability to raise capital, the market price of our common stock, or prevent us from commercializing and selling our drug products in certain countries.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 In addition, our periodic reports and other filings with the SEC may be subject to enhanced review by the SEC and this additional scrutiny could affect our ability to effectively raise capital in the U.S.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two manufacturing facilities in China, with one located in Beijing and the other in Cangzhou, Hebei.</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will be obligated to comply with continuing cGMP requirements and there can be no assurance that we will maintain all of the appropriate licenses required to manufacture our product candidates for clinical and commercial use in China. In addition, our product suppliers and we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Manufacturing facilities in China are subject to periodic unannounced inspections by the National Medical Products Administration and other regulatory authorities. We expect to depend on these facilities for our product candidates and business operations in China, and we do not yet have a secondary source supplier for either roxadustat API or drug product in China. Consequently, we also carry single source supplier risk for all countries we or our partners are selling in, other than China. Natural disasters or other unanticipated catastrophic events, including power interruptions, water shortages, storms, fires, pandemics, earthquakes, terrorist attacks, government appropriation of our facilities, and wars, could significantly impair our ability to operate our manufacturing facilities. Further, the climate of geopolitical tensions in China affecting global supply chains may impact our ability to continually meet market demand. Certain equipment, records and other materials located in these facilities would be difficult to replace or would require substantial replacement lead-time that would impact our ability to successfully commercialize our product candidates in China. The occurrence of any such event could materially and adversely affect our business, financial condition, results of operations, cash flows and prospects.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experience difficulties in successfully growing and sustaining sales of roxadustat in China.</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AstraZeneca and we have a profit-sharing arrangement with respect to roxadustat in China and any difficulties we may experience in growing and sustaining sales will affect our bottom line. Difficulties may be related to competition and our ability to maintain reasonable pricing and reimbursement, obtain and maintain hospital listing, or other difficulties related to distribution, marketing, and sales efforts in China. Our current National Reimbursement Drug List reimbursement pricing is effective for a standard two-year period (between January 1, 2022 to December 31, 2023), after which time we will have to negotiate a new price for roxadustat. Sales of roxadustat in China may ultimately be limited due to the complex nature of the healthcare system, low average personal income, pricing controls, still developing infrastructure and potentially rapid competition from other products.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retail prices of any product candidates that we develop will be subject to pricing control in China and elsewhere.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FibroGen (China) Medical Technology Development Co., Ltd. (“FibroGen Beijing”) would be subject to restrictions on paying dividends or making other payments to us, which may restrict our ability to satisfy our liquidity requirements.*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plan to conduct all of our business in China through FibroGen China Anemia Holdings, Ltd., FibroGen Beijing and its branch offices, and our joint venture distribution entity, Beijing Falikang Pharmaceutical Co., Ltd. (“Falikang”). We may in the future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applicable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September 30, 2023, approximately $60.1 million of our cash and cash equivalents is held in China.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capital contributions from us to FibroGen Beijing must be approved by the Ministry of Commerce in China, and failure to obtain such approval may materially and adversely affect the liquidity position of FibroGen Beijing.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or find suitable financing alternatives within China to fund our Chinese operations, and the liquidity and financial position of FibroGen Beijing may be materially and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currency exchange rate fluctuations and currency exchange restrictions with respect to our operations in China as well as our partner</w:t>
      </w:r>
      <w:r>
        <w:rPr>
          <w:rFonts w:ascii="Times New Roman" w:hAnsi="Times New Roman"/>
          <w:color w:val="000000"/>
          <w:sz w:val="20"/>
        </w:rPr>
        <w:t>’</w:t>
      </w:r>
      <w:r>
        <w:rPr>
          <w:rFonts w:ascii="Times New Roman" w:hAnsi="Times New Roman"/>
          <w:b/>
          <w:i/>
          <w:color w:val="000000"/>
          <w:sz w:val="20"/>
        </w:rPr>
        <w:t>s operations in Japan and Europe, which could adversely affect our financial performance.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Most of our and our partner’s product sales will occur in local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Renminbi, Euro or Yen against the U.S. dollar and other currencies are affected by, among other things, changes in political and economic conditions. Any significant currency exchange rate fluctuations may have a material adverse effect on our business and financial condition.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the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FibroGen Beijing’s funds are held in banks that do not provide insurance, the failure of any bank in which FibroGen Beijing deposits its funds could adversely affect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tax inefficiencies associated with our offshore corporate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For example, the Biden administration has proposed to increase the U.S. corporate income tax rate from 21%, increase the U.S. taxation of our international business operations and impose a global minimum tax, although the recently enacted Inflation Reduction Act of 2022 omitted to include any of these proposals but included only a minimum tax on certain large corporations and a tax on certain repurchases of stock on the corporations doing those repurchases. Such proposed changes, as well as regulations and legal decisions interpreting and applying these changes, may adversely impact our effective tax rate.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December 22, 2017, the Tax Cuts and Jobs Act (Tax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Our foreign operations, particularly those in China, are subject to significant risks involving the protection of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Uncertainties with respect to the China legal system and regulations could have a material adverse effect on us.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legal system of China is a civil law system primarily based on written statutes. Our financial condition and results of operations may be adversely affected by government control, perceived government interference and/or changes in tax, cyber and data security, capital investments, cross-border transactions and other regulations that are currently or may in the future be applicable to us. In 2022,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our ability to operate our business, our liquidity and our access to capital.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Furthermore, new laws or regulations may be passed, in some cases with little advance notice, that affect the way we or our collaboration partner do business in China (including the manufacture, sale, or distribution of roxadustat in China). Our business may be affected if we rely on laws and regulations that are subsequently adopted or interpreted in a manner different from our understanding of these laws and regulations. Navigating the uncertainty and change in the China legal and regulatory systems will require the devotion of significant resources and time, and there can be no assurance that our contractual and other rights will ultimately be maintained or enforced.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China’s economic, governmental, or social conditions could have a material adverse effect on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additional Chinese requirements, approvals or permissions in the future.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incorporated in the state of Delaware. To operate our general business activities currently conducted in China, each of our Chinese subsidiaries (and our joint venture with AstraZeneca, Falikang) is required to and does obtain a business license from the local counterpart of the State Administration for Market Regulation. Such business licenses list the business activities we are authorized to carry out and we would be noncompliant if we act outside of the scope of business activities set forth under the relevant business license.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Due to China’s regulatory framework in general and for the pharmaceutical industry specifically, we are required to apply for and maintain many approvals or permits specific to many of our business activities, including but not limited to manufacturing, distribution, environment protection, workplace safety, cybersecurity, from both national and local government agencies. For example, FibroGen Beijing is required to maintain a Drug Product Production Permit that allows it to manufacture API and roxadustat capsules. Falikang, our joint venture with AstraZeneca, is required to maintain a Drug Product Distribution Permit in order to be able to distribute our drug product roxadustat in China. For certain of our clinical trials conducted in China, we need to obtain, through the clinical sites, permits from the Human Genetic Resources Administration of China to collect samples that include human genetic resources, such as blood samples.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may also be required to obtain certain approvals from Chinese authorities before transferring certain scientific data abroad or to foreign parties or entities established or actually controlled by them.</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None of our subsidiaries or our joint venture in China are required to obtain approval or prior permission from the China Securities Regulatory Commission, Cyberspace Administration of China, or any other Chinese regulatory authority under the Chinese laws and regulations currently in effect to issue securities to our investors. However, the approvals and permits we do have to comply with are numerous and there are uncertainties with respect to the Chinese legal system and changes in laws, regulations and policies, including how those laws and regulations will be interpreted or implemented. For further information, see the risk factor titled “</w:t>
      </w:r>
      <w:r>
        <w:rPr>
          <w:rFonts w:ascii="Times New Roman" w:hAnsi="Times New Roman"/>
          <w:b w:val="false"/>
          <w:i/>
          <w:color w:val="000000"/>
          <w:sz w:val="20"/>
        </w:rPr>
        <w:t>Uncertainties with respect to the China legal system and regulations could have a material adverse effect on us.</w:t>
      </w:r>
      <w:r>
        <w:rPr>
          <w:rFonts w:ascii="Times New Roman" w:hAnsi="Times New Roman"/>
          <w:color w:val="000000"/>
          <w:sz w:val="20"/>
        </w:rPr>
        <w:t xml:space="preserve">” </w:t>
      </w:r>
      <w:r>
        <w:rPr>
          <w:rFonts w:ascii="Times New Roman" w:hAnsi="Times New Roman"/>
          <w:b w:val="false"/>
          <w:color w:val="000000"/>
          <w:sz w:val="20"/>
        </w:rPr>
        <w:t>There can be no assurance that we will not be subject to new or changing requirements, approvals or permissions in the future in order to operate in China.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we are unable to obtain the necessary approvals or permissions in order to operate our business in China,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Chinese government determines that our corporate structure does not comply with Chinese regulations, or if Chinese regulations change or are interpreted differently in the future, the value of our common stock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July 2021, the Chinese government provided new guidance on China-based companies raising capital outside of China, including through arrangements called variable interest entities. We do not employ a variable interest entity structure for purposes of replicating foreign investment in Chinese-based companies where Chinese law prohibits direct foreign investment. We do not operate in an industry that is currently subject to foreign ownership limitations in China. However, there are uncertainties with respect to the Chinese legal system and there may be changes in laws, regulations and policies, including how those laws and regulations will be interpreted or implemented. For further information, see the risk factor titled “</w:t>
      </w:r>
      <w:r>
        <w:rPr>
          <w:rFonts w:ascii="Times New Roman" w:hAnsi="Times New Roman"/>
          <w:b w:val="false"/>
          <w:i/>
          <w:color w:val="000000"/>
          <w:sz w:val="20"/>
        </w:rPr>
        <w:t>Uncertainties with respect to the China legal system and regulations could have a material adverse effect on us.</w:t>
      </w:r>
      <w:r>
        <w:rPr>
          <w:rFonts w:ascii="Times New Roman" w:hAnsi="Times New Roman"/>
          <w:color w:val="000000"/>
          <w:sz w:val="20"/>
        </w:rPr>
        <w:t xml:space="preserve">” </w:t>
      </w:r>
      <w:r>
        <w:rPr>
          <w:rFonts w:ascii="Times New Roman" w:hAnsi="Times New Roman"/>
          <w:b w:val="false"/>
          <w:color w:val="000000"/>
          <w:sz w:val="20"/>
        </w:rPr>
        <w:t>If in the future the Chinese government determines that our corporate structure does not comply with Chinese regulations, or if Chinese laws or regulations change or are interpreted differently from our understanding of these laws and regulations, the value of our common stock may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operations in China subject us to various Chinese labor and social insurance laws, and our failure to comply with such laws may materially and adversely affect our business, financial condition and 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Operation of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significant losses since our inception and anticipate that we will continue to incur losses for the foreseeable future and may never achieve or sustain profitability. We may require additional financing in order to fund our operations, which may be dilutive to our shareholders, restrict our operations or require us to relinquish rights to our intellectual property or product candidates. If we are unable to raise capital when needed or on acceptable terms, we may be forced to delay, reduce or eliminate our research and development programs and/or our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 biopharmaceutical company with two lead product candidates in clinical development, roxadustat for CIA in China, and pamrevlumab for pancreatic cancer.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years ended December 31, 2022, 2021 and 2020 were $293.7 million, $290.0 million and $189.3 million, respectively. As of September 30, 2023, we had an accumulated deficit of $1.8 billion. As of September 30, 2023, we had capital resources consisting of cash, cash equivalents and short-term investments of $251.3 million. In addition, as of September 30, 2023, we had $31.7 million of accounts receivable in our current assets. Despite contractual development and cost coverage commitments from our collaboration partners, AstraZeneca and Astellas, and the potential to receive milestone and other payments from these partners, and despite commercialization efforts for roxadustat for the treatment of anemia caused by CKD,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(deficit) and working capital. Our failure to become and remain profitable would depress the market price of our common stock and could impair our ability to raise capital, expand our business, diversify our product offerings or continue our operations.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believe that we will continue to expend substantial resources for the foreseeable future as we continue to grow our operations in China, continue our clinical development efforts on pamrevlumab, continue to seek regulatory approval, establish commercialization capabilities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our existing cash and cash equivalents, short-term and long-term investments and accounts receivable, cash flows from commercial sales and sales of drug product, and expected third-party collaboration revenues will allow us to fund our operating plans through at least 12 months from the date of issuance of these consolidated financial statements.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 or other sources, such as revenue interest monetization or other structured financing. Future sales of equity or debt securities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Accordingly, we may seek additional funds sooner than planned. We may also seek additional capital due to favorable market conditions or strategic considerations even if we currently believe that we have sufficient funds for our current or future operating plans.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Any additional fundraising efforts may divert our management from their day-to-day activities, which may adversely affect our ability to develop and commercialize any of our product candidates. We cannot guarantee that future financing will be available in sufficient amounts or on terms acceptable to us, if at all or that we will be able to satisfy the performance, financial and other obligations in connection with any such financing.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additional collaborations, partnerships, licensing arrangements with third parties or otherwise at an earlier stage than would be desirable and we may be required to relinquish rights to intellectual property, future revenue streams, research programs, product candidates or to grant licenses on terms that may not be favorable to us, any of which may have a material adverse effect on our business, operating results and prospects.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the terms of any financing may adversely affect the holdings or the rights of our stockholders. If we raise additional funds by issuing equity securities, dilution to our existing stockholders will result. In addition, as a condition to providing additional funding to us, future investors may demand, and may be granted, rights superior to those of existing stockholders. Moreover, any debt financing, if available, may involve restrictive covenants that could limit our flexibility in conducting future business activities and, in the event of insolvency, would be paid before holders of equity securities received any distribution of corporate assets. For example, in 2022 we entered into a Revenue Interest Financing Agreement (“RIFA”) with an affiliate of NovaQuest Capital Management (“NovaQuest”) and in 2023 we entered into a debt financing agreement with investment funds managed by Morgan Stanley Tactical Value, each of which impose certain performance and financial obligations on our business. Our ability to satisfy and meet any future debt service obligations will depend upon our future performance, which will be subject to financial, business and other factors affecting our operations, many of which are beyond our control.</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adequate funds are not available to us on a timely basis, we may be required to delay, limit, reduce or terminate our research and development efforts or other operations or activities that may be necessary to commercialize our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required to recognize an impairment of our long-lived assets, which could adversely affect our financial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long-lived assets group is subject to an impairment assessment at least annually, or when certain triggering events or circumstances indicate that its carrying value may be impaired. Prolonged market declines or other factors negatively impacting the performance of our businesses could adversely affect our evaluation of the recoverability of our long-lived assets. If, as a result of the impairment test, we determine that the fair value of our long-lived asset group is less than its carrying amount, we may incur an impairment charge, which could materially and adversely affect our results of operations or financial position.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non-dilutive transactions with Morgan Stanley Tactical Value and NovaQuest could limit cash flow available for our operations, expose us to risks that could adversely affect our business, financial condition and results of operations, and contain various covenants and other provisions, which, if violated, could result in the acceleration of payments due in connection with such transaction or the foreclosure on security interest.*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November 4, 2022, we entered into a $50 million RIFA financing with NovaQuest with respect to our revenues from Astellas’ sales of roxadustat in Europe, Japan and the other Astellas territories.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material inducement for NovaQuest to enter into the RIFA, we granted NovaQuest a security interest over our rights, title and interest in and to the revenue interest payments and intellectual property related to roxadustat and the Astellas territories.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the RIFA includes customary reporting obligations and events of default by us. Upon the occurrence of an event of default, NovaQuest may exercise all remedies available to it at law or in equity in respect of the security interest.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April 29, 2023, we entered into a financing agreement (“Financing Agreement”) for up to $150 million with investment funds managed by Morgan Stanley Tactical Value, as lenders, and Wilmington Trust, National Association, as the administrative agent.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Financing Agreement with Morgan Stanley Tactical Value requires us to maintain a minimum balance of $30 million of unrestricted cash and cash equivalents held in accounts in the U.S. and, while any portion of the term loans or any other obligations under the Financing Agreement remain outstanding, we must comply with certain customary affirmative and negative covenants set forth in the Financing Agreement and related loan documents. The Financing Agreement also provides for customary events of default triggers. Upon an event of default, the administrative agent under the Financing Agreement may, and at the direction of the majority lenders shall, accelerate all of our outstanding obligations under the Financing Agreement and related loan documents, terminate all outstanding funding commitments and/or exercise remedies available at law or equity or under contract for secured creditors. The term loans are secured by substantially all of our and our non-Chinese subsidiaries’ assets, subject to customary exceptions.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additional details about these financing transactions, see Note 7,</w:t>
      </w:r>
      <w:r>
        <w:rPr>
          <w:rFonts w:ascii="Times New Roman" w:hAnsi="Times New Roman"/>
          <w:color w:val="000000"/>
          <w:sz w:val="20"/>
        </w:rPr>
        <w:t xml:space="preserve"> </w:t>
      </w:r>
      <w:r>
        <w:rPr>
          <w:rFonts w:ascii="Times New Roman" w:hAnsi="Times New Roman"/>
          <w:b w:val="false"/>
          <w:i/>
          <w:color w:val="000000"/>
          <w:sz w:val="20"/>
        </w:rPr>
        <w:t xml:space="preserve">Senior Secured Term Loan Facilities </w:t>
      </w:r>
      <w:r>
        <w:rPr>
          <w:rFonts w:ascii="Times New Roman" w:hAnsi="Times New Roman"/>
          <w:b w:val="false"/>
          <w:color w:val="000000"/>
          <w:sz w:val="20"/>
        </w:rPr>
        <w:t xml:space="preserve">and Note 8, </w:t>
      </w:r>
      <w:r>
        <w:rPr>
          <w:rFonts w:ascii="Times New Roman" w:hAnsi="Times New Roman"/>
          <w:b w:val="false"/>
          <w:i/>
          <w:color w:val="000000"/>
          <w:sz w:val="20"/>
        </w:rPr>
        <w:t>Liability Related to Sale of Future Revenues</w:t>
      </w:r>
      <w:r>
        <w:rPr>
          <w:rFonts w:ascii="Times New Roman" w:hAnsi="Times New Roman"/>
          <w:b w:val="false"/>
          <w:color w:val="000000"/>
          <w:sz w:val="20"/>
        </w:rPr>
        <w:t>, to the condensed consolidated financial statements.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obligations under these financing transactions could have significant negative consequences for our shareholders, and our business, results of operations and financial condition by,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increasing our vulnerability to adverse economic and industry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limiting our ability to obtain additional non-dilutive financing or enter into collaboration or partnership agreements of a certain size;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requiring the dedication of a portion of our cash flow from operations to service our indebtedness, which will reduce the amount of cash available for other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limiting our flexibility to plan for, or react to, changes in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placing us at a possible competitive disadvantage with competitors that are less leveraged than us or have better access to capital.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comply with the above covenants may be affected by events beyond our control, and future breaches of any of the covenants could result in a default under the RIFA, the Financing Agreement, or any future financing agreements. If not waived, future defaults could cause all of the outstanding indebtedness under either financing transaction to become immediately due and payable and NovaQuest or Morgan Stanley Tactical Value could seek to enforce their security interest in assets that secure such indebtedness.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To the extent we incur additional debt, the risks described above could increase. A default in one of such agreements could trigger a default in the other. Any of the above risks would negatively impact our ability to operate our business and obtain additional debt or equity financing on favorable terms.</w:t>
      </w:r>
    </w:p>
    <w:p>
      <w:pPr>
        <w:pStyle w:val="TextBody"/>
        <w:bidi w:val="0"/>
        <w:spacing w:before="360" w:after="283"/>
        <w:jc w:val="left"/>
        <w:rPr>
          <w:rFonts w:ascii="Times New Roman" w:hAnsi="Times New Roman"/>
          <w:sz w:val="20"/>
        </w:rPr>
      </w:pPr>
      <w:r>
        <w:rPr>
          <w:rFonts w:ascii="Times New Roman" w:hAnsi="Times New Roman"/>
          <w:b/>
          <w:i/>
          <w:color w:val="000000"/>
          <w:sz w:val="20"/>
        </w:rPr>
        <w:t>Most of our recent revenue has been earned from collaboration partners for our product candidates under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either our Astellas collaboration or our AstraZeneca China collaboration were to be terminated, we could have a sudden decrease of revenue and require significant additional capital in order to proceed with development and commercialization of roxadustat or we may require additional partnering in order to help fund our operations. While we continue to co-commercialize roxadustat in China with AstraZeneca, and develop roxadustat in China for CIA, it is probable that our U.S./Rest of World Collaboration Agreement with AstraZeneca will be terminated and we would not be eligible for any remaining development cost sharing or development or commercialization milestones from AstraZeneca (outside of China). In addition, if our collaboration partners are unsuccessful in their commercialization efforts (particularly in Europe and China), our revenue will be negatively affected. If adequate funds or partners are not available to us on a timely basis or on favorable terms, we may be required to delay, limit, reduce or terminate development or commercialization efforts.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encounter difficulties in expanding our operations, particularly commercialization, successfully.*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any product candidates that we seek to advance into commercialization, we will need to expand our regulatory, manufacturing, commercialization and administration capabilities or contract with third parties to provide these capabilities for us. This could be a particular challenge as a result of the 2023 restructuring. Our failure or delay in accomplishing any of these steps could prevent us from fully realizing the commercial success of any such product candidate.</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of senior management and key personnel could adversely affect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highly dependent on members of our senior management team. The loss of the services of any of our senior management could significantly impact the development and commercialization of our products and product candidates and our ability to successfully implement our business strategy. Mark Eisner, our Chief Medical Officer, resigned in September 2023 (not the result of any disagreement with the Company) and we have commenced a search for a new Chief Medical Officer.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There is also significant competition, in particular in the San Francisco Bay Area, for the hiring of experienced and qualified personnel, which increases the importance of retention of our existing personnel.</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July 14, 2023, FibroGen approved a reduction to its U.S. workforce of approximately 32% to lower its operating expenses. There is a risk that we will lose valuable skills, experience, and productivity. Furthermore, employee turnover and other risks described above may be exacerbated by the restructuring as well as recent stock performance.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we are unable to continue to attract and retain personnel with the quality and experience applicable to our product candidates, our ability to pursue our strategy will be limited and our business and operations would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exposed to the risks associated with litigation, investigations, regulatory proceedings, and other legal matters, any of which could have a material adverse effect on us.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currently and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example, we and certain of our current and former executive officers have been named as defendants in a consolidated putative class action lawsuit (“Securities Class Action Litigation”) and certain of our current and former executive officers and directors have been named as defendants in several derivative lawsuits (“Derivative Litigation”). The complaint filed in the Securities Class Action Litigation alleges violations of the securities laws, including, among other things, that the defendants made certain materially false and misleading statements about our Phase 3 clinical studies data and prospects for FDA approval. The complaints filed in the Derivative Litigation asserts claims based on some of the same alleged misstatements and omissions as the Securities Class Action Litigation and seeks, among other things, unspecified damages. We intend to vigorously defend the claims made in the Securities Class Action Litigation and Derivative Litigation; however, the outcome of these matters cannot be predicted, and the claims raised in these lawsuits may result in further legal matters or actions against us, including, but not limited to, government enforcement actions or additional private litigation. In the fourth quarter of 2021, FibroGen received a subpoena from the SEC requesting documents related to roxadustat’s pooled cardiovascular safety data. We have been fully cooperating with the SEC’s investigation.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Board of Directors also received litigation demands from our purported shareholders, asking the Board of Directors to investigate and take action against certain current and former officers and directors of ours for alleged wrongdoing based on the same allegations in the pending derivative and securities class action lawsuits. We may in the future receive such additional demands.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For additional information regarding our pending litigation and SEC investigation, see Note 12, </w:t>
      </w:r>
      <w:r>
        <w:rPr>
          <w:rFonts w:ascii="Times New Roman" w:hAnsi="Times New Roman"/>
          <w:b w:val="false"/>
          <w:i/>
          <w:color w:val="000000"/>
          <w:sz w:val="20"/>
        </w:rPr>
        <w:t>Commitments and Contingencies</w:t>
      </w:r>
      <w:r>
        <w:rPr>
          <w:rFonts w:ascii="Times New Roman" w:hAnsi="Times New Roman"/>
          <w:b w:val="false"/>
          <w:color w:val="000000"/>
          <w:sz w:val="20"/>
        </w:rPr>
        <w:t>, to the condensed consolidated financial statements.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Legal proceedings in general, and securities and class action litigation and regulatory investigations in particular, regardless of their merits or their ultimate outcomes, are costly, divert management’s attention and may materially adversely affect our business, results of operations, financial condition, prospects, and stock price. In addition, such legal matters could negatively impact our reputation among our customers, collaboration partners or our shareholders. Furthermore, publicity surrounding legal proceedings, including regulatory investigations, even if resolved favorably for us, could result in additional legal proceedings or regulatory investigations, as well as damage to our reputation.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have to limit commercial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termination of further development of unapproved product candidates or significantly reduced demand for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material costs and expenses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diversion of time and resources across the entire organization, including our executive management;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80</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 recalls, product withdrawals or labeling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termination of our collaboration relationships or disputes with our collaboration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reputational damage negatively impacting our other product candidates in development.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and operations would suffer in the event of computer system failures.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Despite implementing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2022, and continue to maintain and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ordinary course of our business, we and the third parties upon which we rely process confidential, proprietary, and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confidential, proprietary, and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and the third parties upon which we rely are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231F20"/>
          <w:sz w:val="20"/>
        </w:rPr>
        <w:t xml:space="preserve">In particular, severe ransomware attacks are becoming increasingly prevalent and can lead to significant interruptions in our operations, loss of </w:t>
      </w:r>
      <w:r>
        <w:rPr>
          <w:rFonts w:ascii="Times New Roman" w:hAnsi="Times New Roman"/>
          <w:b w:val="false"/>
          <w:color w:val="000000"/>
          <w:sz w:val="20"/>
        </w:rPr>
        <w:t xml:space="preserve">confidential, proprietary, and </w:t>
      </w:r>
      <w:r>
        <w:rPr>
          <w:rFonts w:ascii="Times New Roman" w:hAnsi="Times New Roman"/>
          <w:b w:val="false"/>
          <w:color w:val="231F20"/>
          <w:sz w:val="20"/>
        </w:rPr>
        <w:t>sensitive data and income, reputational harm, and diversion of funds. Extortion payments may alleviate the negative impact of a ransomware attack, but we may be unwilling or unable to make such payments.</w:t>
      </w:r>
      <w:r>
        <w:rPr>
          <w:rFonts w:ascii="Times New Roman" w:hAnsi="Times New Roman"/>
          <w:color w:val="231F2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81</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our reliance on third-party service providers could introduce new cybersecurity risks and vulnerabilities, including supply-chain attacks, and other threats to our business operations.</w:t>
      </w:r>
      <w:r>
        <w:rPr>
          <w:rFonts w:ascii="Times New Roman" w:hAnsi="Times New Roman"/>
          <w:color w:val="000000"/>
          <w:sz w:val="20"/>
        </w:rPr>
        <w:t xml:space="preserve"> </w:t>
      </w:r>
      <w:r>
        <w:rPr>
          <w:rFonts w:ascii="Times New Roman" w:hAnsi="Times New Roman"/>
          <w:b w:val="false"/>
          <w:color w:val="000000"/>
          <w:sz w:val="20"/>
        </w:rPr>
        <w:t>We rely on third-party service providers and technologies to operate critical business systems to process confidential, proprietary, and sensitive data in a variety of contexts, including, without limitation, CROs, CMOs,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w:t>
      </w:r>
      <w:r>
        <w:rPr>
          <w:rFonts w:ascii="Times New Roman" w:hAnsi="Times New Roman"/>
          <w:color w:val="231F20"/>
          <w:sz w:val="20"/>
        </w:rPr>
        <w:t xml:space="preserve"> </w:t>
      </w:r>
      <w:r>
        <w:rPr>
          <w:rFonts w:ascii="Times New Roman" w:hAnsi="Times New Roman"/>
          <w:b w:val="false"/>
          <w:color w:val="231F20"/>
          <w:sz w:val="20"/>
        </w:rPr>
        <w:t>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r>
        <w:rPr>
          <w:rFonts w:ascii="Times New Roman" w:hAnsi="Times New Roman"/>
          <w:color w:val="000000"/>
          <w:sz w:val="20"/>
        </w:rPr>
        <w:t xml:space="preserve"> </w:t>
      </w:r>
      <w:r>
        <w:rPr>
          <w:rFonts w:ascii="Times New Roman" w:hAnsi="Times New Roman"/>
          <w:b w:val="false"/>
          <w:color w:val="231F20"/>
          <w:sz w:val="20"/>
        </w:rPr>
        <w:t>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confidential, proprietary, and sensitive data or our information technology systems, or those of the third parties upon whom we rely. A security incident or other interruption could disrupt our ability (and that of third parties upon whom we rely) to provide our services.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the third quarter of 2023, we were notified that a service provider of our third-party service provider had a security breach and certain of our pseudo anonymized clinical data was exfiltrated. Our incident response assessment was unable to determine a material impact to our Company (including the fact that we have found no personally identifiable information involved, and there is no business continuity risk). However, there is a risk that we discover a material impact in the future.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confidential, proprietary, and sensitive data.</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Applicable data privacy and security obligations may require us to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confidential, proprietary, and sensitive data (including personal data); litigation (including class claims); indemnification obligations; negative publicity; reputational harm; monetary fund diversions; interruptions in our operations (including availability of data); delays in our development or other business plans; financial loss; and other similar harms. Security incidents and attendant consequences may cause customers to stop using our services, deter new customers from using our services, and negatively impact our ability to grow and operate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82</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Our headquarters are located near known earthquake fault zones.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 and has been affected by the COVID-19 pandemic, including economic disruption resulting from the related shelter-in-place and stay-at-home governmental orders.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deductibles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a natural disaster, power outage or other event occurred that prevented us from using all or a significant portion of our headquarters, damaged critical infrastructure, or otherwise disrupted operations, all critical systems and services can be accessible from the disaster recovery site, but it may be difficult or, in certain cases, impossible for us to continue our business for a substantial period of time. The disaster recovery and business continuity plans are in draft and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of our common stock may be highly volatile, and you may not be able to resell your shares at or above your purchase price.*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market price of our common stock has at times experienced price volatility and may continue to be volatile. For example, during 2023, the closing price of our common stock on The Nasdaq Global Select Market has ranged from $0.48 per share to $25.18 per share. 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results of clinical trials of our product candidates, including roxadustat and pamrevlumab;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timing of the release of results of and regulatory updates regarding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level of expenses related to any of our product candidates or clinical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results of clinical trials of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safety issues with respect to our product candidates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actions with respect to our product candidates and any approved products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fluctuations in our financial condition and operating results, which will be significantly affected by the manner in which we recognize revenue from the achievement of milestones under our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adverse developments concerning our collaborations and our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termination of a collaboration or the inability to establish additional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inability to obtain adequate product supply for any approved drug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legislation or other regulatory developments affecting our product candidates or our industry;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83</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fluctuations in the valuation of the biotechnology industry and particular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announcements of investigations or regulatory scrutiny of our operations or lawsuits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activities of the government of China, including those related to the pharmaceutical industry as well as industrial policy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performance of other U.S. publicly traded companies with significant operations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market conditions for biopharmaceutical stocks;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the other factors described in this “</w:t>
      </w:r>
      <w:r>
        <w:rPr>
          <w:rFonts w:ascii="Times New Roman" w:hAnsi="Times New Roman"/>
          <w:b w:val="false"/>
          <w:i/>
          <w:color w:val="000000"/>
          <w:sz w:val="20"/>
        </w:rPr>
        <w:t>Risk Factors</w:t>
      </w:r>
      <w:r>
        <w:rPr>
          <w:color w:val="000000"/>
        </w:rPr>
        <w:t xml:space="preserve">” </w:t>
      </w:r>
      <w:r>
        <w:rPr>
          <w:rFonts w:ascii="Times New Roman" w:hAnsi="Times New Roman"/>
          <w:b w:val="false"/>
          <w:color w:val="000000"/>
          <w:sz w:val="20"/>
        </w:rPr>
        <w:t>section.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We are currently subject to such litigation and it has diverted, and could continue to result in diversions of, our management’s attention and resources and it could result in significant expense, monetary damages, penalties or injunctive relief against us. For a description of our pending litigation and SEC investigation, see Note 12, </w:t>
      </w:r>
      <w:r>
        <w:rPr>
          <w:rFonts w:ascii="Times New Roman" w:hAnsi="Times New Roman"/>
          <w:b w:val="false"/>
          <w:i/>
          <w:color w:val="000000"/>
          <w:sz w:val="20"/>
        </w:rPr>
        <w:t>Commitments and Contingencies</w:t>
      </w:r>
      <w:r>
        <w:rPr>
          <w:rFonts w:ascii="Times New Roman" w:hAnsi="Times New Roman"/>
          <w:b w:val="false"/>
          <w:color w:val="000000"/>
          <w:sz w:val="20"/>
        </w:rPr>
        <w:t>, to the condensed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is a risk that our common stock would be delisted due to not meeting the Nasdaq price requirement.*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October 24, 2023, FibroGen received a letter from the Nasdaq Listing Qualifications Staff of The Nasdaq Stock Market notifying us that for the last 30 consecutive business days the bid price of FibroGen’s common stock had closed below $1.00 per share, the minimum closing bid price required by the continued listing requirements of Nasdaq listing rule 5450(a)(1).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notification received has no immediate effect on the listing of FibroGen’s common stock on Nasdaq. In accordance with listing rule 5810(c)(3)(A), we have 180 calendar days, or until April 22, 2024, to regain compliance with the minimum bid price rule. To regain compliance, the closing bid price of our common stock must be at least $1.00 per share for a minimum of ten consecutive business days (or such longer period of time as the Nasdaq staff may require in some circumstances, but generally not more than 20 consecutive business days) before April 22, 2024.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our common stock does not achieve compliance by April 22, 2024, we may be eligible for an additional 180-day period to regain compliance if we meet the continued listing requirement for market value of publicly held shares and all other initial listing standards, with the exception of the bid price requirement, and provide written notice to Nasdaq of our intention to cure the deficiency during the second compliance period, including by effecting a reverse stock split, if necessary. However, if it appears to the Nasdaq staff that we will not be able to cure the deficiency, or if we do not meet the other listing standards, Nasdaq could provide notice that our common stock will become subject to delisting. In the event we receive notice that our common stock is being delisted, Nasdaq rules permit us to appeal any delisting determination by the Nasdaq staff to a Hearings Panel. We expect that our common stock would remain listed pending the Hearing Panel’s decision.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There can be no assurance that we will regain compliance with the minimum bid price rule or maintain compliance with the other listing requirements within the above timelines, or if it is necessary for us to effect a reverse stock split in order for us to regain compliance with the minimum bid price rule we may fail to do so, in which case our common stock may be delisted. If we appeal a delisting determination by Nasdaq to the Hearing Panel, there can be no assurance that such appeal would be successful.</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84</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Delisting from the Nasdaq Global Select Market or any Nasdaq market could make trading our common stock more difficult for investors, potentially leading to declines in our share price and liquidity. In addition, without a Nasdaq market listing, stockholders may have a difficult time getting a quote for the sale or purchase of our common stock, the sale or purchase of our common stock would likely be made more difficult and the trading volume and liquidity of our common stock could decline. Delisting from Nasdaq could also result in negative publicity and could also make it more difficult for us to raise additional capital. The absence of such a listing may adversely affect the value accorded by other parties. Further, if we are delisted, we would also incur additional costs under state blue sky laws in connection with any sales of our securities. These requirements could severely limit the market liquidity of our common stock and the ability of our stockholders to sell our common stock in the secondary market. If our common stock is delisted by Nasdaq, our common stock may be eligible to trade on an over-the-counter quotation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 counter quotation system. If our common stock is delisted, it may come within the definition of “penny stock” as defined in the Exchange Act, and would be covered by Rule 15g-9 of the Exchange Act. That rule imposes additional sales practice requirements on broker-dealers who sell securities to persons other than established customers and accredited investors. For transactions covered by Rule 15g-9, the broker-dealer must make a special suitability determination for the purchaser and receive the purchaser’s written agreement to the transaction prior to the sale. Consequently, Rule 15g-9, if it were to become applicable, would affect the ability or willingness of broker-dealers to sell our securities, and accordingly would affect the ability of stockholders to sell their securities in the public market. These additional procedures could also limit our ability to raise additional capital in the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engage in acquisitions that could dilute stockholders and harm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issue stock that would dilute our existing stockholders’ percentage of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incur debt and assume liabilities;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incur amortization expenses related to intangible assets or incur large and immediate write-offs.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problems integrating the purchased business, products or technologies, or employees or other assets of the acquisition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increases to our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disclosed or undisclosed liabilities of the acquired asset or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diversion of management’s attention from their day-to-day responsibilities;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reprioritization of our development programs and even cessation of development and commercialization of our current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harm to our operating results or financial condition;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85</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entrance into markets in which we have limited or no prior experience;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potential loss of key employees, particularly those of the acquired entity.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may not be able to complete any acquisitions or effectively integrate the operations, products or personnel gained through any such acquisition.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Provisions in our charter documents and Delaware law may have anti-takeover effects that could discourage an acquisition of us by others, and may prevent attempts by our stockholders to replace or remove our current directors or management.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create a classified Board of Directors whose members serve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specify that special meetings of our stockholders can be called only by our Board of Directors pursuant to a resolution adopted by a majority of the total number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provide that our directors may be removed prior to the end of their term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provide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require a supermajority vote of the holders of our common stock or the majority vote of our Board of Directors to amend our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require a supermajority vote of the holders of our common stock to amend the classification of our Board of Directors into three classes and to amend certain other provisions of our certificate of incorporation.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86</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b/>
          <w:i/>
          <w:color w:val="000000"/>
          <w:sz w:val="20"/>
        </w:rPr>
        <w:t>Changes in our tax provision or exposure to additional tax liabilities could adversely affect our earnings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are also subject to non-income taxes, such as payroll, withholding,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tax regulations in the U.S. and other jurisdictions in which we operate are extremely complex and subject to change. Changes in tax regulations could have an adverse effect on our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Tariffs imposed by the U.S. and those imposed in response by other countries could have a material adverse effect on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Our certificate of incorporation designates courts located in Delaware as the sole forum for certain proceedings,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amended and restated certificate of incorporation provides that, subject to limited exceptions, the Court of Chancery of the State of Delaware is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determined that such choice of forum provisions are facially valid, a stockholder may nevertheless seek to bring a claim in a venue other than that designated in the exclusive forum provisions. For example, one of the Derivative Litigation was brought in federal court in California, despite the exclusive forum provision. We are currently moving to dismiss that lawsuit on the basis of improper forum and we would expect to vigorously assert the validity and enforceability of the exclusive forum provisions of our amended and restated certificate of incorporation in any additional litigations that are brought in a venue other than that designated in the exclusive forum provision. This may require significant additional costs associated with resolving such action in other jurisdictions and there can be no assurance that the provisions will be enforced by a court in those other jurisdictions.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87</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plan to pay dividends. Capital appreciation will be your sole possible source of gain, which may never occur.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or our share price could be negatively affected as a result of shareholder proposals or actions.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FibroGen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pStyle w:val="TextBody"/>
        <w:bidi w:val="0"/>
        <w:spacing w:before="360" w:after="283"/>
        <w:jc w:val="left"/>
        <w:rPr>
          <w:rFonts w:ascii="Times New Roman" w:hAnsi="Times New Roman"/>
          <w:b/>
          <w:color w:val="000000"/>
          <w:sz w:val="20"/>
        </w:rPr>
      </w:pPr>
      <w:bookmarkStart w:id="19" w:name="item_2_unregistered_sales_equity_securit"/>
      <w:bookmarkEnd w:id="19"/>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left"/>
        <w:rPr>
          <w:rFonts w:ascii="Times New Roman" w:hAnsi="Times New Roman"/>
          <w:b/>
          <w:color w:val="000000"/>
          <w:sz w:val="20"/>
        </w:rPr>
      </w:pPr>
      <w:bookmarkStart w:id="20" w:name="item_3_defaults_upon_senior_securities"/>
      <w:bookmarkEnd w:id="20"/>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left"/>
        <w:rPr>
          <w:rFonts w:ascii="Times New Roman" w:hAnsi="Times New Roman"/>
          <w:b/>
          <w:color w:val="000000"/>
          <w:sz w:val="20"/>
        </w:rPr>
      </w:pPr>
      <w:bookmarkStart w:id="21" w:name="item_4_mine_safety_disclosures"/>
      <w:bookmarkEnd w:id="21"/>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left"/>
        <w:rPr>
          <w:rFonts w:ascii="Times New Roman" w:hAnsi="Times New Roman"/>
          <w:b/>
          <w:color w:val="000000"/>
          <w:sz w:val="20"/>
        </w:rPr>
      </w:pPr>
      <w:bookmarkStart w:id="22" w:name="item_5_or_information"/>
      <w:bookmarkEnd w:id="22"/>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31, 2023, Christine Chung, Senior Vice President, China Operations of the Company, terminated</w:t>
      </w:r>
      <w:r>
        <w:rPr>
          <w:rFonts w:ascii="Times New Roman" w:hAnsi="Times New Roman"/>
          <w:color w:val="000000"/>
          <w:sz w:val="20"/>
        </w:rPr>
        <w:t xml:space="preserve"> </w:t>
      </w:r>
      <w:r>
        <w:rPr>
          <w:rFonts w:ascii="Times New Roman" w:hAnsi="Times New Roman"/>
          <w:b w:val="false"/>
          <w:color w:val="000000"/>
          <w:sz w:val="20"/>
        </w:rPr>
        <w:t>a Rule 10b5-1 trading plan, which was previously adopted</w:t>
      </w:r>
      <w:r>
        <w:rPr>
          <w:rFonts w:ascii="Times New Roman" w:hAnsi="Times New Roman"/>
          <w:color w:val="000000"/>
          <w:sz w:val="20"/>
        </w:rPr>
        <w:t xml:space="preserve"> </w:t>
      </w:r>
      <w:r>
        <w:rPr>
          <w:rFonts w:ascii="Times New Roman" w:hAnsi="Times New Roman"/>
          <w:b w:val="false"/>
          <w:color w:val="000000"/>
          <w:sz w:val="20"/>
        </w:rPr>
        <w:t>on March 7, 2023</w:t>
      </w:r>
      <w:r>
        <w:rPr>
          <w:rFonts w:ascii="Times New Roman" w:hAnsi="Times New Roman"/>
          <w:color w:val="000000"/>
          <w:sz w:val="20"/>
        </w:rPr>
        <w:t xml:space="preserve"> </w:t>
      </w:r>
      <w:r>
        <w:rPr>
          <w:rFonts w:ascii="Times New Roman" w:hAnsi="Times New Roman"/>
          <w:b w:val="false"/>
          <w:color w:val="000000"/>
          <w:sz w:val="20"/>
        </w:rPr>
        <w:t>and intended to satisfy the affirmative defense of Rule 10b5-1(c) under the Exchange Act. The plan provided for the potential sale of up to 125,000</w:t>
      </w:r>
      <w:r>
        <w:rPr>
          <w:rFonts w:ascii="Times New Roman" w:hAnsi="Times New Roman"/>
          <w:color w:val="000000"/>
          <w:sz w:val="20"/>
        </w:rPr>
        <w:t xml:space="preserve"> </w:t>
      </w:r>
      <w:r>
        <w:rPr>
          <w:rFonts w:ascii="Times New Roman" w:hAnsi="Times New Roman"/>
          <w:b w:val="false"/>
          <w:color w:val="000000"/>
          <w:sz w:val="20"/>
        </w:rPr>
        <w:t>shares of common stock held by Ms. Chung. Prior to its termination, Ms. Chung sold 12,500 shares under the plan.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July 12, 2023, Mark Eisner, then Chief Medical Officer</w:t>
      </w:r>
      <w:r>
        <w:rPr>
          <w:rFonts w:ascii="Times New Roman" w:hAnsi="Times New Roman"/>
          <w:color w:val="000000"/>
          <w:sz w:val="20"/>
        </w:rPr>
        <w:t xml:space="preserve"> </w:t>
      </w:r>
      <w:r>
        <w:rPr>
          <w:rFonts w:ascii="Times New Roman" w:hAnsi="Times New Roman"/>
          <w:b w:val="false"/>
          <w:color w:val="000000"/>
          <w:sz w:val="20"/>
        </w:rPr>
        <w:t>of the Company, terminated</w:t>
      </w:r>
      <w:r>
        <w:rPr>
          <w:rFonts w:ascii="Times New Roman" w:hAnsi="Times New Roman"/>
          <w:color w:val="000000"/>
          <w:sz w:val="20"/>
        </w:rPr>
        <w:t xml:space="preserve"> </w:t>
      </w:r>
      <w:r>
        <w:rPr>
          <w:rFonts w:ascii="Times New Roman" w:hAnsi="Times New Roman"/>
          <w:b w:val="false"/>
          <w:color w:val="000000"/>
          <w:sz w:val="20"/>
        </w:rPr>
        <w:t>a Rule 10b5-1 trading plan, which was previously adopted</w:t>
      </w:r>
      <w:r>
        <w:rPr>
          <w:rFonts w:ascii="Times New Roman" w:hAnsi="Times New Roman"/>
          <w:color w:val="000000"/>
          <w:sz w:val="20"/>
        </w:rPr>
        <w:t xml:space="preserve"> </w:t>
      </w:r>
      <w:r>
        <w:rPr>
          <w:rFonts w:ascii="Times New Roman" w:hAnsi="Times New Roman"/>
          <w:b w:val="false"/>
          <w:color w:val="000000"/>
          <w:sz w:val="20"/>
        </w:rPr>
        <w:t>on March 2, 2023</w:t>
      </w:r>
      <w:r>
        <w:rPr>
          <w:rFonts w:ascii="Times New Roman" w:hAnsi="Times New Roman"/>
          <w:color w:val="000000"/>
          <w:sz w:val="20"/>
        </w:rPr>
        <w:t xml:space="preserve"> </w:t>
      </w:r>
      <w:r>
        <w:rPr>
          <w:rFonts w:ascii="Times New Roman" w:hAnsi="Times New Roman"/>
          <w:b w:val="false"/>
          <w:color w:val="000000"/>
          <w:sz w:val="20"/>
        </w:rPr>
        <w:t>and intended to satisfy the affirmative defense of Rule 10b5-1(c) under the Exchange Act. The plan provided for the potential sale of up to 107,260</w:t>
      </w:r>
      <w:r>
        <w:rPr>
          <w:rFonts w:ascii="Times New Roman" w:hAnsi="Times New Roman"/>
          <w:color w:val="000000"/>
          <w:sz w:val="20"/>
        </w:rPr>
        <w:t xml:space="preserve"> </w:t>
      </w:r>
      <w:r>
        <w:rPr>
          <w:rFonts w:ascii="Times New Roman" w:hAnsi="Times New Roman"/>
          <w:b w:val="false"/>
          <w:color w:val="000000"/>
          <w:sz w:val="20"/>
        </w:rPr>
        <w:t>shares of common stock held by Mr. Eisner. Prior to its termination, Mr. Eisner sold 0 shares under the plan.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August 31, 2023, Juan Graham, Chief Financial Officer</w:t>
      </w:r>
      <w:r>
        <w:rPr>
          <w:rFonts w:ascii="Times New Roman" w:hAnsi="Times New Roman"/>
          <w:color w:val="000000"/>
          <w:sz w:val="20"/>
        </w:rPr>
        <w:t xml:space="preserve"> </w:t>
      </w:r>
      <w:r>
        <w:rPr>
          <w:rFonts w:ascii="Times New Roman" w:hAnsi="Times New Roman"/>
          <w:b w:val="false"/>
          <w:color w:val="000000"/>
          <w:sz w:val="20"/>
        </w:rPr>
        <w:t>of the Company, terminated</w:t>
      </w:r>
      <w:r>
        <w:rPr>
          <w:rFonts w:ascii="Times New Roman" w:hAnsi="Times New Roman"/>
          <w:color w:val="000000"/>
          <w:sz w:val="20"/>
        </w:rPr>
        <w:t xml:space="preserve"> </w:t>
      </w:r>
      <w:r>
        <w:rPr>
          <w:rFonts w:ascii="Times New Roman" w:hAnsi="Times New Roman"/>
          <w:b w:val="false"/>
          <w:color w:val="000000"/>
          <w:sz w:val="20"/>
        </w:rPr>
        <w:t>a Rule 10b5-1 trading plan, which was previously adopted</w:t>
      </w:r>
      <w:r>
        <w:rPr>
          <w:rFonts w:ascii="Times New Roman" w:hAnsi="Times New Roman"/>
          <w:color w:val="000000"/>
          <w:sz w:val="20"/>
        </w:rPr>
        <w:t xml:space="preserve"> </w:t>
      </w:r>
      <w:r>
        <w:rPr>
          <w:rFonts w:ascii="Times New Roman" w:hAnsi="Times New Roman"/>
          <w:b w:val="false"/>
          <w:color w:val="000000"/>
          <w:sz w:val="20"/>
        </w:rPr>
        <w:t>on August 26, 2022</w:t>
      </w:r>
      <w:r>
        <w:rPr>
          <w:rFonts w:ascii="Times New Roman" w:hAnsi="Times New Roman"/>
          <w:color w:val="000000"/>
          <w:sz w:val="20"/>
        </w:rPr>
        <w:t xml:space="preserve"> </w:t>
      </w:r>
      <w:r>
        <w:rPr>
          <w:rFonts w:ascii="Times New Roman" w:hAnsi="Times New Roman"/>
          <w:b w:val="false"/>
          <w:color w:val="000000"/>
          <w:sz w:val="20"/>
        </w:rPr>
        <w:t>and intended to satisfy the affirmative defense of Rule 10b5-1(c) under the Exchange Act. The plan provided for the potential sale of up to 29,911</w:t>
      </w:r>
      <w:r>
        <w:rPr>
          <w:rFonts w:ascii="Times New Roman" w:hAnsi="Times New Roman"/>
          <w:color w:val="000000"/>
          <w:sz w:val="20"/>
        </w:rPr>
        <w:t xml:space="preserve"> </w:t>
      </w:r>
      <w:r>
        <w:rPr>
          <w:rFonts w:ascii="Times New Roman" w:hAnsi="Times New Roman"/>
          <w:b w:val="false"/>
          <w:color w:val="000000"/>
          <w:sz w:val="20"/>
        </w:rPr>
        <w:t>shares of common stock held by Mr. Graham. Prior to its termination, Mr. Graham sold 7,929 shares under the plan.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September 22, 2023, Jeffrey Henderson, a member of the Company’s Board of Directors, terminated</w:t>
      </w:r>
      <w:r>
        <w:rPr>
          <w:rFonts w:ascii="Times New Roman" w:hAnsi="Times New Roman"/>
          <w:color w:val="000000"/>
          <w:sz w:val="20"/>
        </w:rPr>
        <w:t xml:space="preserve"> </w:t>
      </w:r>
      <w:r>
        <w:rPr>
          <w:rFonts w:ascii="Times New Roman" w:hAnsi="Times New Roman"/>
          <w:b w:val="false"/>
          <w:color w:val="000000"/>
          <w:sz w:val="20"/>
        </w:rPr>
        <w:t>a Rule 10b5-1 trading plan, which was previously adopted</w:t>
      </w:r>
      <w:r>
        <w:rPr>
          <w:rFonts w:ascii="Times New Roman" w:hAnsi="Times New Roman"/>
          <w:color w:val="000000"/>
          <w:sz w:val="20"/>
        </w:rPr>
        <w:t xml:space="preserve"> </w:t>
      </w:r>
      <w:r>
        <w:rPr>
          <w:rFonts w:ascii="Times New Roman" w:hAnsi="Times New Roman"/>
          <w:b w:val="false"/>
          <w:color w:val="000000"/>
          <w:sz w:val="20"/>
        </w:rPr>
        <w:t>on March 3, 2023</w:t>
      </w:r>
      <w:r>
        <w:rPr>
          <w:rFonts w:ascii="Times New Roman" w:hAnsi="Times New Roman"/>
          <w:color w:val="000000"/>
          <w:sz w:val="20"/>
        </w:rPr>
        <w:t xml:space="preserve"> </w:t>
      </w:r>
      <w:r>
        <w:rPr>
          <w:rFonts w:ascii="Times New Roman" w:hAnsi="Times New Roman"/>
          <w:b w:val="false"/>
          <w:color w:val="000000"/>
          <w:sz w:val="20"/>
        </w:rPr>
        <w:t>and intended to satisfy the affirmative defense of Rule 10b5-1(c) under the Exchange Act. The plan provided for the potential sale of up to 20,000</w:t>
      </w:r>
      <w:r>
        <w:rPr>
          <w:rFonts w:ascii="Times New Roman" w:hAnsi="Times New Roman"/>
          <w:color w:val="000000"/>
          <w:sz w:val="20"/>
        </w:rPr>
        <w:t xml:space="preserve"> </w:t>
      </w:r>
      <w:r>
        <w:rPr>
          <w:rFonts w:ascii="Times New Roman" w:hAnsi="Times New Roman"/>
          <w:b w:val="false"/>
          <w:color w:val="000000"/>
          <w:sz w:val="20"/>
        </w:rPr>
        <w:t>shares of common stock held by Mr. Henderson. Prior to its termination, Mr. Henderson sold 6,000 shares under the plan.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88</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3" w:name="item_6_exhibits"/>
      <w:bookmarkEnd w:id="23"/>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4"/>
        <w:gridCol w:w="146"/>
        <w:gridCol w:w="5988"/>
        <w:gridCol w:w="146"/>
        <w:gridCol w:w="528"/>
        <w:gridCol w:w="146"/>
        <w:gridCol w:w="845"/>
        <w:gridCol w:w="146"/>
        <w:gridCol w:w="631"/>
        <w:gridCol w:w="146"/>
        <w:gridCol w:w="729"/>
      </w:tblGrid>
      <w:tr>
        <w:trPr/>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7"/>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8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 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Amended and Restated Certificate of Incorporation of FibroGen,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11/21/2014</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Amended and Restated Bylaws of FibroGen,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333-199069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10/23/2014</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Form of Common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11/21/2014</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b w:val="false"/>
                  <w:color w:val="0000FF"/>
                  <w:sz w:val="20"/>
                  <w:u w:val="single"/>
                </w:rPr>
                <w:t>Common Stock Purchase Agreement by and between FibroGen, Inc. and AstraZeneca AB, dated as of October 20, 2014.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333-199069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10/24/2014</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b w:val="false"/>
                  <w:color w:val="0000FF"/>
                  <w:sz w:val="20"/>
                  <w:u w:val="single"/>
                </w:rPr>
                <w:t>Offer Letter, dated July 23, 2023, between FibroGen, Inc. and Thane Wettig.</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07/25/2023</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b w:val="false"/>
                  <w:color w:val="0000FF"/>
                  <w:sz w:val="20"/>
                  <w:u w:val="single"/>
                </w:rPr>
                <w:t>Consulting Agreement, dated July 23, 2023, between FibroGen, Inc. and Enrique Conterno.</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001-36740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07/25/2023</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31_1.htm">
              <w:r>
                <w:rPr>
                  <w:rStyle w:val="InternetLink"/>
                  <w:rFonts w:ascii="Times New Roman" w:hAnsi="Times New Roman"/>
                  <w:b w:val="false"/>
                  <w:color w:val="0000FF"/>
                  <w:sz w:val="20"/>
                  <w:u w:val="single"/>
                </w:rPr>
                <w:t>Certification of Chief Executive Officer, as required by Rule 13a-14(a) or Rule 15d-14(a).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31_2.htm">
              <w:r>
                <w:rPr>
                  <w:rStyle w:val="InternetLink"/>
                  <w:rFonts w:ascii="Times New Roman" w:hAnsi="Times New Roman"/>
                  <w:b w:val="false"/>
                  <w:color w:val="0000FF"/>
                  <w:sz w:val="20"/>
                  <w:u w:val="single"/>
                </w:rPr>
                <w:t>Certification of Chief Financial Officer, as required by Rule 13a-14(a) or Rule 15d-14(a).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gen-ex32_1.htm">
              <w:r>
                <w:rPr>
                  <w:rStyle w:val="InternetLink"/>
                  <w:rFonts w:ascii="Times New Roman" w:hAnsi="Times New Roman"/>
                  <w:b w:val="false"/>
                  <w:color w:val="0000FF"/>
                  <w:sz w:val="20"/>
                  <w:u w:val="single"/>
                </w:rPr>
                <w:t>Certification of Principal Executive Officer and Principal Financial Officer, as required by Rule 13a-14(b) or Rule 15d-14(b) and Section 1350 of Chapter 63 of Title 18 of the United States Code (18 U.S.C. §1350)(1)).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the instance document does not appear in the Interactive Data File because its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 with applicable taxonomy extension information contained in Exhibits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rFonts w:ascii="Times New Roman" w:hAnsi="Times New Roman"/>
          <w:b w:val="false"/>
          <w:color w:val="000000"/>
          <w:sz w:val="20"/>
        </w:rPr>
      </w:pPr>
      <w:r>
        <w:rPr>
          <w:rFonts w:ascii="Times New Roman" w:hAnsi="Times New Roman"/>
          <w:b w:val="false"/>
          <w:color w:val="000000"/>
          <w:sz w:val="20"/>
        </w:rPr>
        <w:t> Portions of this exhibit (indicated by asterisks) have been omitted as the Company has determined that (i) the omitted information is not material and (ii) the omitted information would likely cause competitive harm if publicly disclosed or is the type of information the Company treats as confidential.</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Indicates a management contract or compensatory plan.</w:t>
      </w:r>
    </w:p>
    <w:p>
      <w:pPr>
        <w:pStyle w:val="TextBody"/>
        <w:bidi w:val="0"/>
        <w:spacing w:before="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89</w:t>
      </w:r>
    </w:p>
    <w:p>
      <w:pPr>
        <w:pStyle w:val="HorizontalLine"/>
        <w:pBdr>
          <w:bottom w:val="double" w:sz="2" w:space="0" w:color="808080"/>
        </w:pBdr>
        <w:bidi w:val="0"/>
        <w:spacing w:before="0" w:after="283"/>
        <w:jc w:val="left"/>
        <w:rPr/>
      </w:pPr>
      <w:r>
        <w:rPr/>
      </w:r>
    </w:p>
    <w:p>
      <w:pPr>
        <w:pStyle w:val="TextBody"/>
        <w:bidi w:val="0"/>
        <w:spacing w:before="0" w:after="200"/>
        <w:jc w:val="left"/>
        <w:rPr/>
      </w:pPr>
      <w:hyperlink w:anchor="toc">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b/>
          <w:color w:val="000000"/>
          <w:sz w:val="20"/>
        </w:rPr>
      </w:pPr>
      <w:bookmarkStart w:id="24" w:name="signatures"/>
      <w:bookmarkEnd w:id="24"/>
      <w:r>
        <w:rPr>
          <w:rFonts w:ascii="Times New Roman" w:hAnsi="Times New Roman"/>
          <w:b/>
          <w:color w:val="000000"/>
          <w:sz w:val="20"/>
        </w:rPr>
        <w:t>SIGNATURES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as amended, the registrant has duly caused this report to be signed on its behalf by the undersigned thereunto duly authorized.</w:t>
      </w:r>
    </w:p>
    <w:tbl>
      <w:tblPr>
        <w:tblW w:w="5204" w:type="dxa"/>
        <w:jc w:val="left"/>
        <w:tblInd w:w="0" w:type="dxa"/>
        <w:tblLayout w:type="fixed"/>
        <w:tblCellMar>
          <w:top w:w="28" w:type="dxa"/>
          <w:left w:w="28" w:type="dxa"/>
          <w:bottom w:w="28" w:type="dxa"/>
          <w:right w:w="28" w:type="dxa"/>
        </w:tblCellMar>
      </w:tblPr>
      <w:tblGrid>
        <w:gridCol w:w="2101"/>
        <w:gridCol w:w="146"/>
        <w:gridCol w:w="451"/>
        <w:gridCol w:w="250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7" w:type="dxa"/>
            <w:gridSpan w:val="2"/>
            <w:tcBorders/>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FibroGen, Inc.</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6, 2023</w:t>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By:</w:t>
            </w:r>
            <w:r>
              <w:rPr>
                <w:rFonts w:ascii="Times New Roman" w:hAnsi="Times New Roman"/>
                <w:color w:val="000000"/>
                <w:sz w:val="20"/>
              </w:rPr>
              <w:t xml:space="preserve"> </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Thane Wettig</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Thane Wettig</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(Principal Executive Officer)</w:t>
            </w:r>
          </w:p>
        </w:tc>
      </w:tr>
    </w:tbl>
    <w:p>
      <w:pPr>
        <w:pStyle w:val="TextBody"/>
        <w:bidi w:val="0"/>
        <w:jc w:val="left"/>
        <w:rPr/>
      </w:pPr>
      <w:r>
        <w:rPr/>
        <w:t> </w:t>
      </w:r>
    </w:p>
    <w:tbl>
      <w:tblPr>
        <w:tblW w:w="6839" w:type="dxa"/>
        <w:jc w:val="left"/>
        <w:tblInd w:w="0" w:type="dxa"/>
        <w:tblLayout w:type="fixed"/>
        <w:tblCellMar>
          <w:top w:w="28" w:type="dxa"/>
          <w:left w:w="28" w:type="dxa"/>
          <w:bottom w:w="28" w:type="dxa"/>
          <w:right w:w="28" w:type="dxa"/>
        </w:tblCellMar>
      </w:tblPr>
      <w:tblGrid>
        <w:gridCol w:w="2101"/>
        <w:gridCol w:w="146"/>
        <w:gridCol w:w="451"/>
        <w:gridCol w:w="414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6, 2023</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By:</w:t>
            </w:r>
            <w:r>
              <w:rPr>
                <w:rFonts w:ascii="Times New Roman" w:hAnsi="Times New Roman"/>
                <w:color w:val="000000"/>
                <w:sz w:val="20"/>
              </w:rPr>
              <w:t xml:space="preserve">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Juan Graham</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Juan Graham</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Senior Vice President and Chief Financial Officer</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fgen-ex31_1.htm"/>
      <w:bookmarkStart w:id="26" w:name="ksfgenex31_1"/>
      <w:bookmarkEnd w:id="25"/>
      <w:bookmarkEnd w:id="26"/>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Thane Wettig,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 I have reviewed this Form 10-Q of FibroGen,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tbl>
      <w:tblPr>
        <w:tblW w:w="4622" w:type="dxa"/>
        <w:jc w:val="left"/>
        <w:tblInd w:w="0" w:type="dxa"/>
        <w:tblLayout w:type="fixed"/>
        <w:tblCellMar>
          <w:top w:w="28" w:type="dxa"/>
          <w:left w:w="28" w:type="dxa"/>
          <w:bottom w:w="28" w:type="dxa"/>
          <w:right w:w="28" w:type="dxa"/>
        </w:tblCellMar>
      </w:tblPr>
      <w:tblGrid>
        <w:gridCol w:w="2101"/>
        <w:gridCol w:w="2521"/>
      </w:tblGrid>
      <w:tr>
        <w:trPr/>
        <w:tc>
          <w:tcPr>
            <w:tcW w:w="210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6, 2023</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Thane Wettig</w:t>
            </w:r>
          </w:p>
        </w:tc>
      </w:tr>
      <w:tr>
        <w:trPr/>
        <w:tc>
          <w:tcPr>
            <w:tcW w:w="2101"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Thane Wettig</w:t>
            </w:r>
          </w:p>
          <w:p>
            <w:pPr>
              <w:pStyle w:val="TableContents"/>
              <w:bidi w:val="0"/>
              <w:jc w:val="left"/>
              <w:rPr>
                <w:rFonts w:ascii="Times New Roman" w:hAnsi="Times New Roman"/>
                <w:b w:val="false"/>
                <w:color w:val="000000"/>
                <w:sz w:val="20"/>
              </w:rPr>
            </w:pPr>
            <w:r>
              <w:rPr>
                <w:rFonts w:ascii="Times New Roman" w:hAnsi="Times New Roman"/>
                <w:b w:val="false"/>
                <w:color w:val="000000"/>
                <w:sz w:val="20"/>
              </w:rPr>
              <w:t>Chief Executive Officer</w:t>
            </w:r>
          </w:p>
          <w:p>
            <w:pPr>
              <w:pStyle w:val="TableContents"/>
              <w:bidi w:val="0"/>
              <w:spacing w:before="0" w:after="283"/>
              <w:jc w:val="left"/>
              <w:rPr>
                <w:rFonts w:ascii="Times New Roman" w:hAnsi="Times New Roman"/>
                <w:sz w:val="20"/>
              </w:rPr>
            </w:pPr>
            <w:r>
              <w:rPr>
                <w:rFonts w:ascii="Times New Roman" w:hAnsi="Times New Roman"/>
                <w:b w:val="false"/>
                <w:color w:val="000000"/>
                <w:sz w:val="20"/>
              </w:rPr>
              <w:t>(Principal Executive Officer)</w:t>
            </w:r>
            <w:r>
              <w:rPr>
                <w:rFonts w:ascii="Times New Roman" w:hAnsi="Times New Roman"/>
                <w:color w:val="000000"/>
                <w:sz w:val="20"/>
              </w:rPr>
              <w:t xml:space="preserve"> </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fgen-ex31_2.htm"/>
      <w:bookmarkStart w:id="28" w:name="ksfgenex31_2"/>
      <w:bookmarkEnd w:id="27"/>
      <w:bookmarkEnd w:id="28"/>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Juan Graham,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 I have reviewed this Form 10-Q of FibroGen,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tbl>
      <w:tblPr>
        <w:tblW w:w="6287" w:type="dxa"/>
        <w:jc w:val="left"/>
        <w:tblInd w:w="0" w:type="dxa"/>
        <w:tblLayout w:type="fixed"/>
        <w:tblCellMar>
          <w:top w:w="28" w:type="dxa"/>
          <w:left w:w="28" w:type="dxa"/>
          <w:bottom w:w="28" w:type="dxa"/>
          <w:right w:w="28" w:type="dxa"/>
        </w:tblCellMar>
      </w:tblPr>
      <w:tblGrid>
        <w:gridCol w:w="2101"/>
        <w:gridCol w:w="4186"/>
      </w:tblGrid>
      <w:tr>
        <w:trPr/>
        <w:tc>
          <w:tcPr>
            <w:tcW w:w="2101"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6, 2023</w:t>
            </w:r>
          </w:p>
        </w:tc>
        <w:tc>
          <w:tcPr>
            <w:tcW w:w="41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Juan Graham</w:t>
            </w:r>
          </w:p>
        </w:tc>
      </w:tr>
      <w:tr>
        <w:trPr/>
        <w:tc>
          <w:tcPr>
            <w:tcW w:w="2101" w:type="dxa"/>
            <w:tcBorders/>
            <w:vAlign w:val="center"/>
          </w:tcPr>
          <w:p>
            <w:pPr>
              <w:pStyle w:val="TableContents"/>
              <w:bidi w:val="0"/>
              <w:spacing w:before="0" w:after="283"/>
              <w:jc w:val="left"/>
              <w:rPr/>
            </w:pPr>
            <w:r>
              <w:rPr/>
              <w:t> </w:t>
            </w:r>
          </w:p>
        </w:tc>
        <w:tc>
          <w:tcPr>
            <w:tcW w:w="4186"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Juan Graham</w:t>
            </w:r>
          </w:p>
          <w:p>
            <w:pPr>
              <w:pStyle w:val="TableContents"/>
              <w:bidi w:val="0"/>
              <w:jc w:val="left"/>
              <w:rPr>
                <w:rFonts w:ascii="Times New Roman" w:hAnsi="Times New Roman"/>
                <w:sz w:val="20"/>
              </w:rPr>
            </w:pPr>
            <w:r>
              <w:rPr>
                <w:rFonts w:ascii="Times New Roman" w:hAnsi="Times New Roman"/>
                <w:b w:val="false"/>
                <w:color w:val="000000"/>
                <w:sz w:val="20"/>
              </w:rPr>
              <w:t>Senior Vice President and Chief Financial Officer</w:t>
            </w:r>
            <w:r>
              <w:rPr>
                <w:rFonts w:ascii="Times New Roman" w:hAnsi="Times New Roman"/>
                <w:color w:val="000000"/>
                <w:sz w:val="20"/>
              </w:rPr>
              <w:t xml:space="preserve">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fgen-ex32_1.htm"/>
      <w:bookmarkStart w:id="30" w:name="ksfgenex32_1"/>
      <w:bookmarkEnd w:id="29"/>
      <w:bookmarkEnd w:id="30"/>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 set forth in Rule 13a-14(b) of the Securities Exchange Act of 1934, as amended (the “Exchange Act”), and Section 1350 of Chapter 63 of Title 18 of the United States Code (18 U.S.C. §1350), Thane Wettig, Interim Chief Executive Officer of FibroGen, Inc. (the "Company”), and Juan Graham, Chief Financial Officer of the Company, each hereby certifies that, to the best of his knowledge: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Company’s Quarterly Report on Form 10-Q for the period ended September 30, 2023, to which this Certification is attached as Exhibit 32.1 (the “Periodic Report”), fully complies with the requirements of Section 13(a) or Section 15(d) of the Exchange Act;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Dated: November 6, 2023</w:t>
      </w:r>
    </w:p>
    <w:p>
      <w:pPr>
        <w:pStyle w:val="TextBody"/>
        <w:bidi w:val="0"/>
        <w:spacing w:before="360" w:after="240"/>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b w:val="false"/>
          <w:color w:val="000000"/>
          <w:sz w:val="20"/>
        </w:rPr>
        <w:t>, the undersigned have set their hands hereto as of the 6</w:t>
      </w:r>
      <w:r>
        <w:rPr>
          <w:rFonts w:ascii="Times New Roman" w:hAnsi="Times New Roman"/>
          <w:b w:val="false"/>
          <w:color w:val="000000"/>
          <w:sz w:val="13"/>
        </w:rPr>
        <w:t>th</w:t>
      </w:r>
      <w:r>
        <w:rPr>
          <w:rFonts w:ascii="Times New Roman" w:hAnsi="Times New Roman"/>
          <w:color w:val="000000"/>
          <w:sz w:val="20"/>
        </w:rPr>
        <w:t xml:space="preserve"> </w:t>
      </w:r>
      <w:r>
        <w:rPr>
          <w:rFonts w:ascii="Times New Roman" w:hAnsi="Times New Roman"/>
          <w:b w:val="false"/>
          <w:color w:val="000000"/>
          <w:sz w:val="20"/>
        </w:rPr>
        <w:t>day of November, 2023.</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4513" w:type="dxa"/>
        <w:jc w:val="left"/>
        <w:tblInd w:w="0" w:type="dxa"/>
        <w:tblLayout w:type="fixed"/>
        <w:tblCellMar>
          <w:top w:w="28" w:type="dxa"/>
          <w:left w:w="28" w:type="dxa"/>
          <w:bottom w:w="28" w:type="dxa"/>
          <w:right w:w="28" w:type="dxa"/>
        </w:tblCellMar>
      </w:tblPr>
      <w:tblGrid>
        <w:gridCol w:w="2086"/>
        <w:gridCol w:w="146"/>
        <w:gridCol w:w="228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Thane Wettig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Juan Graham</w:t>
            </w:r>
          </w:p>
        </w:tc>
      </w:tr>
      <w:tr>
        <w:trPr/>
        <w:tc>
          <w:tcPr>
            <w:tcW w:w="20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Thane Wettig</w:t>
            </w:r>
          </w:p>
        </w:tc>
        <w:tc>
          <w:tcPr>
            <w:tcW w:w="146"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Juan Graham</w:t>
            </w:r>
          </w:p>
        </w:tc>
      </w:tr>
      <w:tr>
        <w:trPr/>
        <w:tc>
          <w:tcPr>
            <w:tcW w:w="2086"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Chief Executive Officer</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jc w:val="left"/>
              <w:rPr>
                <w:rFonts w:ascii="Times New Roman" w:hAnsi="Times New Roman"/>
                <w:sz w:val="20"/>
              </w:rPr>
            </w:pPr>
            <w:r>
              <w:rPr>
                <w:rFonts w:ascii="Times New Roman" w:hAnsi="Times New Roman"/>
                <w:b w:val="false"/>
                <w:color w:val="000000"/>
                <w:sz w:val="20"/>
              </w:rPr>
              <w:t>Senior Vice President and</w:t>
            </w:r>
            <w:r>
              <w:rPr>
                <w:rFonts w:ascii="Times New Roman" w:hAnsi="Times New Roman"/>
                <w:color w:val="000000"/>
                <w:sz w:val="20"/>
              </w:rPr>
              <w:t xml:space="preserve">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1299/000119312514420380/d824859dex31.htm" TargetMode="External"/><Relationship Id="rId3" Type="http://schemas.openxmlformats.org/officeDocument/2006/relationships/hyperlink" Target="https://www.sec.gov/Archives/edgar/data/921299/000119312514380087/d720189dex34.htm" TargetMode="External"/><Relationship Id="rId4" Type="http://schemas.openxmlformats.org/officeDocument/2006/relationships/hyperlink" Target="https://www.sec.gov/Archives/edgar/data/921299/000119312514420380/d824859dex41.htm" TargetMode="External"/><Relationship Id="rId5" Type="http://schemas.openxmlformats.org/officeDocument/2006/relationships/hyperlink" Target="https://www.sec.gov/Archives/edgar/data/0000921299/000119312514381669/d720189dex417.htm" TargetMode="External"/><Relationship Id="rId6" Type="http://schemas.openxmlformats.org/officeDocument/2006/relationships/hyperlink" Target="https://www.sec.gov/Archives/edgar/data/921299/000095017023034234/fgen-ex10_1.htm" TargetMode="External"/><Relationship Id="rId7" Type="http://schemas.openxmlformats.org/officeDocument/2006/relationships/hyperlink" Target="https://www.sec.gov/Archives/edgar/data/921299/000095017023034234/fgen-ex10_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58852</Words>
  <Characters>331092</Characters>
  <CharactersWithSpaces>391209</CharactersWithSpaces>
  <Paragraphs>9095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