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0" w:right="360" w:hanging="339"/>
        <w:spacing w:after="0" w:line="234"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360" w:right="360" w:hanging="339"/>
        <w:spacing w:after="0" w:line="243" w:lineRule="auto"/>
        <w:tabs>
          <w:tab w:leader="none" w:pos="3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51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41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31"/>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gridSpan w:val="6"/>
          </w:tcPr>
          <w:p>
            <w:pPr>
              <w:jc w:val="center"/>
              <w:ind w:right="3163"/>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583"/>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gridSpan w:val="6"/>
          </w:tcPr>
          <w:p>
            <w:pPr>
              <w:jc w:val="center"/>
              <w:ind w:right="3163"/>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3060" w:type="dxa"/>
            <w:vAlign w:val="bottom"/>
          </w:tcPr>
          <w:p>
            <w:pPr>
              <w:spacing w:after="0"/>
              <w:rPr>
                <w:sz w:val="20"/>
                <w:szCs w:val="20"/>
                <w:color w:val="auto"/>
              </w:rPr>
            </w:pPr>
          </w:p>
        </w:tc>
        <w:tc>
          <w:tcPr>
            <w:tcW w:w="7180" w:type="dxa"/>
            <w:vAlign w:val="bottom"/>
            <w:gridSpan w:val="7"/>
          </w:tcPr>
          <w:p>
            <w:pPr>
              <w:jc w:val="center"/>
              <w:ind w:right="296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6"/>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403"/>
        </w:trPr>
        <w:tc>
          <w:tcPr>
            <w:tcW w:w="3060" w:type="dxa"/>
            <w:vAlign w:val="bottom"/>
          </w:tcPr>
          <w:p>
            <w:pPr>
              <w:jc w:val="center"/>
              <w:ind w:left="137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00" w:type="dxa"/>
            <w:vAlign w:val="bottom"/>
            <w:gridSpan w:val="3"/>
          </w:tcPr>
          <w:p>
            <w:pPr>
              <w:jc w:val="right"/>
              <w:ind w:right="1743"/>
              <w:spacing w:after="0"/>
              <w:rPr>
                <w:sz w:val="20"/>
                <w:szCs w:val="20"/>
                <w:color w:val="auto"/>
              </w:rPr>
            </w:pPr>
            <w:r>
              <w:rPr>
                <w:rFonts w:ascii="Arial" w:cs="Arial" w:eastAsia="Arial" w:hAnsi="Arial"/>
                <w:sz w:val="18"/>
                <w:szCs w:val="18"/>
                <w:b w:val="1"/>
                <w:bCs w:val="1"/>
                <w:color w:val="auto"/>
              </w:rPr>
              <w:t>77-0357827</w:t>
            </w:r>
          </w:p>
        </w:tc>
      </w:tr>
      <w:tr>
        <w:trPr>
          <w:trHeight w:val="162"/>
        </w:trPr>
        <w:tc>
          <w:tcPr>
            <w:tcW w:w="6140" w:type="dxa"/>
            <w:vAlign w:val="bottom"/>
            <w:gridSpan w:val="5"/>
          </w:tcPr>
          <w:p>
            <w:pPr>
              <w:jc w:val="center"/>
              <w:ind w:right="1600"/>
              <w:spacing w:after="0"/>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60" w:type="dxa"/>
            <w:vAlign w:val="bottom"/>
          </w:tcPr>
          <w:p>
            <w:pPr>
              <w:jc w:val="center"/>
              <w:ind w:right="124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jc w:val="center"/>
              <w:ind w:right="1263"/>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060" w:type="dxa"/>
            <w:vAlign w:val="bottom"/>
          </w:tcPr>
          <w:p>
            <w:pPr>
              <w:jc w:val="center"/>
              <w:ind w:left="1379"/>
              <w:spacing w:after="0"/>
              <w:rPr>
                <w:sz w:val="20"/>
                <w:szCs w:val="20"/>
                <w:color w:val="auto"/>
              </w:rPr>
            </w:pPr>
            <w:r>
              <w:rPr>
                <w:rFonts w:ascii="Arial" w:cs="Arial" w:eastAsia="Arial" w:hAnsi="Arial"/>
                <w:sz w:val="18"/>
                <w:szCs w:val="18"/>
                <w:b w:val="1"/>
                <w:bCs w:val="1"/>
                <w:color w:val="auto"/>
                <w:w w:val="91"/>
              </w:rPr>
              <w:t>409 Illinois Street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5"/>
        </w:trPr>
        <w:tc>
          <w:tcPr>
            <w:tcW w:w="3060" w:type="dxa"/>
            <w:vAlign w:val="bottom"/>
          </w:tcPr>
          <w:p>
            <w:pPr>
              <w:jc w:val="center"/>
              <w:ind w:left="1379"/>
              <w:spacing w:after="0"/>
              <w:rPr>
                <w:sz w:val="20"/>
                <w:szCs w:val="20"/>
                <w:color w:val="auto"/>
              </w:rPr>
            </w:pPr>
            <w:r>
              <w:rPr>
                <w:rFonts w:ascii="Arial" w:cs="Arial" w:eastAsia="Arial" w:hAnsi="Arial"/>
                <w:sz w:val="18"/>
                <w:szCs w:val="18"/>
                <w:b w:val="1"/>
                <w:bCs w:val="1"/>
                <w:color w:val="auto"/>
                <w:w w:val="90"/>
              </w:rPr>
              <w:t>San Francisco, CA</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00" w:type="dxa"/>
            <w:vAlign w:val="bottom"/>
            <w:gridSpan w:val="3"/>
          </w:tcPr>
          <w:p>
            <w:pPr>
              <w:jc w:val="right"/>
              <w:ind w:right="1943"/>
              <w:spacing w:after="0"/>
              <w:rPr>
                <w:sz w:val="20"/>
                <w:szCs w:val="20"/>
                <w:color w:val="auto"/>
              </w:rPr>
            </w:pPr>
            <w:r>
              <w:rPr>
                <w:rFonts w:ascii="Arial" w:cs="Arial" w:eastAsia="Arial" w:hAnsi="Arial"/>
                <w:sz w:val="18"/>
                <w:szCs w:val="18"/>
                <w:b w:val="1"/>
                <w:bCs w:val="1"/>
                <w:color w:val="auto"/>
              </w:rPr>
              <w:t>94158</w:t>
            </w:r>
          </w:p>
        </w:tc>
      </w:tr>
      <w:tr>
        <w:trPr>
          <w:trHeight w:val="186"/>
        </w:trPr>
        <w:tc>
          <w:tcPr>
            <w:tcW w:w="6140" w:type="dxa"/>
            <w:vAlign w:val="bottom"/>
            <w:gridSpan w:val="5"/>
          </w:tcPr>
          <w:p>
            <w:pPr>
              <w:jc w:val="center"/>
              <w:ind w:right="1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60" w:type="dxa"/>
            <w:vAlign w:val="bottom"/>
          </w:tcPr>
          <w:p>
            <w:pPr>
              <w:jc w:val="center"/>
              <w:ind w:right="1263"/>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30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80" w:type="dxa"/>
            <w:vAlign w:val="bottom"/>
            <w:gridSpan w:val="6"/>
          </w:tcPr>
          <w:p>
            <w:pPr>
              <w:jc w:val="center"/>
              <w:ind w:right="3183"/>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28"/>
        </w:trPr>
        <w:tc>
          <w:tcPr>
            <w:tcW w:w="326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64"/>
        </w:trPr>
        <w:tc>
          <w:tcPr>
            <w:tcW w:w="6140" w:type="dxa"/>
            <w:vAlign w:val="bottom"/>
            <w:gridSpan w:val="5"/>
          </w:tcPr>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39"/>
        </w:trPr>
        <w:tc>
          <w:tcPr>
            <w:tcW w:w="3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r>
      <w:tr>
        <w:trPr>
          <w:trHeight w:val="127"/>
        </w:trPr>
        <w:tc>
          <w:tcPr>
            <w:tcW w:w="3060" w:type="dxa"/>
            <w:vAlign w:val="bottom"/>
            <w:tcBorders>
              <w:left w:val="single" w:sz="8" w:color="auto"/>
            </w:tcBorders>
          </w:tcPr>
          <w:p>
            <w:pPr>
              <w:ind w:left="960"/>
              <w:spacing w:after="0" w:line="128" w:lineRule="exact"/>
              <w:rPr>
                <w:sz w:val="20"/>
                <w:szCs w:val="20"/>
                <w:color w:val="auto"/>
              </w:rPr>
            </w:pPr>
            <w:r>
              <w:rPr>
                <w:rFonts w:ascii="Arial" w:cs="Arial" w:eastAsia="Arial" w:hAnsi="Arial"/>
                <w:sz w:val="13"/>
                <w:szCs w:val="13"/>
                <w:b w:val="1"/>
                <w:bCs w:val="1"/>
                <w:color w:val="auto"/>
              </w:rPr>
              <w:t>Title of each class</w:t>
            </w:r>
          </w:p>
        </w:tc>
        <w:tc>
          <w:tcPr>
            <w:tcW w:w="20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jc w:val="center"/>
              <w:ind w:left="101"/>
              <w:spacing w:after="0" w:line="128" w:lineRule="exact"/>
              <w:rPr>
                <w:sz w:val="20"/>
                <w:szCs w:val="20"/>
                <w:color w:val="auto"/>
              </w:rPr>
            </w:pPr>
            <w:r>
              <w:rPr>
                <w:rFonts w:ascii="Arial" w:cs="Arial" w:eastAsia="Arial" w:hAnsi="Arial"/>
                <w:sz w:val="13"/>
                <w:szCs w:val="13"/>
                <w:b w:val="1"/>
                <w:bCs w:val="1"/>
                <w:color w:val="auto"/>
              </w:rPr>
              <w:t>Trading Symbol</w:t>
            </w:r>
          </w:p>
        </w:tc>
        <w:tc>
          <w:tcPr>
            <w:tcW w:w="10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31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rPr>
              <w:t>Name of each exchange on which</w:t>
            </w:r>
          </w:p>
        </w:tc>
      </w:tr>
      <w:tr>
        <w:trPr>
          <w:trHeight w:val="251"/>
        </w:trPr>
        <w:tc>
          <w:tcPr>
            <w:tcW w:w="306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3"/>
        </w:trPr>
        <w:tc>
          <w:tcPr>
            <w:tcW w:w="3060" w:type="dxa"/>
            <w:vAlign w:val="bottom"/>
            <w:tcBorders>
              <w:left w:val="single" w:sz="8" w:color="auto"/>
              <w:bottom w:val="single" w:sz="8" w:color="auto"/>
            </w:tcBorders>
          </w:tcPr>
          <w:p>
            <w:pPr>
              <w:ind w:left="120"/>
              <w:spacing w:after="0" w:line="193" w:lineRule="exact"/>
              <w:rPr>
                <w:sz w:val="20"/>
                <w:szCs w:val="20"/>
                <w:color w:val="auto"/>
              </w:rPr>
            </w:pPr>
            <w:r>
              <w:rPr>
                <w:rFonts w:ascii="Arial" w:cs="Arial" w:eastAsia="Arial" w:hAnsi="Arial"/>
                <w:sz w:val="18"/>
                <w:szCs w:val="18"/>
                <w:color w:val="auto"/>
              </w:rPr>
              <w:t>Common Stock, $0.01 par value</w:t>
            </w:r>
          </w:p>
        </w:tc>
        <w:tc>
          <w:tcPr>
            <w:tcW w:w="2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center"/>
              <w:ind w:left="121"/>
              <w:spacing w:after="0" w:line="193" w:lineRule="exact"/>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31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Select Market</w:t>
            </w:r>
          </w:p>
        </w:tc>
      </w:tr>
    </w:tbl>
    <w:p>
      <w:pPr>
        <w:spacing w:after="0" w:line="53" w:lineRule="exact"/>
        <w:rPr>
          <w:sz w:val="24"/>
          <w:szCs w:val="24"/>
          <w:color w:val="auto"/>
        </w:rPr>
      </w:pPr>
    </w:p>
    <w:p>
      <w:pPr>
        <w:jc w:val="both"/>
        <w:ind w:right="40" w:firstLine="562"/>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firstLine="562"/>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jc w:val="both"/>
        <w:ind w:right="140" w:firstLine="562"/>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0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8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20" w:firstLine="56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80" w:right="1580"/>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October 31, 2022 was 93,957,688.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vMerge w:val="restart"/>
          </w:tcPr>
          <w:p>
            <w:pPr>
              <w:spacing w:after="0"/>
              <w:rPr>
                <w:sz w:val="15"/>
                <w:szCs w:val="15"/>
                <w:color w:val="auto"/>
              </w:rPr>
            </w:pPr>
          </w:p>
        </w:tc>
        <w:tc>
          <w:tcPr>
            <w:tcW w:w="7040" w:type="dxa"/>
            <w:vAlign w:val="bottom"/>
            <w:gridSpan w:val="15"/>
            <w:vMerge w:val="restart"/>
          </w:tcPr>
          <w:p>
            <w:pPr>
              <w:jc w:val="center"/>
              <w:ind w:right="3880"/>
              <w:spacing w:after="0"/>
              <w:rPr>
                <w:sz w:val="20"/>
                <w:szCs w:val="20"/>
                <w:color w:val="auto"/>
              </w:rPr>
            </w:pPr>
            <w:r>
              <w:rPr>
                <w:rFonts w:ascii="Arial" w:cs="Arial" w:eastAsia="Arial" w:hAnsi="Arial"/>
                <w:sz w:val="18"/>
                <w:szCs w:val="18"/>
                <w:b w:val="1"/>
                <w:bCs w:val="1"/>
                <w:color w:val="0000FF"/>
              </w:rPr>
              <w:t>PART I—FINANCIAL INFORMATION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40" w:type="dxa"/>
            <w:vAlign w:val="bottom"/>
            <w:gridSpan w:val="15"/>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2840" w:type="dxa"/>
            <w:vAlign w:val="bottom"/>
            <w:gridSpan w:val="13"/>
          </w:tcPr>
          <w:p>
            <w:pPr>
              <w:spacing w:after="0"/>
              <w:rPr>
                <w:sz w:val="20"/>
                <w:szCs w:val="20"/>
                <w:color w:val="auto"/>
              </w:rPr>
            </w:pPr>
            <w:r>
              <w:rPr>
                <w:rFonts w:ascii="Arial" w:cs="Arial" w:eastAsia="Arial" w:hAnsi="Arial"/>
                <w:sz w:val="18"/>
                <w:szCs w:val="18"/>
                <w:color w:val="0000FF"/>
              </w:rPr>
              <w:t>Financial Statements</w:t>
            </w:r>
          </w:p>
        </w:tc>
        <w:tc>
          <w:tcPr>
            <w:tcW w:w="3160" w:type="dxa"/>
            <w:vAlign w:val="bottom"/>
            <w:tcBorders>
              <w:top w:val="single" w:sz="8" w:color="0000FF"/>
            </w:tcBorders>
            <w:gridSpan w:val="7"/>
          </w:tcPr>
          <w:p>
            <w:pPr>
              <w:spacing w:after="0"/>
              <w:rPr>
                <w:sz w:val="24"/>
                <w:szCs w:val="24"/>
                <w:color w:val="auto"/>
              </w:rPr>
            </w:pPr>
          </w:p>
        </w:tc>
        <w:tc>
          <w:tcPr>
            <w:tcW w:w="38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50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18"/>
                <w:szCs w:val="18"/>
                <w:color w:val="0000FF"/>
                <w:w w:val="88"/>
              </w:rPr>
              <w:t>Condensed Consolidated Balance Sheets as of September 30, 2022 and December 31, 2021 (Unaudited)</w:t>
            </w:r>
          </w:p>
        </w:tc>
        <w:tc>
          <w:tcPr>
            <w:tcW w:w="20" w:type="dxa"/>
            <w:vAlign w:val="bottom"/>
            <w:tcBorders>
              <w:bottom w:val="single" w:sz="8" w:color="0000EE"/>
            </w:tcBorders>
          </w:tcPr>
          <w:p>
            <w:pPr>
              <w:spacing w:after="0"/>
              <w:rPr>
                <w:sz w:val="17"/>
                <w:szCs w:val="17"/>
                <w:color w:val="auto"/>
              </w:rPr>
            </w:pPr>
          </w:p>
        </w:tc>
        <w:tc>
          <w:tcPr>
            <w:tcW w:w="236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w w:val="92"/>
              </w:rPr>
              <w:t>Condensed Consolidated Statements of Operations for the Three and Nine Months Ended September 30, 2022 and 2021 (Unaudited)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w w:val="91"/>
              </w:rPr>
              <w:t>Condensed Consolidated Statements of Comprehensive Income (Loss) for the Three and Nine Months Ended September 30, 2022 and</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972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8"/>
                <w:szCs w:val="18"/>
                <w:color w:val="0000FF"/>
              </w:rPr>
              <w:t>2021 (Unaudited)</w:t>
            </w: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w w:val="96"/>
              </w:rPr>
              <w:t>Condensed Consolidated Statements of Changes in Equity for the Three and Nine Months Ended September 30, 2022 and 2021</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8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1"/>
              </w:rPr>
              <w:t>(Unaudited)</w:t>
            </w:r>
          </w:p>
        </w:tc>
        <w:tc>
          <w:tcPr>
            <w:tcW w:w="20" w:type="dxa"/>
            <w:vAlign w:val="bottom"/>
            <w:tcBorders>
              <w:top w:val="single" w:sz="8" w:color="0000FF"/>
              <w:bottom w:val="single" w:sz="8" w:color="0000EE"/>
            </w:tcBorders>
          </w:tcPr>
          <w:p>
            <w:pPr>
              <w:spacing w:after="0"/>
              <w:rPr>
                <w:sz w:val="14"/>
                <w:szCs w:val="14"/>
                <w:color w:val="auto"/>
              </w:rPr>
            </w:pPr>
          </w:p>
        </w:tc>
        <w:tc>
          <w:tcPr>
            <w:tcW w:w="8340" w:type="dxa"/>
            <w:vAlign w:val="bottom"/>
            <w:tcBorders>
              <w:top w:val="single" w:sz="8" w:color="0000FF"/>
            </w:tcBorders>
            <w:gridSpan w:val="21"/>
          </w:tcPr>
          <w:p>
            <w:pPr>
              <w:spacing w:after="0"/>
              <w:rPr>
                <w:sz w:val="14"/>
                <w:szCs w:val="14"/>
                <w:color w:val="auto"/>
              </w:rPr>
            </w:pPr>
          </w:p>
        </w:tc>
        <w:tc>
          <w:tcPr>
            <w:tcW w:w="640" w:type="dxa"/>
            <w:vAlign w:val="bottom"/>
            <w:gridSpan w:val="3"/>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rPr>
              <w:t>Condensed Consolidated Statements of Cash Flows for the Nine Months Ended September 30, 2022 and 2021 (Unaudited)</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89"/>
              </w:rPr>
              <w:t>Notes to the Condensed Consolidated Financial Statements (Unaudited)</w:t>
            </w:r>
          </w:p>
        </w:tc>
        <w:tc>
          <w:tcPr>
            <w:tcW w:w="20" w:type="dxa"/>
            <w:vAlign w:val="bottom"/>
            <w:tcBorders>
              <w:top w:val="single" w:sz="8" w:color="0000FF"/>
              <w:bottom w:val="single" w:sz="8" w:color="0000EE"/>
            </w:tcBorders>
          </w:tcPr>
          <w:p>
            <w:pPr>
              <w:spacing w:after="0"/>
              <w:rPr>
                <w:sz w:val="17"/>
                <w:szCs w:val="17"/>
                <w:color w:val="auto"/>
              </w:rPr>
            </w:pPr>
          </w:p>
        </w:tc>
        <w:tc>
          <w:tcPr>
            <w:tcW w:w="3640" w:type="dxa"/>
            <w:vAlign w:val="bottom"/>
            <w:tcBorders>
              <w:top w:val="single" w:sz="8" w:color="0000FF"/>
            </w:tcBorders>
            <w:gridSpan w:val="6"/>
          </w:tcPr>
          <w:p>
            <w:pPr>
              <w:spacing w:after="0"/>
              <w:rPr>
                <w:sz w:val="17"/>
                <w:szCs w:val="17"/>
                <w:color w:val="auto"/>
              </w:rPr>
            </w:pPr>
          </w:p>
        </w:tc>
        <w:tc>
          <w:tcPr>
            <w:tcW w:w="10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5"/>
          </w:tcPr>
          <w:p>
            <w:pPr>
              <w:spacing w:after="0"/>
              <w:rPr>
                <w:sz w:val="17"/>
                <w:szCs w:val="17"/>
                <w:color w:val="auto"/>
              </w:rPr>
            </w:pPr>
          </w:p>
        </w:tc>
        <w:tc>
          <w:tcPr>
            <w:tcW w:w="342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rPr>
              <w:t>Controls and Procedures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5"/>
          </w:tcPr>
          <w:p>
            <w:pPr>
              <w:jc w:val="center"/>
              <w:ind w:right="3860"/>
              <w:spacing w:after="0"/>
              <w:rPr>
                <w:sz w:val="20"/>
                <w:szCs w:val="20"/>
                <w:color w:val="auto"/>
              </w:rPr>
            </w:pPr>
            <w:r>
              <w:rPr>
                <w:rFonts w:ascii="Arial" w:cs="Arial" w:eastAsia="Arial" w:hAnsi="Arial"/>
                <w:sz w:val="18"/>
                <w:szCs w:val="18"/>
                <w:b w:val="1"/>
                <w:bCs w:val="1"/>
                <w:color w:val="0000FF"/>
              </w:rPr>
              <w:t>PART II—OTHER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Legal Proceedings</w:t>
            </w:r>
          </w:p>
        </w:tc>
        <w:tc>
          <w:tcPr>
            <w:tcW w:w="1660" w:type="dxa"/>
            <w:vAlign w:val="bottom"/>
            <w:gridSpan w:val="5"/>
          </w:tcPr>
          <w:p>
            <w:pPr>
              <w:spacing w:after="0"/>
              <w:rPr>
                <w:sz w:val="24"/>
                <w:szCs w:val="24"/>
                <w:color w:val="auto"/>
              </w:rPr>
            </w:pPr>
          </w:p>
        </w:tc>
        <w:tc>
          <w:tcPr>
            <w:tcW w:w="2860" w:type="dxa"/>
            <w:vAlign w:val="bottom"/>
            <w:tcBorders>
              <w:top w:val="single" w:sz="8" w:color="0000FF"/>
            </w:tcBorders>
            <w:gridSpan w:val="5"/>
          </w:tcPr>
          <w:p>
            <w:pPr>
              <w:spacing w:after="0"/>
              <w:rPr>
                <w:sz w:val="24"/>
                <w:szCs w:val="24"/>
                <w:color w:val="auto"/>
              </w:rPr>
            </w:pPr>
          </w:p>
        </w:tc>
        <w:tc>
          <w:tcPr>
            <w:tcW w:w="402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7"/>
                <w:szCs w:val="17"/>
                <w:color w:val="auto"/>
              </w:rPr>
            </w:pPr>
          </w:p>
        </w:tc>
        <w:tc>
          <w:tcPr>
            <w:tcW w:w="894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89"/>
              </w:rPr>
              <w:t>Unregistered Sales of Equity Securities and Use of Proceeds</w:t>
            </w:r>
          </w:p>
        </w:tc>
        <w:tc>
          <w:tcPr>
            <w:tcW w:w="552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tcPr>
          <w:p>
            <w:pPr>
              <w:spacing w:after="0"/>
              <w:rPr>
                <w:sz w:val="17"/>
                <w:szCs w:val="17"/>
                <w:color w:val="auto"/>
              </w:rPr>
            </w:pPr>
          </w:p>
        </w:tc>
        <w:tc>
          <w:tcPr>
            <w:tcW w:w="756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2"/>
              </w:rPr>
              <w:t>Other Information</w:t>
            </w:r>
          </w:p>
        </w:tc>
        <w:tc>
          <w:tcPr>
            <w:tcW w:w="856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Item 6.</w:t>
            </w: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rPr>
              <w:t>Exhibits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20" w:type="dxa"/>
            <w:vAlign w:val="bottom"/>
            <w:gridSpan w:val="2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FF"/>
              </w:rPr>
              <w:t>Signatures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420" w:type="dxa"/>
            <w:vAlign w:val="bottom"/>
            <w:gridSpan w:val="15"/>
          </w:tcPr>
          <w:p>
            <w:pPr>
              <w:jc w:val="right"/>
              <w:ind w:right="4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21" w:lineRule="auto"/>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2022</w:t>
            </w: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2021</w:t>
            </w:r>
          </w:p>
        </w:tc>
      </w:tr>
      <w:tr>
        <w:trPr>
          <w:trHeight w:val="169"/>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155,960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171,223</w:t>
            </w: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252,560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233,967</w:t>
            </w: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($14,337 and $10,930 from related parties)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15,328</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17,401</w:t>
            </w: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39,950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31,015</w:t>
            </w:r>
          </w:p>
        </w:tc>
        <w:tc>
          <w:tcPr>
            <w:tcW w:w="100" w:type="dxa"/>
            <w:vAlign w:val="bottom"/>
          </w:tcPr>
          <w:p>
            <w:pPr>
              <w:spacing w:after="0"/>
              <w:rPr>
                <w:sz w:val="15"/>
                <w:szCs w:val="15"/>
                <w:color w:val="auto"/>
              </w:rPr>
            </w:pPr>
          </w:p>
        </w:tc>
      </w:tr>
      <w:tr>
        <w:trPr>
          <w:trHeight w:val="176"/>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10,426</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474,224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474,059</w:t>
            </w:r>
          </w:p>
        </w:tc>
        <w:tc>
          <w:tcPr>
            <w:tcW w:w="100" w:type="dxa"/>
            <w:vAlign w:val="bottom"/>
          </w:tcPr>
          <w:p>
            <w:pPr>
              <w:spacing w:after="0"/>
              <w:rPr>
                <w:sz w:val="14"/>
                <w:szCs w:val="14"/>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time deposits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2,072</w:t>
            </w:r>
          </w:p>
        </w:tc>
        <w:tc>
          <w:tcPr>
            <w:tcW w:w="100" w:type="dxa"/>
            <w:vAlign w:val="bottom"/>
            <w:shd w:val="clear" w:color="auto" w:fill="CFF0FC"/>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Long-term investments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17,780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167,796</w:t>
            </w:r>
          </w:p>
        </w:tc>
        <w:tc>
          <w:tcPr>
            <w:tcW w:w="100" w:type="dxa"/>
            <w:vAlign w:val="bottom"/>
          </w:tcPr>
          <w:p>
            <w:pPr>
              <w:spacing w:after="0"/>
              <w:rPr>
                <w:sz w:val="15"/>
                <w:szCs w:val="15"/>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22,287</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shd w:val="clear" w:color="auto" w:fill="CFF0FC"/>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Equity method investment in unconsolidated variable interest entity</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4,631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3,825</w:t>
            </w: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82,903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91,112</w:t>
            </w: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4,940</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6,680</w:t>
            </w:r>
          </w:p>
        </w:tc>
        <w:tc>
          <w:tcPr>
            <w:tcW w:w="100" w:type="dxa"/>
            <w:vAlign w:val="bottom"/>
          </w:tcPr>
          <w:p>
            <w:pPr>
              <w:spacing w:after="0"/>
              <w:rPr>
                <w:sz w:val="15"/>
                <w:szCs w:val="15"/>
                <w:color w:val="auto"/>
              </w:rPr>
            </w:pPr>
          </w:p>
        </w:tc>
      </w:tr>
      <w:tr>
        <w:trPr>
          <w:trHeight w:val="209"/>
        </w:trPr>
        <w:tc>
          <w:tcPr>
            <w:tcW w:w="7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608,837</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773,821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stockholders’ equity and non-controlling interests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19,323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26,097</w:t>
            </w:r>
          </w:p>
        </w:tc>
        <w:tc>
          <w:tcPr>
            <w:tcW w:w="100" w:type="dxa"/>
            <w:vAlign w:val="bottom"/>
            <w:shd w:val="clear" w:color="auto" w:fill="CFF0FC"/>
          </w:tcPr>
          <w:p>
            <w:pPr>
              <w:spacing w:after="0"/>
              <w:rPr>
                <w:sz w:val="15"/>
                <w:szCs w:val="15"/>
                <w:color w:val="auto"/>
              </w:rPr>
            </w:pPr>
          </w:p>
        </w:tc>
      </w:tr>
      <w:tr>
        <w:trPr>
          <w:trHeight w:val="176"/>
        </w:trPr>
        <w:tc>
          <w:tcPr>
            <w:tcW w:w="7780" w:type="dxa"/>
            <w:vAlign w:val="bottom"/>
          </w:tcPr>
          <w:p>
            <w:pPr>
              <w:ind w:left="200"/>
              <w:spacing w:after="0"/>
              <w:rPr>
                <w:sz w:val="20"/>
                <w:szCs w:val="20"/>
                <w:color w:val="auto"/>
              </w:rPr>
            </w:pPr>
            <w:r>
              <w:rPr>
                <w:rFonts w:ascii="Arial" w:cs="Arial" w:eastAsia="Arial" w:hAnsi="Arial"/>
                <w:sz w:val="14"/>
                <w:szCs w:val="14"/>
                <w:color w:val="auto"/>
              </w:rPr>
              <w:t>Accrued and other current liabilities ($55,305 and $4 to a related party)</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213,806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172,599</w:t>
            </w:r>
          </w:p>
        </w:tc>
        <w:tc>
          <w:tcPr>
            <w:tcW w:w="100" w:type="dxa"/>
            <w:vAlign w:val="bottom"/>
          </w:tcPr>
          <w:p>
            <w:pPr>
              <w:spacing w:after="0"/>
              <w:rPr>
                <w:sz w:val="15"/>
                <w:szCs w:val="15"/>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 ($4,706 and $3,201 to related parties)</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7,361</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15,857</w:t>
            </w:r>
          </w:p>
        </w:tc>
        <w:tc>
          <w:tcPr>
            <w:tcW w:w="100" w:type="dxa"/>
            <w:vAlign w:val="bottom"/>
            <w:shd w:val="clear" w:color="auto" w:fill="CFF0FC"/>
          </w:tcPr>
          <w:p>
            <w:pPr>
              <w:spacing w:after="0"/>
              <w:rPr>
                <w:sz w:val="15"/>
                <w:szCs w:val="15"/>
                <w:color w:val="auto"/>
              </w:rPr>
            </w:pPr>
          </w:p>
        </w:tc>
      </w:tr>
      <w:tr>
        <w:trPr>
          <w:trHeight w:val="176"/>
        </w:trPr>
        <w:tc>
          <w:tcPr>
            <w:tcW w:w="778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Operating lease liabilities, current</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11,504</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10,944</w:t>
            </w:r>
          </w:p>
        </w:tc>
        <w:tc>
          <w:tcPr>
            <w:tcW w:w="100" w:type="dxa"/>
            <w:vAlign w:val="bottom"/>
            <w:tcBorders>
              <w:bottom w:val="single" w:sz="8" w:color="CFF0FC"/>
            </w:tcBorders>
          </w:tcPr>
          <w:p>
            <w:pPr>
              <w:spacing w:after="0"/>
              <w:rPr>
                <w:sz w:val="15"/>
                <w:szCs w:val="15"/>
                <w:color w:val="auto"/>
              </w:rPr>
            </w:pPr>
          </w:p>
        </w:tc>
      </w:tr>
      <w:tr>
        <w:trPr>
          <w:trHeight w:val="169"/>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251,994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225,497</w:t>
            </w:r>
          </w:p>
        </w:tc>
        <w:tc>
          <w:tcPr>
            <w:tcW w:w="100" w:type="dxa"/>
            <w:vAlign w:val="bottom"/>
            <w:shd w:val="clear" w:color="auto" w:fill="CFF0FC"/>
          </w:tcPr>
          <w:p>
            <w:pPr>
              <w:spacing w:after="0"/>
              <w:rPr>
                <w:sz w:val="14"/>
                <w:szCs w:val="14"/>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Product development obligations</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17,613</w:t>
            </w:r>
          </w:p>
        </w:tc>
        <w:tc>
          <w:tcPr>
            <w:tcW w:w="100" w:type="dxa"/>
            <w:vAlign w:val="bottom"/>
          </w:tcPr>
          <w:p>
            <w:pPr>
              <w:spacing w:after="0"/>
              <w:rPr>
                <w:sz w:val="15"/>
                <w:szCs w:val="15"/>
                <w:color w:val="auto"/>
              </w:rPr>
            </w:pPr>
          </w:p>
        </w:tc>
      </w:tr>
      <w:tr>
        <w:trPr>
          <w:trHeight w:val="175"/>
        </w:trPr>
        <w:tc>
          <w:tcPr>
            <w:tcW w:w="7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 net of current ($42,278 and $25,891 to a related party)</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199,758</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186,801</w:t>
            </w: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81,091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88,776</w:t>
            </w:r>
          </w:p>
        </w:tc>
        <w:tc>
          <w:tcPr>
            <w:tcW w:w="100" w:type="dxa"/>
            <w:vAlign w:val="bottom"/>
          </w:tcPr>
          <w:p>
            <w:pPr>
              <w:spacing w:after="0"/>
              <w:rPr>
                <w:sz w:val="15"/>
                <w:szCs w:val="15"/>
                <w:color w:val="auto"/>
              </w:rPr>
            </w:pPr>
          </w:p>
        </w:tc>
      </w:tr>
      <w:tr>
        <w:trPr>
          <w:trHeight w:val="17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14,299</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26,021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562,564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544,708</w:t>
            </w:r>
          </w:p>
        </w:tc>
        <w:tc>
          <w:tcPr>
            <w:tcW w:w="100" w:type="dxa"/>
            <w:vAlign w:val="bottom"/>
          </w:tcPr>
          <w:p>
            <w:pPr>
              <w:spacing w:after="0"/>
              <w:rPr>
                <w:sz w:val="14"/>
                <w:szCs w:val="14"/>
                <w:color w:val="auto"/>
              </w:rPr>
            </w:pPr>
          </w:p>
        </w:tc>
      </w:tr>
      <w:tr>
        <w:trPr>
          <w:trHeight w:val="175"/>
        </w:trPr>
        <w:tc>
          <w:tcPr>
            <w:tcW w:w="7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7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$0.01 par value; 125,000 shares authorized; no shares issued</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at September 30, 2022 and December 31, 2021</w:t>
            </w: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80" w:type="dxa"/>
            <w:vAlign w:val="bottom"/>
          </w:tcPr>
          <w:p>
            <w:pPr>
              <w:ind w:left="200"/>
              <w:spacing w:after="0" w:line="143" w:lineRule="exact"/>
              <w:rPr>
                <w:sz w:val="20"/>
                <w:szCs w:val="20"/>
                <w:color w:val="auto"/>
              </w:rPr>
            </w:pPr>
            <w:r>
              <w:rPr>
                <w:rFonts w:ascii="Arial" w:cs="Arial" w:eastAsia="Arial" w:hAnsi="Arial"/>
                <w:sz w:val="14"/>
                <w:szCs w:val="14"/>
                <w:color w:val="auto"/>
              </w:rPr>
              <w:t>Common stock, $0.01 par value; 225,000 shares authorized at September 30, 2022</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80" w:type="dxa"/>
            <w:vAlign w:val="bottom"/>
          </w:tcPr>
          <w:p>
            <w:pPr>
              <w:ind w:left="300"/>
              <w:spacing w:after="0" w:line="149" w:lineRule="exact"/>
              <w:rPr>
                <w:sz w:val="20"/>
                <w:szCs w:val="20"/>
                <w:color w:val="auto"/>
              </w:rPr>
            </w:pPr>
            <w:r>
              <w:rPr>
                <w:rFonts w:ascii="Arial" w:cs="Arial" w:eastAsia="Arial" w:hAnsi="Arial"/>
                <w:sz w:val="14"/>
                <w:szCs w:val="14"/>
                <w:color w:val="auto"/>
              </w:rPr>
              <w:t>and December 31, 2021; 93,936 and 92,881 shares issued and outstanding at</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7780" w:type="dxa"/>
            <w:vAlign w:val="bottom"/>
          </w:tcPr>
          <w:p>
            <w:pPr>
              <w:ind w:left="280"/>
              <w:spacing w:after="0"/>
              <w:rPr>
                <w:sz w:val="20"/>
                <w:szCs w:val="20"/>
                <w:color w:val="auto"/>
              </w:rPr>
            </w:pPr>
            <w:r>
              <w:rPr>
                <w:rFonts w:ascii="Arial" w:cs="Arial" w:eastAsia="Arial" w:hAnsi="Arial"/>
                <w:sz w:val="14"/>
                <w:szCs w:val="14"/>
                <w:color w:val="auto"/>
              </w:rPr>
              <w:t>September 30, 2022 and December 31, 2021</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6"/>
                <w:szCs w:val="16"/>
                <w:color w:val="auto"/>
              </w:rPr>
            </w:pPr>
          </w:p>
        </w:tc>
      </w:tr>
      <w:tr>
        <w:trPr>
          <w:trHeight w:val="175"/>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1,524,226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1,476,414</w:t>
            </w:r>
          </w:p>
        </w:tc>
        <w:tc>
          <w:tcPr>
            <w:tcW w:w="100" w:type="dxa"/>
            <w:vAlign w:val="bottom"/>
            <w:shd w:val="clear" w:color="auto" w:fill="CFF0FC"/>
          </w:tcPr>
          <w:p>
            <w:pPr>
              <w:spacing w:after="0"/>
              <w:rPr>
                <w:sz w:val="15"/>
                <w:szCs w:val="15"/>
                <w:color w:val="auto"/>
              </w:rPr>
            </w:pPr>
          </w:p>
        </w:tc>
      </w:tr>
      <w:tr>
        <w:trPr>
          <w:trHeight w:val="175"/>
        </w:trPr>
        <w:tc>
          <w:tcPr>
            <w:tcW w:w="778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(7,346 )</w:t>
            </w:r>
          </w:p>
        </w:tc>
        <w:tc>
          <w:tcPr>
            <w:tcW w:w="120" w:type="dxa"/>
            <w:vAlign w:val="bottom"/>
          </w:tcPr>
          <w:p>
            <w:pPr>
              <w:spacing w:after="0"/>
              <w:rPr>
                <w:sz w:val="15"/>
                <w:szCs w:val="15"/>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4"/>
                <w:szCs w:val="14"/>
                <w:color w:val="auto"/>
              </w:rPr>
              <w:t>(4,163 )</w:t>
            </w:r>
          </w:p>
        </w:tc>
      </w:tr>
      <w:tr>
        <w:trPr>
          <w:trHeight w:val="175"/>
        </w:trPr>
        <w:tc>
          <w:tcPr>
            <w:tcW w:w="7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(1,491,513 )</w:t>
            </w: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(1,264,034 )</w:t>
            </w:r>
          </w:p>
        </w:tc>
      </w:tr>
      <w:tr>
        <w:trPr>
          <w:trHeight w:val="169"/>
        </w:trPr>
        <w:tc>
          <w:tcPr>
            <w:tcW w:w="778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26,306</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209,146</w:t>
            </w:r>
          </w:p>
        </w:tc>
        <w:tc>
          <w:tcPr>
            <w:tcW w:w="100" w:type="dxa"/>
            <w:vAlign w:val="bottom"/>
            <w:tcBorders>
              <w:top w:val="single" w:sz="8" w:color="CFF0FC"/>
            </w:tcBorders>
          </w:tcPr>
          <w:p>
            <w:pPr>
              <w:spacing w:after="0"/>
              <w:rPr>
                <w:sz w:val="14"/>
                <w:szCs w:val="14"/>
                <w:color w:val="auto"/>
              </w:rPr>
            </w:pPr>
          </w:p>
        </w:tc>
      </w:tr>
      <w:tr>
        <w:trPr>
          <w:trHeight w:val="175"/>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46,273</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229,113</w:t>
            </w:r>
          </w:p>
        </w:tc>
        <w:tc>
          <w:tcPr>
            <w:tcW w:w="100" w:type="dxa"/>
            <w:vAlign w:val="bottom"/>
          </w:tcPr>
          <w:p>
            <w:pPr>
              <w:spacing w:after="0"/>
              <w:rPr>
                <w:sz w:val="14"/>
                <w:szCs w:val="14"/>
                <w:color w:val="auto"/>
              </w:rPr>
            </w:pPr>
          </w:p>
        </w:tc>
      </w:tr>
      <w:tr>
        <w:trPr>
          <w:trHeight w:val="20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stockholders’ equity and non-controlling interests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608,837</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773,821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-4191000</wp:posOffset>
            </wp:positionV>
            <wp:extent cx="685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-3282315</wp:posOffset>
            </wp:positionV>
            <wp:extent cx="11912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1260" cy="1371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-1910715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-496570</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-264795</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0"/>
              <w:spacing w:after="0" w:line="175" w:lineRule="exact"/>
              <w:rPr>
                <w:sz w:val="20"/>
                <w:szCs w:val="20"/>
                <w:color w:val="auto"/>
              </w:rPr>
            </w:pPr>
            <w:r>
              <w:rPr>
                <w:rFonts w:ascii="Arial" w:cs="Arial" w:eastAsia="Arial" w:hAnsi="Arial"/>
                <w:sz w:val="18"/>
                <w:szCs w:val="18"/>
                <w:color w:val="auto"/>
              </w:rPr>
              <w:t>License revenue (includes $0, $108,434, $22,590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40"/>
              <w:spacing w:after="0"/>
              <w:rPr>
                <w:sz w:val="20"/>
                <w:szCs w:val="20"/>
                <w:color w:val="auto"/>
              </w:rPr>
            </w:pPr>
            <w:r>
              <w:rPr>
                <w:rFonts w:ascii="Arial" w:cs="Arial" w:eastAsia="Arial" w:hAnsi="Arial"/>
                <w:sz w:val="18"/>
                <w:szCs w:val="18"/>
                <w:color w:val="auto"/>
              </w:rPr>
              <w:t>and $108,434 from a related party)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116,434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22,590</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Development and other revenue (includes $1,414, $14,127,</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$8,419 and $20,383 from a related party)</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0"/>
              <w:spacing w:after="0" w:line="175" w:lineRule="exact"/>
              <w:rPr>
                <w:sz w:val="20"/>
                <w:szCs w:val="20"/>
                <w:color w:val="auto"/>
              </w:rPr>
            </w:pPr>
            <w:r>
              <w:rPr>
                <w:rFonts w:ascii="Arial" w:cs="Arial" w:eastAsia="Arial" w:hAnsi="Arial"/>
                <w:sz w:val="18"/>
                <w:szCs w:val="18"/>
                <w:color w:val="auto"/>
              </w:rPr>
              <w:t>Product revenue, net (includes $14,914, $10,328, $50,873</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40"/>
              <w:spacing w:after="0"/>
              <w:rPr>
                <w:sz w:val="20"/>
                <w:szCs w:val="20"/>
                <w:color w:val="auto"/>
              </w:rPr>
            </w:pPr>
            <w:r>
              <w:rPr>
                <w:rFonts w:ascii="Arial" w:cs="Arial" w:eastAsia="Arial" w:hAnsi="Arial"/>
                <w:sz w:val="18"/>
                <w:szCs w:val="18"/>
                <w:color w:val="auto"/>
              </w:rPr>
              <w:t>and $32,495 from a related party)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17,359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Drug product revenue (includes $(4,077), $0, $4,610</w:t>
            </w:r>
          </w:p>
        </w:tc>
        <w:tc>
          <w:tcPr>
            <w:tcW w:w="180" w:type="dxa"/>
            <w:vAlign w:val="bottom"/>
            <w:shd w:val="clear" w:color="auto" w:fill="CFF0FC"/>
          </w:tcPr>
          <w:p>
            <w:pPr>
              <w:spacing w:after="0"/>
              <w:rPr>
                <w:sz w:val="15"/>
                <w:szCs w:val="15"/>
                <w:color w:val="auto"/>
              </w:rPr>
            </w:pPr>
          </w:p>
        </w:tc>
        <w:tc>
          <w:tcPr>
            <w:tcW w:w="132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(4,077 )</w:t>
            </w:r>
          </w:p>
        </w:tc>
        <w:tc>
          <w:tcPr>
            <w:tcW w:w="28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17"/>
        </w:trPr>
        <w:tc>
          <w:tcPr>
            <w:tcW w:w="54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$2,056 from a related party)</w:t>
            </w:r>
          </w:p>
        </w:tc>
        <w:tc>
          <w:tcPr>
            <w:tcW w:w="18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15,735</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155,973</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106,367</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218,766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25,853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90,722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3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109,392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341,240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(93,657</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(234,873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(153,289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Interest and other, net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(84 )</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(109 )</w:t>
            </w:r>
          </w:p>
        </w:tc>
        <w:tc>
          <w:tcPr>
            <w:tcW w:w="20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(321 )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(965 )</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and other income (expenses), net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(1,303 )</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(2,120 )</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ind w:left="380"/>
              <w:spacing w:after="0"/>
              <w:rPr>
                <w:sz w:val="20"/>
                <w:szCs w:val="20"/>
                <w:color w:val="auto"/>
              </w:rPr>
            </w:pPr>
            <w:r>
              <w:rPr>
                <w:rFonts w:ascii="Arial" w:cs="Arial" w:eastAsia="Arial" w:hAnsi="Arial"/>
                <w:sz w:val="18"/>
                <w:szCs w:val="18"/>
                <w:color w:val="auto"/>
              </w:rPr>
              <w:t>Total interest and other,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(1,412 )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(3,085 )</w:t>
            </w: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(91,943 )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49,562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(228,522 )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(156,374 )</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00"/>
              <w:spacing w:after="0" w:line="175" w:lineRule="exact"/>
              <w:rPr>
                <w:sz w:val="20"/>
                <w:szCs w:val="20"/>
                <w:color w:val="auto"/>
              </w:rPr>
            </w:pPr>
            <w:r>
              <w:rPr>
                <w:rFonts w:ascii="Arial" w:cs="Arial" w:eastAsia="Arial" w:hAnsi="Arial"/>
                <w:sz w:val="18"/>
                <w:szCs w:val="18"/>
                <w:color w:val="auto"/>
              </w:rPr>
              <w:t>Investment income in unconsolidated variable</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340"/>
              <w:spacing w:after="0"/>
              <w:rPr>
                <w:sz w:val="20"/>
                <w:szCs w:val="20"/>
                <w:color w:val="auto"/>
              </w:rPr>
            </w:pPr>
            <w:r>
              <w:rPr>
                <w:rFonts w:ascii="Arial" w:cs="Arial" w:eastAsia="Arial" w:hAnsi="Arial"/>
                <w:sz w:val="18"/>
                <w:szCs w:val="18"/>
                <w:color w:val="auto"/>
              </w:rPr>
              <w:t>interest entity</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(91,650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(227,479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(0.98 )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(2.43 )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Weighted average number of common shares used to</w:t>
            </w: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calculate net income (loss) per share:</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93,431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93,767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93,431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-3599815</wp:posOffset>
            </wp:positionV>
            <wp:extent cx="7683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-3599815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-3599815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-2767965</wp:posOffset>
            </wp:positionV>
            <wp:extent cx="768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-2767965</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-2767965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-1928495</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-1928495</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-1928495</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-967740</wp:posOffset>
            </wp:positionV>
            <wp:extent cx="288861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88615" cy="16256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5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(91,650</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(227,479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(155,945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(436 )</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(28 )</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Unrealized gain (loss) on investments, net of tax effect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(3,155 )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5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gain (loss), net of taxes</w:t>
            </w:r>
          </w:p>
        </w:tc>
        <w:tc>
          <w:tcPr>
            <w:tcW w:w="16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(416 )</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(3,183 )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(92,066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50,207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(230,662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-316230</wp:posOffset>
            </wp:positionV>
            <wp:extent cx="7747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685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For The Three Month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12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center"/>
              <w:ind w:right="420"/>
              <w:spacing w:after="0" w:line="107" w:lineRule="exact"/>
              <w:rPr>
                <w:sz w:val="20"/>
                <w:szCs w:val="20"/>
                <w:color w:val="auto"/>
              </w:rPr>
            </w:pPr>
            <w:r>
              <w:rPr>
                <w:rFonts w:ascii="Arial" w:cs="Arial" w:eastAsia="Arial" w:hAnsi="Arial"/>
                <w:sz w:val="12"/>
                <w:szCs w:val="12"/>
                <w:b w:val="1"/>
                <w:bCs w:val="1"/>
                <w:color w:val="auto"/>
                <w:w w:val="87"/>
              </w:rPr>
              <w:t>Accumulated</w:t>
            </w: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right"/>
              <w:ind w:right="540"/>
              <w:spacing w:after="0" w:line="122"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10"/>
                <w:szCs w:val="10"/>
                <w:color w:val="auto"/>
              </w:rPr>
            </w:pPr>
          </w:p>
        </w:tc>
        <w:tc>
          <w:tcPr>
            <w:tcW w:w="1320" w:type="dxa"/>
            <w:vAlign w:val="bottom"/>
            <w:gridSpan w:val="2"/>
          </w:tcPr>
          <w:p>
            <w:pPr>
              <w:jc w:val="center"/>
              <w:ind w:right="420"/>
              <w:spacing w:after="0" w:line="122"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0"/>
              <w:spacing w:after="0" w:line="122"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Paid-in</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Comprehensive</w:t>
            </w:r>
          </w:p>
        </w:tc>
        <w:tc>
          <w:tcPr>
            <w:tcW w:w="14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84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060" w:type="dxa"/>
            <w:vAlign w:val="bottom"/>
          </w:tcPr>
          <w:p>
            <w:pPr>
              <w:jc w:val="right"/>
              <w:ind w:right="29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29"/>
              <w:spacing w:after="0"/>
              <w:rPr>
                <w:sz w:val="20"/>
                <w:szCs w:val="20"/>
                <w:color w:val="auto"/>
              </w:rPr>
            </w:pPr>
            <w:r>
              <w:rPr>
                <w:rFonts w:ascii="Arial" w:cs="Arial" w:eastAsia="Arial" w:hAnsi="Arial"/>
                <w:sz w:val="12"/>
                <w:szCs w:val="12"/>
                <w:b w:val="1"/>
                <w:bCs w:val="1"/>
                <w:color w:val="auto"/>
                <w:w w:val="96"/>
              </w:rPr>
              <w:t>Amount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Capital</w:t>
            </w:r>
          </w:p>
        </w:tc>
        <w:tc>
          <w:tcPr>
            <w:tcW w:w="18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Income (Loss)</w:t>
            </w:r>
          </w:p>
        </w:tc>
        <w:tc>
          <w:tcPr>
            <w:tcW w:w="14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4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2120" w:type="dxa"/>
            <w:vAlign w:val="bottom"/>
            <w:shd w:val="clear" w:color="auto" w:fill="CFF0FC"/>
          </w:tcPr>
          <w:p>
            <w:pPr>
              <w:ind w:left="20"/>
              <w:spacing w:after="0" w:line="136" w:lineRule="exact"/>
              <w:rPr>
                <w:sz w:val="20"/>
                <w:szCs w:val="20"/>
                <w:color w:val="auto"/>
              </w:rPr>
            </w:pPr>
            <w:r>
              <w:rPr>
                <w:rFonts w:ascii="Arial" w:cs="Arial" w:eastAsia="Arial" w:hAnsi="Arial"/>
                <w:sz w:val="14"/>
                <w:szCs w:val="14"/>
                <w:b w:val="1"/>
                <w:bCs w:val="1"/>
                <w:color w:val="auto"/>
              </w:rPr>
              <w:t>Balance at June 30,</w:t>
            </w:r>
          </w:p>
        </w:tc>
        <w:tc>
          <w:tcPr>
            <w:tcW w:w="106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2022</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93,733,034</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1,509,636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(6,930 )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(1,399,863 )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(91,650 )</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(91,650 )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 or</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(436 )</w:t>
            </w:r>
          </w:p>
        </w:tc>
        <w:tc>
          <w:tcPr>
            <w:tcW w:w="1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(436 )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 net of payroll taxes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203,306</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(995 )</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(993 )</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93,936,340</w:t>
            </w:r>
          </w:p>
        </w:tc>
        <w:tc>
          <w:tcPr>
            <w:tcW w:w="54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939</w:t>
            </w:r>
          </w:p>
        </w:tc>
        <w:tc>
          <w:tcPr>
            <w:tcW w:w="46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1,524,226</w:t>
            </w:r>
          </w:p>
        </w:tc>
        <w:tc>
          <w:tcPr>
            <w:tcW w:w="24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(7,346 )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(1,491,513 )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46,273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12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2022</w:t>
            </w:r>
          </w:p>
        </w:tc>
        <w:tc>
          <w:tcPr>
            <w:tcW w:w="1060" w:type="dxa"/>
            <w:vAlign w:val="bottom"/>
            <w:vMerge w:val="continue"/>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2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Balance at June 30,</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92,608,929</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1,443,975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(4,567 )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(1,179,754 )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49,798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49,798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 or</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 translation</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 net of payroll taxes</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99,023</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(700 )</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(699 )</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92,707,952</w:t>
            </w:r>
          </w:p>
        </w:tc>
        <w:tc>
          <w:tcPr>
            <w:tcW w:w="280" w:type="dxa"/>
            <w:vAlign w:val="bottom"/>
            <w:vMerge w:val="restart"/>
            <w:shd w:val="clear" w:color="auto" w:fill="CFF0FC"/>
          </w:tcPr>
          <w:p>
            <w:pPr>
              <w:spacing w:after="0"/>
              <w:rPr>
                <w:sz w:val="11"/>
                <w:szCs w:val="11"/>
                <w:color w:val="auto"/>
              </w:rPr>
            </w:pPr>
          </w:p>
        </w:tc>
        <w:tc>
          <w:tcPr>
            <w:tcW w:w="2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28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1,458,979</w:t>
            </w:r>
          </w:p>
        </w:tc>
        <w:tc>
          <w:tcPr>
            <w:tcW w:w="24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(4,158 )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(1,129,956 )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345,063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2021</w:t>
            </w:r>
          </w:p>
        </w:tc>
        <w:tc>
          <w:tcPr>
            <w:tcW w:w="106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-1525270</wp:posOffset>
            </wp:positionV>
            <wp:extent cx="511746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17465" cy="16319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-8255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For The Nine Month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12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center"/>
              <w:ind w:right="420"/>
              <w:spacing w:after="0" w:line="107" w:lineRule="exact"/>
              <w:rPr>
                <w:sz w:val="20"/>
                <w:szCs w:val="20"/>
                <w:color w:val="auto"/>
              </w:rPr>
            </w:pPr>
            <w:r>
              <w:rPr>
                <w:rFonts w:ascii="Arial" w:cs="Arial" w:eastAsia="Arial" w:hAnsi="Arial"/>
                <w:sz w:val="12"/>
                <w:szCs w:val="12"/>
                <w:b w:val="1"/>
                <w:bCs w:val="1"/>
                <w:color w:val="auto"/>
                <w:w w:val="87"/>
              </w:rPr>
              <w:t>Accumulated</w:t>
            </w: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right"/>
              <w:ind w:right="540"/>
              <w:spacing w:after="0" w:line="122"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10"/>
                <w:szCs w:val="10"/>
                <w:color w:val="auto"/>
              </w:rPr>
            </w:pPr>
          </w:p>
        </w:tc>
        <w:tc>
          <w:tcPr>
            <w:tcW w:w="1320" w:type="dxa"/>
            <w:vAlign w:val="bottom"/>
            <w:gridSpan w:val="2"/>
          </w:tcPr>
          <w:p>
            <w:pPr>
              <w:jc w:val="center"/>
              <w:ind w:right="420"/>
              <w:spacing w:after="0" w:line="122"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0"/>
              <w:spacing w:after="0" w:line="122"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20" w:type="dxa"/>
            <w:vAlign w:val="bottom"/>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Paid-in</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Comprehensive</w:t>
            </w:r>
          </w:p>
        </w:tc>
        <w:tc>
          <w:tcPr>
            <w:tcW w:w="14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84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060" w:type="dxa"/>
            <w:vAlign w:val="bottom"/>
          </w:tcPr>
          <w:p>
            <w:pPr>
              <w:jc w:val="right"/>
              <w:ind w:right="29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ind w:right="229"/>
              <w:spacing w:after="0"/>
              <w:rPr>
                <w:sz w:val="20"/>
                <w:szCs w:val="20"/>
                <w:color w:val="auto"/>
              </w:rPr>
            </w:pPr>
            <w:r>
              <w:rPr>
                <w:rFonts w:ascii="Arial" w:cs="Arial" w:eastAsia="Arial" w:hAnsi="Arial"/>
                <w:sz w:val="12"/>
                <w:szCs w:val="12"/>
                <w:b w:val="1"/>
                <w:bCs w:val="1"/>
                <w:color w:val="auto"/>
                <w:w w:val="96"/>
              </w:rPr>
              <w:t>Amount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Capital</w:t>
            </w:r>
          </w:p>
        </w:tc>
        <w:tc>
          <w:tcPr>
            <w:tcW w:w="1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Loss</w:t>
            </w:r>
          </w:p>
        </w:tc>
        <w:tc>
          <w:tcPr>
            <w:tcW w:w="14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4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6"/>
        </w:trPr>
        <w:tc>
          <w:tcPr>
            <w:tcW w:w="2120" w:type="dxa"/>
            <w:vAlign w:val="bottom"/>
            <w:shd w:val="clear" w:color="auto" w:fill="CFF0FC"/>
          </w:tcPr>
          <w:p>
            <w:pPr>
              <w:ind w:left="20"/>
              <w:spacing w:after="0" w:line="136" w:lineRule="exact"/>
              <w:rPr>
                <w:sz w:val="20"/>
                <w:szCs w:val="20"/>
                <w:color w:val="auto"/>
              </w:rPr>
            </w:pPr>
            <w:r>
              <w:rPr>
                <w:rFonts w:ascii="Arial" w:cs="Arial" w:eastAsia="Arial" w:hAnsi="Arial"/>
                <w:sz w:val="14"/>
                <w:szCs w:val="14"/>
                <w:b w:val="1"/>
                <w:bCs w:val="1"/>
                <w:color w:val="auto"/>
              </w:rPr>
              <w:t>Balance at December 31,</w:t>
            </w:r>
          </w:p>
        </w:tc>
        <w:tc>
          <w:tcPr>
            <w:tcW w:w="106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92,880,533</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1,476,414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(4,163 )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(1,264,034 )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229,113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(227,479 )</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(227,479 )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(3,155 )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(3,155 )</w:t>
            </w: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(28 )</w:t>
            </w:r>
          </w:p>
        </w:tc>
        <w:tc>
          <w:tcPr>
            <w:tcW w:w="1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 net of payroll</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1,055,807</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(1,583 )</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(1,573 )</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49,395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93,936,340</w:t>
            </w:r>
          </w:p>
        </w:tc>
        <w:tc>
          <w:tcPr>
            <w:tcW w:w="54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939</w:t>
            </w:r>
          </w:p>
        </w:tc>
        <w:tc>
          <w:tcPr>
            <w:tcW w:w="46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1,524,226</w:t>
            </w:r>
          </w:p>
        </w:tc>
        <w:tc>
          <w:tcPr>
            <w:tcW w:w="24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(7,346 )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(1,491,513 )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19,967</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46,273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12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2022</w:t>
            </w:r>
          </w:p>
        </w:tc>
        <w:tc>
          <w:tcPr>
            <w:tcW w:w="1060" w:type="dxa"/>
            <w:vAlign w:val="bottom"/>
            <w:vMerge w:val="continue"/>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2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5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4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(4,499 )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(974,011 )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(155,945 )</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(155,945 )</w:t>
            </w: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43"/>
        </w:trPr>
        <w:tc>
          <w:tcPr>
            <w:tcW w:w="212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 net of payroll</w:t>
            </w: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1,267,319</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54,089</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92,707,952</w:t>
            </w:r>
          </w:p>
        </w:tc>
        <w:tc>
          <w:tcPr>
            <w:tcW w:w="280" w:type="dxa"/>
            <w:vAlign w:val="bottom"/>
            <w:vMerge w:val="restart"/>
            <w:shd w:val="clear" w:color="auto" w:fill="CFF0FC"/>
          </w:tcPr>
          <w:p>
            <w:pPr>
              <w:spacing w:after="0"/>
              <w:rPr>
                <w:sz w:val="11"/>
                <w:szCs w:val="11"/>
                <w:color w:val="auto"/>
              </w:rPr>
            </w:pPr>
          </w:p>
        </w:tc>
        <w:tc>
          <w:tcPr>
            <w:tcW w:w="2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28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1,458,979</w:t>
            </w:r>
          </w:p>
        </w:tc>
        <w:tc>
          <w:tcPr>
            <w:tcW w:w="24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(4,158 )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(1,129,956 )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345,063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2021</w:t>
            </w:r>
          </w:p>
        </w:tc>
        <w:tc>
          <w:tcPr>
            <w:tcW w:w="106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-1525270</wp:posOffset>
            </wp:positionV>
            <wp:extent cx="511746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17465" cy="16319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4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3"/>
                <w:szCs w:val="13"/>
                <w:b w:val="1"/>
                <w:bCs w:val="1"/>
                <w:color w:val="auto"/>
              </w:rPr>
              <w:t>Nine Months Ended 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340" w:type="dxa"/>
            <w:vAlign w:val="bottom"/>
          </w:tcPr>
          <w:p>
            <w:pPr>
              <w:spacing w:after="0"/>
              <w:rPr>
                <w:sz w:val="14"/>
                <w:szCs w:val="14"/>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Pr>
          <w:p>
            <w:pPr>
              <w:jc w:val="right"/>
              <w:ind w:right="953"/>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(227,479 )</w:t>
            </w:r>
          </w:p>
        </w:tc>
        <w:tc>
          <w:tcPr>
            <w:tcW w:w="1120" w:type="dxa"/>
            <w:vAlign w:val="bottom"/>
          </w:tcPr>
          <w:p>
            <w:pPr>
              <w:jc w:val="right"/>
              <w:ind w:right="971"/>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(155,945 )</w:t>
            </w: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7,503</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7,717</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finance lease right-of-use assets</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Arial" w:cs="Arial" w:eastAsia="Arial" w:hAnsi="Arial"/>
                <w:sz w:val="14"/>
                <w:szCs w:val="14"/>
                <w:color w:val="auto"/>
              </w:rPr>
              <w:t>Net accretion of premium and discount on investments</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1,842</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equity investments</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Arial" w:cs="Arial" w:eastAsia="Arial" w:hAnsi="Arial"/>
                <w:sz w:val="14"/>
                <w:szCs w:val="14"/>
                <w:color w:val="auto"/>
              </w:rPr>
              <w:t>Investment income in unconsolidated variable interest entity</w:t>
            </w:r>
          </w:p>
        </w:tc>
        <w:tc>
          <w:tcPr>
            <w:tcW w:w="110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(1,293 )</w:t>
            </w: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(664 )</w:t>
            </w:r>
          </w:p>
        </w:tc>
      </w:tr>
      <w:tr>
        <w:trPr>
          <w:trHeight w:val="176"/>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 loss on disposal of property and equipment</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(3 )</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49,377</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54,089</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 for acquired in-process research and development asset</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Realized loss on sales of available-for-sale securities</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983</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6,131</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(11,147 )</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(12,658 )</w:t>
            </w: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8,265</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(11,160 )</w:t>
            </w:r>
          </w:p>
        </w:tc>
      </w:tr>
      <w:tr>
        <w:trPr>
          <w:trHeight w:val="176"/>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right-of-use assets</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7,759</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823</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(3,563 )</w:t>
            </w:r>
          </w:p>
        </w:tc>
      </w:tr>
      <w:tr>
        <w:trPr>
          <w:trHeight w:val="176"/>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(5,120 )</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(1,115 )</w:t>
            </w:r>
          </w:p>
        </w:tc>
      </w:tr>
      <w:tr>
        <w:trPr>
          <w:trHeight w:val="175"/>
        </w:trPr>
        <w:tc>
          <w:tcPr>
            <w:tcW w:w="7340" w:type="dxa"/>
            <w:vAlign w:val="bottom"/>
          </w:tcPr>
          <w:p>
            <w:pPr>
              <w:ind w:left="200"/>
              <w:spacing w:after="0"/>
              <w:rPr>
                <w:sz w:val="20"/>
                <w:szCs w:val="20"/>
                <w:color w:val="auto"/>
              </w:rPr>
            </w:pPr>
            <w:r>
              <w:rPr>
                <w:rFonts w:ascii="Arial" w:cs="Arial" w:eastAsia="Arial" w:hAnsi="Arial"/>
                <w:sz w:val="14"/>
                <w:szCs w:val="14"/>
                <w:color w:val="auto"/>
              </w:rPr>
              <w:t>Accrued and other liabilities</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87,167</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31,997</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4,509</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40,650</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interest for finance lease liabilities</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(68 )</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(76 )</w:t>
            </w:r>
          </w:p>
        </w:tc>
      </w:tr>
      <w:tr>
        <w:trPr>
          <w:trHeight w:val="176"/>
        </w:trPr>
        <w:tc>
          <w:tcPr>
            <w:tcW w:w="7340" w:type="dxa"/>
            <w:vAlign w:val="bottom"/>
          </w:tcPr>
          <w:p>
            <w:pPr>
              <w:ind w:left="200"/>
              <w:spacing w:after="0"/>
              <w:rPr>
                <w:sz w:val="20"/>
                <w:szCs w:val="20"/>
                <w:color w:val="auto"/>
              </w:rPr>
            </w:pPr>
            <w:r>
              <w:rPr>
                <w:rFonts w:ascii="Arial" w:cs="Arial" w:eastAsia="Arial" w:hAnsi="Arial"/>
                <w:sz w:val="14"/>
                <w:szCs w:val="14"/>
                <w:color w:val="auto"/>
              </w:rPr>
              <w:t>Operating lease liabilities, non-current</w:t>
            </w:r>
          </w:p>
        </w:tc>
        <w:tc>
          <w:tcPr>
            <w:tcW w:w="110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(7,407 )</w:t>
            </w: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(1,326 )</w:t>
            </w:r>
          </w:p>
        </w:tc>
      </w:tr>
      <w:tr>
        <w:trPr>
          <w:trHeight w:val="175"/>
        </w:trPr>
        <w:tc>
          <w:tcPr>
            <w:tcW w:w="7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long-term liabilities</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(10,262 )</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(14,199 )</w:t>
            </w:r>
          </w:p>
        </w:tc>
      </w:tr>
      <w:tr>
        <w:trPr>
          <w:trHeight w:val="20"/>
        </w:trPr>
        <w:tc>
          <w:tcPr>
            <w:tcW w:w="73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340" w:type="dxa"/>
            <w:vAlign w:val="bottom"/>
          </w:tcPr>
          <w:p>
            <w:pPr>
              <w:ind w:left="380"/>
              <w:spacing w:after="0"/>
              <w:rPr>
                <w:sz w:val="20"/>
                <w:szCs w:val="20"/>
                <w:color w:val="auto"/>
              </w:rPr>
            </w:pPr>
            <w:r>
              <w:rPr>
                <w:rFonts w:ascii="Arial" w:cs="Arial" w:eastAsia="Arial" w:hAnsi="Arial"/>
                <w:sz w:val="14"/>
                <w:szCs w:val="14"/>
                <w:color w:val="auto"/>
              </w:rPr>
              <w:t>Net cash used in operating activities</w:t>
            </w:r>
          </w:p>
        </w:tc>
        <w:tc>
          <w:tcPr>
            <w:tcW w:w="110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(93,420 )</w:t>
            </w:r>
          </w:p>
        </w:tc>
        <w:tc>
          <w:tcPr>
            <w:tcW w:w="1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(27,272 )</w:t>
            </w:r>
          </w:p>
        </w:tc>
      </w:tr>
      <w:tr>
        <w:trPr>
          <w:trHeight w:val="169"/>
        </w:trPr>
        <w:tc>
          <w:tcPr>
            <w:tcW w:w="734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(3,408 )</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(3,790 )</w:t>
            </w:r>
          </w:p>
        </w:tc>
      </w:tr>
      <w:tr>
        <w:trPr>
          <w:trHeight w:val="175"/>
        </w:trPr>
        <w:tc>
          <w:tcPr>
            <w:tcW w:w="7340" w:type="dxa"/>
            <w:vAlign w:val="bottom"/>
          </w:tcPr>
          <w:p>
            <w:pPr>
              <w:ind w:left="20"/>
              <w:spacing w:after="0"/>
              <w:rPr>
                <w:sz w:val="20"/>
                <w:szCs w:val="20"/>
                <w:color w:val="auto"/>
              </w:rPr>
            </w:pPr>
            <w:r>
              <w:rPr>
                <w:rFonts w:ascii="Arial" w:cs="Arial" w:eastAsia="Arial" w:hAnsi="Arial"/>
                <w:sz w:val="14"/>
                <w:szCs w:val="14"/>
                <w:color w:val="auto"/>
              </w:rPr>
              <w:t>Payment made for acquired in-process research and development asset</w:t>
            </w:r>
          </w:p>
        </w:tc>
        <w:tc>
          <w:tcPr>
            <w:tcW w:w="110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(35,000 )</w:t>
            </w: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(25,000 )</w:t>
            </w: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340" w:type="dxa"/>
            <w:vAlign w:val="bottom"/>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110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(97,301 )</w:t>
            </w: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(397,909 )</w:t>
            </w: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sales of available-for-sale securities</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7,382</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216,342</w:t>
            </w:r>
          </w:p>
        </w:tc>
        <w:tc>
          <w:tcPr>
            <w:tcW w:w="3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46,294</w:t>
            </w:r>
          </w:p>
        </w:tc>
        <w:tc>
          <w:tcPr>
            <w:tcW w:w="100" w:type="dxa"/>
            <w:vAlign w:val="bottom"/>
          </w:tcPr>
          <w:p>
            <w:pPr>
              <w:spacing w:after="0"/>
              <w:rPr>
                <w:sz w:val="15"/>
                <w:szCs w:val="15"/>
                <w:color w:val="auto"/>
              </w:rPr>
            </w:pPr>
          </w:p>
        </w:tc>
      </w:tr>
      <w:tr>
        <w:trPr>
          <w:trHeight w:val="169"/>
        </w:trPr>
        <w:tc>
          <w:tcPr>
            <w:tcW w:w="7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1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88,023</w:t>
            </w:r>
          </w:p>
        </w:tc>
        <w:tc>
          <w:tcPr>
            <w:tcW w:w="3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(376,405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
              <w:spacing w:after="0"/>
              <w:rPr>
                <w:sz w:val="20"/>
                <w:szCs w:val="20"/>
                <w:color w:val="auto"/>
              </w:rPr>
            </w:pPr>
            <w:r>
              <w:rPr>
                <w:rFonts w:ascii="Arial" w:cs="Arial" w:eastAsia="Arial" w:hAnsi="Arial"/>
                <w:sz w:val="14"/>
                <w:szCs w:val="14"/>
                <w:color w:val="auto"/>
              </w:rPr>
              <w:t>Repayments of finance lease liabilities</w:t>
            </w:r>
          </w:p>
        </w:tc>
        <w:tc>
          <w:tcPr>
            <w:tcW w:w="110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(23 )</w:t>
            </w: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(5,359 )</w:t>
            </w:r>
          </w:p>
        </w:tc>
      </w:tr>
      <w:tr>
        <w:trPr>
          <w:trHeight w:val="176"/>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lease obligations</w:t>
            </w:r>
          </w:p>
        </w:tc>
        <w:tc>
          <w:tcPr>
            <w:tcW w:w="1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(302 )</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(302 )</w:t>
            </w:r>
          </w:p>
        </w:tc>
      </w:tr>
      <w:tr>
        <w:trPr>
          <w:trHeight w:val="175"/>
        </w:trPr>
        <w:tc>
          <w:tcPr>
            <w:tcW w:w="7340" w:type="dxa"/>
            <w:vAlign w:val="bottom"/>
          </w:tcPr>
          <w:p>
            <w:pPr>
              <w:ind w:left="20"/>
              <w:spacing w:after="0"/>
              <w:rPr>
                <w:sz w:val="20"/>
                <w:szCs w:val="20"/>
                <w:color w:val="auto"/>
              </w:rPr>
            </w:pPr>
            <w:r>
              <w:rPr>
                <w:rFonts w:ascii="Arial" w:cs="Arial" w:eastAsia="Arial" w:hAnsi="Arial"/>
                <w:sz w:val="14"/>
                <w:szCs w:val="14"/>
                <w:color w:val="auto"/>
              </w:rPr>
              <w:t>Cash paid for payroll taxes on restricted stock unit releases</w:t>
            </w:r>
          </w:p>
        </w:tc>
        <w:tc>
          <w:tcPr>
            <w:tcW w:w="110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(4,562 )</w:t>
            </w:r>
          </w:p>
        </w:tc>
        <w:tc>
          <w:tcPr>
            <w:tcW w:w="1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(6,734 )</w:t>
            </w:r>
          </w:p>
        </w:tc>
      </w:tr>
      <w:tr>
        <w:trPr>
          <w:trHeight w:val="175"/>
        </w:trPr>
        <w:tc>
          <w:tcPr>
            <w:tcW w:w="7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common stock</w:t>
            </w:r>
          </w:p>
        </w:tc>
        <w:tc>
          <w:tcPr>
            <w:tcW w:w="1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2,989</w:t>
            </w:r>
          </w:p>
        </w:tc>
        <w:tc>
          <w:tcPr>
            <w:tcW w:w="300" w:type="dxa"/>
            <w:vAlign w:val="bottom"/>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11,863</w:t>
            </w:r>
          </w:p>
        </w:tc>
        <w:tc>
          <w:tcPr>
            <w:tcW w:w="100" w:type="dxa"/>
            <w:vAlign w:val="bottom"/>
            <w:shd w:val="clear" w:color="auto" w:fill="CFF0FC"/>
          </w:tcPr>
          <w:p>
            <w:pPr>
              <w:spacing w:after="0"/>
              <w:rPr>
                <w:sz w:val="15"/>
                <w:szCs w:val="15"/>
                <w:color w:val="auto"/>
              </w:rPr>
            </w:pPr>
          </w:p>
        </w:tc>
      </w:tr>
      <w:tr>
        <w:trPr>
          <w:trHeight w:val="169"/>
        </w:trPr>
        <w:tc>
          <w:tcPr>
            <w:tcW w:w="7340" w:type="dxa"/>
            <w:vAlign w:val="bottom"/>
          </w:tcPr>
          <w:p>
            <w:pPr>
              <w:ind w:left="380"/>
              <w:spacing w:after="0"/>
              <w:rPr>
                <w:sz w:val="20"/>
                <w:szCs w:val="20"/>
                <w:color w:val="auto"/>
              </w:rPr>
            </w:pPr>
            <w:r>
              <w:rPr>
                <w:rFonts w:ascii="Arial" w:cs="Arial" w:eastAsia="Arial" w:hAnsi="Arial"/>
                <w:sz w:val="14"/>
                <w:szCs w:val="14"/>
                <w:color w:val="auto"/>
              </w:rPr>
              <w:t>Net cash used in financing activities</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w:t>
            </w:r>
          </w:p>
        </w:tc>
        <w:tc>
          <w:tcPr>
            <w:tcW w:w="300" w:type="dxa"/>
            <w:vAlign w:val="bottom"/>
          </w:tcPr>
          <w:p>
            <w:pPr>
              <w:jc w:val="right"/>
              <w:ind w:right="168"/>
              <w:spacing w:after="0"/>
              <w:rPr>
                <w:sz w:val="20"/>
                <w:szCs w:val="20"/>
                <w:color w:val="auto"/>
              </w:rPr>
            </w:pPr>
            <w:r>
              <w:rPr>
                <w:rFonts w:ascii="Arial" w:cs="Arial" w:eastAsia="Arial" w:hAnsi="Arial"/>
                <w:sz w:val="14"/>
                <w:szCs w:val="14"/>
                <w:color w:val="auto"/>
                <w:w w:val="84"/>
              </w:rPr>
              <w:t>)</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Effect of exchange rate change on cash and cash equivalents</w:t>
            </w:r>
          </w:p>
        </w:tc>
        <w:tc>
          <w:tcPr>
            <w:tcW w:w="1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(7,968</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w w:val="84"/>
              </w:rPr>
              <w:t>)</w:t>
            </w:r>
          </w:p>
        </w:tc>
        <w:tc>
          <w:tcPr>
            <w:tcW w:w="1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34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10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(15,263 )</w:t>
            </w:r>
          </w:p>
        </w:tc>
        <w:tc>
          <w:tcPr>
            <w:tcW w:w="1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(403,866 )</w:t>
            </w:r>
          </w:p>
        </w:tc>
      </w:tr>
      <w:tr>
        <w:trPr>
          <w:trHeight w:val="175"/>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cash and cash equivalents at beginning of period</w:t>
            </w:r>
          </w:p>
        </w:tc>
        <w:tc>
          <w:tcPr>
            <w:tcW w:w="1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171,223</w:t>
            </w:r>
          </w:p>
        </w:tc>
        <w:tc>
          <w:tcPr>
            <w:tcW w:w="3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678,393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40" w:type="dxa"/>
            <w:vAlign w:val="bottom"/>
          </w:tcPr>
          <w:p>
            <w:pPr>
              <w:ind w:left="20"/>
              <w:spacing w:after="0"/>
              <w:rPr>
                <w:sz w:val="20"/>
                <w:szCs w:val="20"/>
                <w:color w:val="auto"/>
              </w:rPr>
            </w:pPr>
            <w:r>
              <w:rPr>
                <w:rFonts w:ascii="Arial" w:cs="Arial" w:eastAsia="Arial" w:hAnsi="Arial"/>
                <w:sz w:val="14"/>
                <w:szCs w:val="14"/>
                <w:color w:val="auto"/>
              </w:rPr>
              <w:t>Total cash and cash equivalents at end of period</w:t>
            </w:r>
          </w:p>
        </w:tc>
        <w:tc>
          <w:tcPr>
            <w:tcW w:w="110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155,960</w:t>
            </w: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97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274,527</w:t>
            </w:r>
          </w:p>
        </w:tc>
        <w:tc>
          <w:tcPr>
            <w:tcW w:w="10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-2433955</wp:posOffset>
            </wp:positionV>
            <wp:extent cx="7747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-1293495</wp:posOffset>
            </wp:positionV>
            <wp:extent cx="7747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-629285</wp:posOffset>
            </wp:positionV>
            <wp:extent cx="139700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97000" cy="1543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-376555</wp:posOffset>
            </wp:positionV>
            <wp:extent cx="7747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-145415</wp:posOffset>
            </wp:positionV>
            <wp:extent cx="7747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p>
      <w:pPr>
        <w:ind w:right="8480" w:firstLine="8"/>
        <w:spacing w:after="0" w:line="407" w:lineRule="auto"/>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Description of Operations</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and connective tissue growth factor to advance innovative medicines for the treatment of anemia, fibrotic disease, and cancer.</w:t>
      </w:r>
    </w:p>
    <w:p>
      <w:pPr>
        <w:spacing w:after="0" w:line="18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Pamrevlumab, a human monoclonal antibody targeting connective tissue growth factor, is in Phase 3 clinical development for the treatment of idiopathic pulmonary fibrosis, locally advanced unresectable pancreatic cancer and Duchenne muscular dystrophy. To date, the Company has retained exclusive worldwide rights for pamrevlumab.</w:t>
      </w:r>
    </w:p>
    <w:p>
      <w:pPr>
        <w:spacing w:after="0" w:line="180" w:lineRule="exact"/>
        <w:rPr>
          <w:sz w:val="20"/>
          <w:szCs w:val="20"/>
          <w:color w:val="auto"/>
        </w:rPr>
      </w:pPr>
    </w:p>
    <w:p>
      <w:pPr>
        <w:ind w:right="260"/>
        <w:spacing w:after="0" w:line="227" w:lineRule="exact"/>
        <w:rPr>
          <w:sz w:val="20"/>
          <w:szCs w:val="20"/>
          <w:color w:val="auto"/>
        </w:rPr>
      </w:pPr>
      <w:r>
        <w:rPr>
          <w:rFonts w:ascii="Arial" w:cs="Arial" w:eastAsia="Arial" w:hAnsi="Arial"/>
          <w:sz w:val="16"/>
          <w:szCs w:val="16"/>
          <w:color w:val="auto"/>
        </w:rPr>
        <w:t>Roxadustat is an oral small molecule inhibitor of HIF prolyl hydroxylase activity. Roxadustat (</w:t>
      </w:r>
      <w:r>
        <w:rPr>
          <w:rFonts w:ascii="SimSun" w:cs="SimSun" w:eastAsia="SimSun" w:hAnsi="SimSun"/>
          <w:sz w:val="16"/>
          <w:szCs w:val="16"/>
          <w:color w:val="auto"/>
        </w:rPr>
        <w:t>爱瑞卓</w:t>
      </w:r>
      <w:r>
        <w:rPr>
          <w:rFonts w:ascii="Arial" w:cs="Arial" w:eastAsia="Arial" w:hAnsi="Arial"/>
          <w:sz w:val="21"/>
          <w:szCs w:val="21"/>
          <w:color w:val="auto"/>
          <w:vertAlign w:val="superscript"/>
        </w:rPr>
        <w:t>®</w:t>
      </w:r>
      <w:r>
        <w:rPr>
          <w:rFonts w:ascii="Arial" w:cs="Arial" w:eastAsia="Arial" w:hAnsi="Arial"/>
          <w:sz w:val="16"/>
          <w:szCs w:val="16"/>
          <w:color w:val="auto"/>
        </w:rPr>
        <w:t>, EVRENZO</w:t>
      </w:r>
      <w:r>
        <w:rPr>
          <w:rFonts w:ascii="Arial" w:cs="Arial" w:eastAsia="Arial" w:hAnsi="Arial"/>
          <w:sz w:val="21"/>
          <w:szCs w:val="21"/>
          <w:color w:val="auto"/>
          <w:vertAlign w:val="superscript"/>
        </w:rPr>
        <w:t>TM</w:t>
      </w:r>
      <w:r>
        <w:rPr>
          <w:rFonts w:ascii="Arial" w:cs="Arial" w:eastAsia="Arial" w:hAnsi="Arial"/>
          <w:sz w:val="16"/>
          <w:szCs w:val="16"/>
          <w:color w:val="auto"/>
        </w:rPr>
        <w:t>) is approved in China, Europe, Japan, and numerous other countries for the treatment of anemia in chronic kidney disease (“CKD”) for patients who are on dialysis and not on dialysis.</w:t>
      </w:r>
    </w:p>
    <w:p>
      <w:pPr>
        <w:spacing w:after="0" w:line="18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Astellas Pharma Inc. (“Astellas”) and FibroGen are collaborating on the development and commercialization of roxadustat in territories including Japan, Europe, Turkey, Russia and the Commonwealth of Independent States, the Middle East, and South Africa. FibroGen and AstraZeneca AB (“AstraZeneca”) are collaborating on the development and commercialization of roxadustat in the United States (“U.S.”), China, other markets in the Americas, Australia/New Zealand, and Southeast Asia.</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Roxadustat is in Phase 3 clinical development for anemia associated with myelodysplastic syndromes. The Company has completed a Phase 2 study of roxadustat in chemotherapy-induced anemia and is running a Phase 3 trial of roxadustat in chemotherapy-induced anemia in China.</w:t>
      </w:r>
    </w:p>
    <w:p>
      <w:pPr>
        <w:spacing w:after="0" w:line="13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Company has a pipeline of late-stage clinical programs as well as preclinical drug candidates at various stages of development that include both small molecules and biologics. The Company has leveraged its internally developed 2-oxoglutarate and connective tissue growth factor biology expertise as well as in-licensing of additional programs, such as antibodies targeting Galectin-9 protein (“Gal-9”) and C-C Motif Chemokine Receptor 8 (“CCR8”), to further enhance its late-stage preclinical pipeline. FibroGen’s goal is to build a diversified pipeline with novel drugs that will address unmet patient needs in oncology, immunology, and fibrosis.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condensed consolidated financial statements include the accounts of FibroGen, its wholly-owned subsidiaries and its majority-owned subsidiaries, FibroGen Europe Oy and FibroGen China Anemia Holdings, Ltd. All inter-company transactions and balances have been eliminated in consolidation. For the variable interest entity (“VIE”) for which FibroGen is not the primary beneficiary, the Company uses the equity method of accounting. The Company operates as one reportable segment — the discovery, development and commercialization of novel therapeutics to treat serious unmet medical needs.</w:t>
      </w:r>
    </w:p>
    <w:p>
      <w:pPr>
        <w:spacing w:after="0" w:line="15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2021, filed on February 28, 2022 and as amended on March 4, 2022 (“2021 Form 10-K”).</w:t>
      </w:r>
    </w:p>
    <w:p>
      <w:pPr>
        <w:spacing w:after="0" w:line="18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impact on previously reported financial position, results of operations, or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manufacturing and supply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2021 Form 10-K, except for the updates to the following: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maintains equity incentive plans under which equity awards are granted to employees, which are comprised of stock options, service-based restricted stock units (“RSUs”), performance-based RSUs, and total shareholder return (“TSR”) awards.</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measures and recognizes compensation expense for all stock options, service and performance-based restricted stock units granted to its employees and directors based on the estimated fair value of the award on the grant date. The Company uses the Black-Scholes valuation model to estimate the fair value of stock option awards. The determination of the grant date fair value of options using the Black-Scholes valuation model is affected by the Company’s estimated common stock fair value and requires management to make a number of assumptions including the expected life of the option, the volatility of the underlying stock, the risk-free interest rate and expected dividends. To estimate the fair value of the TSR awards, the Company uses the Monte Carlo valuation model to simulate the probabilities of achievement, which requires management to make a number of assumptions including 30-day average price, volatility of the underlying stock and the Company's peers, and the risk-free interest rate.</w:t>
      </w:r>
    </w:p>
    <w:p>
      <w:pPr>
        <w:spacing w:after="0" w:line="17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compensation cost of service-based stock options and restricted stock units is recognized net of any estimated forfeitures on a straight-line basis over the employee requisite service period. Compensation cost for performance-based RSUs is expensed over the respective vesting periods when the achievement of performance criteria is probable. Compensation cost for the TSR awards is recognized over the requisite service period, regardless of when, if ever, the market condition is satisfied.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believes that the fair value of stock options granted to non-employees is more reliably measured than the fair value of the services received.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50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46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(91,650</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(227,479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(155,945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75"/>
        </w:trPr>
        <w:tc>
          <w:tcPr>
            <w:tcW w:w="4640" w:type="dxa"/>
            <w:vAlign w:val="bottom"/>
          </w:tcPr>
          <w:p>
            <w:pPr>
              <w:ind w:left="20"/>
              <w:spacing w:after="0" w:line="175" w:lineRule="exact"/>
              <w:rPr>
                <w:sz w:val="20"/>
                <w:szCs w:val="20"/>
                <w:color w:val="auto"/>
              </w:rPr>
            </w:pPr>
            <w:r>
              <w:rPr>
                <w:rFonts w:ascii="Arial" w:cs="Arial" w:eastAsia="Arial" w:hAnsi="Arial"/>
                <w:sz w:val="18"/>
                <w:szCs w:val="18"/>
                <w:color w:val="auto"/>
              </w:rPr>
              <w:t>Weighted average shares used to compute net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640" w:type="dxa"/>
            <w:vAlign w:val="bottom"/>
          </w:tcPr>
          <w:p>
            <w:pPr>
              <w:ind w:left="160"/>
              <w:spacing w:after="0"/>
              <w:rPr>
                <w:sz w:val="20"/>
                <w:szCs w:val="20"/>
                <w:color w:val="auto"/>
              </w:rPr>
            </w:pPr>
            <w:r>
              <w:rPr>
                <w:rFonts w:ascii="Arial" w:cs="Arial" w:eastAsia="Arial" w:hAnsi="Arial"/>
                <w:sz w:val="18"/>
                <w:szCs w:val="18"/>
                <w:color w:val="auto"/>
              </w:rPr>
              <w:t>income (loss) per share:</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93,767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92,644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93,431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92,206</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Dilutive effect of potential common shares</w:t>
            </w:r>
          </w:p>
        </w:tc>
        <w:tc>
          <w:tcPr>
            <w:tcW w:w="28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50"/>
        </w:trPr>
        <w:tc>
          <w:tcPr>
            <w:tcW w:w="4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93,767</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92,808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93,431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1"/>
              <w:spacing w:after="0"/>
              <w:rPr>
                <w:sz w:val="20"/>
                <w:szCs w:val="20"/>
                <w:color w:val="auto"/>
              </w:rPr>
            </w:pPr>
            <w:r>
              <w:rPr>
                <w:rFonts w:ascii="Arial" w:cs="Arial" w:eastAsia="Arial" w:hAnsi="Arial"/>
                <w:sz w:val="18"/>
                <w:szCs w:val="18"/>
                <w:color w:val="auto"/>
              </w:rPr>
              <w:t>(0.98 )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0.54</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(2.43 )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(1.69 )</w:t>
            </w:r>
          </w:p>
        </w:tc>
      </w:tr>
      <w:tr>
        <w:trPr>
          <w:trHeight w:val="216"/>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(0.98 )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(1.69 )</w:t>
            </w:r>
          </w:p>
        </w:tc>
      </w:tr>
      <w:tr>
        <w:trPr>
          <w:trHeight w:val="635"/>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4"/>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-1045210</wp:posOffset>
            </wp:positionV>
            <wp:extent cx="329184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9184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net loss for the three months ended September 30, 2022, and nine months ended September 30, 2022 and 2021. Therefore, dilutive common shares are not assumed to have been issued since their effect is anti-dilutive for these periods.</w:t>
      </w:r>
    </w:p>
    <w:p>
      <w:pPr>
        <w:spacing w:after="0" w:line="19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Diluted weighted average shares excluded the following potential common shares related to stock options, RSUs (including service-based RSUs, performance-based RSUs and TSR awards) and shares to be purchased under the 2014 Employee Stock Purchase Plan (“ESPP”) for the periods presented as they were anti-dilutive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13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6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options</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w:t>
            </w:r>
          </w:p>
        </w:tc>
        <w:tc>
          <w:tcPr>
            <w:tcW w:w="2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10,301</w:t>
            </w:r>
          </w:p>
        </w:tc>
        <w:tc>
          <w:tcPr>
            <w:tcW w:w="2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1,978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1,911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2,066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4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12,250</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0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w:t>
      </w:r>
      <w:r>
        <w:rPr>
          <w:rFonts w:ascii="Arial" w:cs="Arial" w:eastAsia="Arial" w:hAnsi="Arial"/>
          <w:sz w:val="17"/>
          <w:szCs w:val="17"/>
          <w:color w:val="auto"/>
        </w:rPr>
        <w:t>regulatory authorities,</w:t>
      </w:r>
      <w:r>
        <w:rPr>
          <w:rFonts w:ascii="Arial" w:cs="Arial" w:eastAsia="Arial" w:hAnsi="Arial"/>
          <w:sz w:val="18"/>
          <w:szCs w:val="18"/>
          <w:color w:val="auto"/>
        </w:rPr>
        <w:t xml:space="preserve"> market acceptance of the Company’s product candidates, competition from other products and larger companies, intellectual property protection for the Company's proprietary technology, strategic relationships, and dependence on key individuals, suppliers, clinical organization, and other third parties.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 xml:space="preserve">Reporting </w:t>
      </w:r>
      <w:r>
        <w:rPr>
          <w:rFonts w:ascii="Arial" w:cs="Arial" w:eastAsia="Arial" w:hAnsi="Arial"/>
          <w:sz w:val="17"/>
          <w:szCs w:val="17"/>
          <w:color w:val="auto"/>
        </w:rPr>
        <w:t>(“</w:t>
      </w:r>
      <w:r>
        <w:rPr>
          <w:rFonts w:ascii="Arial" w:cs="Arial" w:eastAsia="Arial" w:hAnsi="Arial"/>
          <w:sz w:val="17"/>
          <w:szCs w:val="17"/>
          <w:i w:val="1"/>
          <w:iCs w:val="1"/>
          <w:color w:val="auto"/>
        </w:rPr>
        <w:t>ASU 2020-04”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companies with optional financial reporting alternatives to reduce the cost and complexity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ASU2020-04. The relief offered by this guidance, if adopted, is available to companies for the period March 12, 2020 through December 31, 2022. The Company did not elect to apply any of the expedients or exceptions as of and for the three and nine months ended September 30, 2022. The Company has certain lease arrangements that were accounted for with reference to the London Inter-Bank Offered Rate (“LIBOR”). The Company has evaluated the options for transitioning away from LIBOR for these arrangements and does not expect a material impact on its condensed consolidated financial statements and related disclosures upon adoption of this guidance.</w:t>
      </w:r>
    </w:p>
    <w:p>
      <w:pPr>
        <w:spacing w:after="0" w:line="294" w:lineRule="exact"/>
        <w:rPr>
          <w:sz w:val="20"/>
          <w:szCs w:val="20"/>
          <w:color w:val="auto"/>
        </w:rPr>
      </w:pPr>
    </w:p>
    <w:p>
      <w:pPr>
        <w:ind w:right="6160" w:firstLine="8"/>
        <w:spacing w:after="0" w:line="362" w:lineRule="auto"/>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License Agreement and Revenues Astellas Agreements</w:t>
      </w: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Astellas Japan Agreement</w:t>
      </w:r>
    </w:p>
    <w:p>
      <w:pPr>
        <w:spacing w:after="0" w:line="11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8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 xml:space="preserve">The aggregate amount of consideration received through September 30, 2022 totaled $105.1 million, excluding drug product revenue that is discussed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as license revenue and development revenue under the Astellas Japan Agreement were as follows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r>
      <w:tr>
        <w:trPr>
          <w:trHeight w:val="169"/>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92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13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rPr>
              <w:t>Astellas Japan</w:t>
            </w:r>
          </w:p>
        </w:tc>
        <w:tc>
          <w:tcPr>
            <w:tcW w:w="180" w:type="dxa"/>
            <w:vAlign w:val="bottom"/>
            <w:shd w:val="clear" w:color="auto" w:fill="CFF0FC"/>
          </w:tcPr>
          <w:p>
            <w:pPr>
              <w:spacing w:after="0"/>
              <w:rPr>
                <w:sz w:val="14"/>
                <w:szCs w:val="14"/>
                <w:color w:val="auto"/>
              </w:rPr>
            </w:pPr>
          </w:p>
        </w:tc>
        <w:tc>
          <w:tcPr>
            <w:tcW w:w="346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rPr>
              <w:t>License revenue</w:t>
            </w:r>
          </w:p>
        </w:tc>
        <w:tc>
          <w:tcPr>
            <w:tcW w:w="2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0"/>
        </w:trPr>
        <w:tc>
          <w:tcPr>
            <w:tcW w:w="1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Agreement</w:t>
            </w:r>
          </w:p>
        </w:tc>
        <w:tc>
          <w:tcPr>
            <w:tcW w:w="180" w:type="dxa"/>
            <w:vAlign w:val="bottom"/>
            <w:shd w:val="clear" w:color="auto" w:fill="CFF0FC"/>
          </w:tcPr>
          <w:p>
            <w:pPr>
              <w:spacing w:after="0"/>
              <w:rPr>
                <w:sz w:val="20"/>
                <w:szCs w:val="20"/>
                <w:color w:val="auto"/>
              </w:rPr>
            </w:pPr>
          </w:p>
        </w:tc>
        <w:tc>
          <w:tcPr>
            <w:tcW w:w="3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360" w:type="dxa"/>
            <w:vAlign w:val="bottom"/>
          </w:tcPr>
          <w:p>
            <w:pPr>
              <w:ind w:left="160"/>
              <w:spacing w:after="0"/>
              <w:rPr>
                <w:sz w:val="20"/>
                <w:szCs w:val="20"/>
                <w:color w:val="auto"/>
              </w:rPr>
            </w:pPr>
            <w:r>
              <w:rPr>
                <w:rFonts w:ascii="Arial" w:cs="Arial" w:eastAsia="Arial" w:hAnsi="Arial"/>
                <w:sz w:val="18"/>
                <w:szCs w:val="18"/>
                <w:color w:val="auto"/>
                <w:w w:val="89"/>
              </w:rPr>
              <w:t>45</w:t>
            </w:r>
          </w:p>
        </w:tc>
        <w:tc>
          <w:tcPr>
            <w:tcW w:w="13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89"/>
              </w:rPr>
              <w:t>66</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transaction price related to consideration received through September 30, 2022 and accounts receivable has been allocated to each of the following performance obligations under the Astellas Japan Agreement, along with any associated deferred revenue as follows (in thousands):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Cumulative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Astellas Japan Agreement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8"/>
              </w:rPr>
              <w:t>Through</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September 30, 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117,101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the three months ended September 30, 2022 under the Astellas Japan Agreement. The Company does not expect material variable consideration from estimated future co-development billing beyond the development period in the transaction price related to the Astellas Japan Agreement.</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Europe Agreement</w:t>
      </w:r>
    </w:p>
    <w:p>
      <w:pPr>
        <w:spacing w:after="0" w:line="11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6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The Company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 Such amount was billed and recorded in accounts receivable from Astellas as of March 31, 2022 and received in April 2022.</w:t>
      </w:r>
    </w:p>
    <w:p>
      <w:pPr>
        <w:spacing w:after="0" w:line="1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The aggregate amount of consideration received under the Astellas Europe Agreement through September 30, 2022 totaled $685.0 million, excluding drug product revenue that is discussed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Amounts recognized as license revenue and development revenue under the Astellas Europe Agreement were as follows for the three and nine months ended September 30, 2022 and 2021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7"/>
              </w:rPr>
              <w:t>Three Months Ended September 30,</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r>
      <w:tr>
        <w:trPr>
          <w:trHeight w:val="169"/>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20" w:type="dxa"/>
            <w:vAlign w:val="bottom"/>
          </w:tcPr>
          <w:p>
            <w:pPr>
              <w:spacing w:after="0"/>
              <w:rPr>
                <w:sz w:val="14"/>
                <w:szCs w:val="14"/>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13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rPr>
              <w:t>Astellas Europe</w:t>
            </w:r>
          </w:p>
        </w:tc>
        <w:tc>
          <w:tcPr>
            <w:tcW w:w="180" w:type="dxa"/>
            <w:vAlign w:val="bottom"/>
            <w:shd w:val="clear" w:color="auto" w:fill="CFF0FC"/>
          </w:tcPr>
          <w:p>
            <w:pPr>
              <w:spacing w:after="0"/>
              <w:rPr>
                <w:sz w:val="14"/>
                <w:szCs w:val="14"/>
                <w:color w:val="auto"/>
              </w:rPr>
            </w:pPr>
          </w:p>
        </w:tc>
        <w:tc>
          <w:tcPr>
            <w:tcW w:w="34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0"/>
        </w:trPr>
        <w:tc>
          <w:tcPr>
            <w:tcW w:w="1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Agreement</w:t>
            </w:r>
          </w:p>
        </w:tc>
        <w:tc>
          <w:tcPr>
            <w:tcW w:w="180" w:type="dxa"/>
            <w:vAlign w:val="bottom"/>
            <w:shd w:val="clear" w:color="auto" w:fill="CFF0FC"/>
          </w:tcPr>
          <w:p>
            <w:pPr>
              <w:spacing w:after="0"/>
              <w:rPr>
                <w:sz w:val="20"/>
                <w:szCs w:val="20"/>
                <w:color w:val="auto"/>
              </w:rPr>
            </w:pPr>
          </w:p>
        </w:tc>
        <w:tc>
          <w:tcPr>
            <w:tcW w:w="3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108,434</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108,434</w:t>
            </w:r>
          </w:p>
        </w:tc>
        <w:tc>
          <w:tcPr>
            <w:tcW w:w="100" w:type="dxa"/>
            <w:vAlign w:val="bottom"/>
            <w:shd w:val="clear" w:color="auto" w:fill="CFF0FC"/>
          </w:tcPr>
          <w:p>
            <w:pPr>
              <w:spacing w:after="0"/>
              <w:rPr>
                <w:sz w:val="20"/>
                <w:szCs w:val="20"/>
                <w:color w:val="auto"/>
              </w:rPr>
            </w:pPr>
          </w:p>
        </w:tc>
      </w:t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14,061</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8,263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20"/>
                <w:szCs w:val="20"/>
                <w:color w:val="auto"/>
              </w:rPr>
            </w:pPr>
          </w:p>
        </w:tc>
      </w:tr>
      <w:tr>
        <w:trPr>
          <w:trHeight w:val="634"/>
        </w:trPr>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597"/>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1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The transaction price related to consideration received through September 30, 2022 and accounts receivable has been allocated to each of the following performance obligations under the Astellas Europe Agreement, along with any associated deferred revenue as follows (in thousands):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Cumulative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Revenue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Astellas Europe Agreement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September 30, 2022</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618,975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278,905</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897,880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897,880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three months ended September 30, 2022 under the Astellas Europe Agreement. The remainder of the transaction price related to the Astellas Europe Agreement includes $6.3 million of variable consideration from estimated future co-development billing and is estimated to be recognized over the remaining development service period.</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Under the Astellas Europe Agreement, Astellas has an option to purchase roxadustat bulk drug product in support of commercial supplies. During the first quarter of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U.S./Rest of World (“RoW”) Agreement</w:t>
      </w:r>
    </w:p>
    <w:p>
      <w:pPr>
        <w:spacing w:after="0" w:line="11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(“AstraZeneca U.S./RoW Agreement”). It also excludes China, which is covered by a separate agreement with AstraZeneca described below. Under the terms of the AstraZeneca U.S./RoW Agreement, AstraZeneca agreed to pay upfront, non-contingent, non-refundable and time-based payments, and potential milestone payments, totaling $1.2 billion. AstraZeneca commits to pay the Company tiered royalty payments on AstraZeneca’s future net sales (as defined in the agreement) of roxadustat in the low 20% range. In addition, the Company is entitled to receive a transfer price for shipment of commercial product based on a percentage of AstraZeneca’s net sales (as defined in the agreement) in the low- to mid-single digit range.</w:t>
      </w:r>
    </w:p>
    <w:p>
      <w:pPr>
        <w:spacing w:after="0" w:line="13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aggregate amount of consideration received under the AstraZeneca U.S./RoW Agreement through September 30, 2022 totaled $439.0 million, excluding drug product revenue that is discussed separately below. While FibroGen and AstraZeneca continue to develop roxadustat in the U.S. for the treatment of anemia in patients with myelodysplastic syndromes, the Company has not been able to agree on a path forward for AstraZeneca to fund further roxadustat development for CKD anemia in the U.S. Therefore, the Company does not expect to receive most or all of the remaining AstraZeneca U.S./RoW Agreement milestones from AstraZeneca.</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In 2020, the Company entered into a Master Supply Agreement with AstraZeneca under the AstraZeneca U.S./RoW Agreement (“AstraZeneca Master Supply Agreement”) to define general forecast, order, supply and payment terms for AstraZeneca to purchase roxadustat bulk drug product from FibroGen in support of commercial supplies. The related drug product revenue is described under the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China Agreement</w:t>
      </w:r>
    </w:p>
    <w:p>
      <w:pPr>
        <w:spacing w:after="0" w:line="11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Effective July 30, 2013, the Company (through its subsidiaries affiliated with China) entered into the China Agreement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China Amendment discussed below in 2020, and provides for joint development costs (including capital and equipment costs for construction of the manufacturing plant in China), to be shared equally during the development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such consideration received for milestone and upfront payments through September 30, 2022 totaled $77.2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China Amendment</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In July 2020, FibroGen China Anemia Holdings, Ltd., FibroGen (China) Medical Technology Development Co., Ltd. (“FibroGen Beijing”), and FibroGen International (Hong Kong) Limited and AstraZeneca entered into the China Amendment, relating to the development and commercialization of roxadustat in China. Under the China Amendment, in September 2020, FibroGen Beijing and AstraZeneca completed the establishment of a jointly owned entity, Beijing Falikang Pharmaceutical Co., Ltd. (“Falikang”), which performs roxadustat distribution, as well as conducts sales and marketing through AstraZeneca.</w:t>
      </w:r>
    </w:p>
    <w:p>
      <w:pPr>
        <w:spacing w:after="0" w:line="186"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w:t>
      </w:r>
    </w:p>
    <w:p>
      <w:pPr>
        <w:spacing w:after="0" w:line="158"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Amounts recognized as revenue under the AstraZeneca U.S./RoW Agreement and AstraZeneca China Agreement were as follows for the three and nine months ended September 30, 2022 and 2021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8"/>
              </w:rPr>
              <w:t>Three Months Ended September 30,</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r>
      <w:tr>
        <w:trPr>
          <w:trHeight w:val="169"/>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2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Performance Obligation</w:t>
            </w:r>
          </w:p>
        </w:tc>
        <w:tc>
          <w:tcPr>
            <w:tcW w:w="220" w:type="dxa"/>
            <w:vAlign w:val="bottom"/>
          </w:tcPr>
          <w:p>
            <w:pPr>
              <w:spacing w:after="0"/>
              <w:rPr>
                <w:sz w:val="14"/>
                <w:szCs w:val="14"/>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296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8"/>
                <w:szCs w:val="18"/>
                <w:color w:val="auto"/>
                <w:w w:val="92"/>
              </w:rPr>
              <w:t>AstraZeneca U.S./RoW Agreement and</w:t>
            </w:r>
          </w:p>
        </w:tc>
        <w:tc>
          <w:tcPr>
            <w:tcW w:w="120" w:type="dxa"/>
            <w:vAlign w:val="bottom"/>
            <w:shd w:val="clear" w:color="auto" w:fill="CFF0FC"/>
          </w:tcPr>
          <w:p>
            <w:pPr>
              <w:spacing w:after="0"/>
              <w:rPr>
                <w:sz w:val="14"/>
                <w:szCs w:val="14"/>
                <w:color w:val="auto"/>
              </w:rPr>
            </w:pPr>
          </w:p>
        </w:tc>
        <w:tc>
          <w:tcPr>
            <w:tcW w:w="1860" w:type="dxa"/>
            <w:vAlign w:val="bottom"/>
            <w:tcBorders>
              <w:top w:val="single" w:sz="8" w:color="auto"/>
            </w:tcBorders>
            <w:shd w:val="clear" w:color="auto" w:fill="CFF0FC"/>
          </w:tcPr>
          <w:p>
            <w:pPr>
              <w:spacing w:after="0" w:line="168" w:lineRule="exact"/>
              <w:rPr>
                <w:sz w:val="20"/>
                <w:szCs w:val="20"/>
                <w:color w:val="auto"/>
              </w:rPr>
            </w:pPr>
            <w:r>
              <w:rPr>
                <w:rFonts w:ascii="Arial" w:cs="Arial" w:eastAsia="Arial" w:hAnsi="Arial"/>
                <w:sz w:val="18"/>
                <w:szCs w:val="18"/>
                <w:color w:val="auto"/>
              </w:rPr>
              <w:t>License revenue</w:t>
            </w:r>
          </w:p>
        </w:tc>
        <w:tc>
          <w:tcPr>
            <w:tcW w:w="1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30"/>
              <w:spacing w:after="0" w:line="168"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10"/>
              <w:spacing w:after="0" w:line="168"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30"/>
              <w:spacing w:after="0" w:line="168"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10"/>
              <w:spacing w:after="0" w:line="168"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r>
      <w:tr>
        <w:trPr>
          <w:trHeight w:val="230"/>
        </w:trPr>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AstraZeneca China Agreement</w:t>
            </w:r>
          </w:p>
        </w:tc>
        <w:tc>
          <w:tcPr>
            <w:tcW w:w="12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Development revenue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39,939</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transaction price related to consideration received through September 30, 2022 and accounts receivable has been allocated to each of the following performance obligations under the AstraZeneca U.S./RoW Agreement and AstraZeneca China Agreement, along with any associated deferred revenue as follows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AstraZeneca U.S./RoW Agreement and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8"/>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AstraZeneca China Agreement</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September 30, 2022</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line="175" w:lineRule="exact"/>
              <w:rPr>
                <w:sz w:val="20"/>
                <w:szCs w:val="20"/>
                <w:color w:val="auto"/>
              </w:rPr>
            </w:pPr>
            <w:r>
              <w:rPr>
                <w:rFonts w:ascii="Arial" w:cs="Arial" w:eastAsia="Arial" w:hAnsi="Arial"/>
                <w:sz w:val="18"/>
                <w:szCs w:val="18"/>
                <w:color w:val="auto"/>
              </w:rPr>
              <w:t>Co-development, information sharing &amp;</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committee services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612,869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612,869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 performance obligation *</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86,441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175,438</w:t>
            </w:r>
          </w:p>
        </w:tc>
        <w:tc>
          <w:tcPr>
            <w:tcW w:w="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Arial" w:cs="Arial" w:eastAsia="Arial" w:hAnsi="Arial"/>
                <w:sz w:val="18"/>
                <w:szCs w:val="18"/>
                <w:color w:val="auto"/>
              </w:rPr>
              <w:t>Total license and development revenue</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1,041,154</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175,438</w:t>
            </w:r>
          </w:p>
        </w:tc>
        <w:tc>
          <w:tcPr>
            <w:tcW w:w="580" w:type="dxa"/>
            <w:vAlign w:val="bottom"/>
            <w:gridSpan w:val="2"/>
          </w:tcPr>
          <w:p>
            <w:pPr>
              <w:jc w:val="right"/>
              <w:ind w:right="30"/>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1,216,592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5969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China performance obligation revenue is recognized as product revenue, as described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7" w:lineRule="exact"/>
        <w:rPr>
          <w:sz w:val="20"/>
          <w:szCs w:val="20"/>
          <w:color w:val="auto"/>
        </w:rPr>
      </w:pPr>
    </w:p>
    <w:p>
      <w:pPr>
        <w:ind w:left="380" w:right="140" w:hanging="372"/>
        <w:spacing w:after="0" w:line="249"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assets and liabilities related to rights and obligations in the same contract are recorded net on the consolidated balance sheets. As of September 30, 2022, deferred revenue included $160.1 million related to the AstraZeneca U.S./RoW Agreement and AstraZeneca China Agreement, which represents the net of $175.4 million of deferred revenue presented above and a $15.3 million unbilled co-development revenue under the AstraZeneca China Amendment.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There was no revenue resulting from changes to estimated variable consideration in the current period relating to performance obligations satisfied or partially satisfied in previous periods for the three months ended September 30, 2022 under the AstraZeneca U.S./RoW Agreement. The remainder of the transaction price related to the AstraZeneca U.S./RoW Agreement and AstraZeneca China Agreement includes $13.4 million of variable consideration from estimated future co-development billing and is estimated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The net product revenue from the sales to Falikang and the net product revenue from direct sales distributors in China are described under </w:t>
      </w:r>
      <w:r>
        <w:rPr>
          <w:rFonts w:ascii="Arial" w:cs="Arial" w:eastAsia="Arial" w:hAnsi="Arial"/>
          <w:sz w:val="18"/>
          <w:szCs w:val="18"/>
          <w:i w:val="1"/>
          <w:iCs w:val="1"/>
          <w:color w:val="auto"/>
        </w:rPr>
        <w:t>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Net </w:t>
      </w:r>
      <w:r>
        <w:rPr>
          <w:rFonts w:ascii="Arial" w:cs="Arial" w:eastAsia="Arial" w:hAnsi="Arial"/>
          <w:sz w:val="18"/>
          <w:szCs w:val="18"/>
          <w:color w:val="auto"/>
        </w:rPr>
        <w:t>section below.</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net from the sales of roxadustat commercial product in China was as follows for the three and nine months ended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4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Gross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2,610</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8,972</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Discounts and rebates</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(166 )</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(353 )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(1,314 )</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Sales returns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r>
      <w:tr>
        <w:trPr>
          <w:trHeight w:val="209"/>
        </w:trPr>
        <w:tc>
          <w:tcPr>
            <w:tcW w:w="42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Direct sales revenue, net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to Falikang:</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Gross transaction price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83,517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82,294</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Profit share</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(12,980 )</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(12,090 )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(31,894 )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(31,726 )</w:t>
            </w:r>
          </w:p>
        </w:tc>
      </w:tr>
      <w:tr>
        <w:trPr>
          <w:trHeight w:val="210"/>
        </w:trPr>
        <w:tc>
          <w:tcPr>
            <w:tcW w:w="42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transaction price</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51,623</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50,568</w:t>
            </w:r>
          </w:p>
        </w:tc>
        <w:tc>
          <w:tcPr>
            <w:tcW w:w="100" w:type="dxa"/>
            <w:vAlign w:val="bottom"/>
            <w:tcBorders>
              <w:top w:val="single" w:sz="8" w:color="CFF0FC"/>
            </w:tcBorders>
          </w:tcPr>
          <w:p>
            <w:pPr>
              <w:spacing w:after="0"/>
              <w:rPr>
                <w:sz w:val="18"/>
                <w:szCs w:val="18"/>
                <w:color w:val="auto"/>
              </w:rPr>
            </w:pPr>
          </w:p>
        </w:tc>
      </w:tr>
      <w:tr>
        <w:trPr>
          <w:trHeight w:val="216"/>
        </w:trPr>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Increase in deferred revenue</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(4,616 )</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(8,761 )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(750 )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(18,073 )</w:t>
            </w:r>
          </w:p>
        </w:tc>
      </w:tr>
      <w:tr>
        <w:trPr>
          <w:trHeight w:val="210"/>
        </w:trPr>
        <w:tc>
          <w:tcPr>
            <w:tcW w:w="424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Sales to Falikang revenue, net</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50,873</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100" w:type="dxa"/>
            <w:vAlign w:val="bottom"/>
            <w:tcBorders>
              <w:top w:val="single" w:sz="8" w:color="CFF0FC"/>
            </w:tcBorders>
          </w:tcPr>
          <w:p>
            <w:pPr>
              <w:spacing w:after="0"/>
              <w:rPr>
                <w:sz w:val="18"/>
                <w:szCs w:val="18"/>
                <w:color w:val="auto"/>
              </w:rPr>
            </w:pPr>
          </w:p>
        </w:tc>
      </w:tr>
      <w:tr>
        <w:trPr>
          <w:trHeight w:val="249"/>
        </w:trPr>
        <w:tc>
          <w:tcPr>
            <w:tcW w:w="42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product revenue,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17,359</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-1156970</wp:posOffset>
            </wp:positionV>
            <wp:extent cx="6858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-1156970</wp:posOffset>
            </wp:positionV>
            <wp:extent cx="6032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-1156970</wp:posOffset>
            </wp:positionV>
            <wp:extent cx="6032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-1156970</wp:posOffset>
            </wp:positionV>
            <wp:extent cx="6032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-599440</wp:posOffset>
            </wp:positionV>
            <wp:extent cx="6858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-599440</wp:posOffset>
            </wp:positionV>
            <wp:extent cx="6032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-599440</wp:posOffset>
            </wp:positionV>
            <wp:extent cx="6032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-599440</wp:posOffset>
            </wp:positionV>
            <wp:extent cx="6032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-316865</wp:posOffset>
            </wp:positionV>
            <wp:extent cx="685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-316865</wp:posOffset>
            </wp:positionV>
            <wp:extent cx="6032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-316865</wp:posOffset>
            </wp:positionV>
            <wp:extent cx="6032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spacing w:after="0" w:line="17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contract liabilities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1"/>
              </w:rPr>
              <w:t>Balance at</w:t>
            </w: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3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Deduction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04"/>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Product revenue - Direct sales - contract</w:t>
            </w: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56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(3,176 )   $</w:t>
            </w:r>
          </w:p>
        </w:tc>
        <w:tc>
          <w:tcPr>
            <w:tcW w:w="140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(537 )   $</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4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(733 )</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liabilities</w:t>
            </w:r>
          </w:p>
        </w:tc>
        <w:tc>
          <w:tcPr>
            <w:tcW w:w="220" w:type="dxa"/>
            <w:vAlign w:val="bottom"/>
            <w:vMerge w:val="continue"/>
            <w:shd w:val="clear" w:color="auto" w:fill="CFF0FC"/>
          </w:tcPr>
          <w:p>
            <w:pPr>
              <w:spacing w:after="0"/>
              <w:rPr>
                <w:sz w:val="18"/>
                <w:szCs w:val="18"/>
                <w:color w:val="auto"/>
              </w:rPr>
            </w:pPr>
          </w:p>
        </w:tc>
        <w:tc>
          <w:tcPr>
            <w:tcW w:w="1560" w:type="dxa"/>
            <w:vAlign w:val="bottom"/>
            <w:gridSpan w:val="3"/>
            <w:vMerge w:val="continue"/>
            <w:shd w:val="clear" w:color="auto" w:fill="CFF0FC"/>
          </w:tcPr>
          <w:p>
            <w:pPr>
              <w:spacing w:after="0"/>
              <w:rPr>
                <w:sz w:val="18"/>
                <w:szCs w:val="18"/>
                <w:color w:val="auto"/>
              </w:rPr>
            </w:pPr>
          </w:p>
        </w:tc>
        <w:tc>
          <w:tcPr>
            <w:tcW w:w="1400" w:type="dxa"/>
            <w:vAlign w:val="bottom"/>
            <w:gridSpan w:val="3"/>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5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The above contract liabilities were included in accrued and other current liabilities in the condensed consolidated balance sheet. The rebates and discounts reflected as reductions to gross accounts receivable for direct sales were $0.7 million and $1.1 million as of September 30, 2022 and December 31, 2021,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17"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77"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roxadustat sales to Falikang marked the beginning of the Company’s China performance obligation under the Company’s agreements with AstraZeneca</w:t>
      </w:r>
      <w:r>
        <w:rPr>
          <w:rFonts w:ascii="Arial" w:cs="Arial" w:eastAsia="Arial" w:hAnsi="Arial"/>
          <w:sz w:val="18"/>
          <w:szCs w:val="18"/>
          <w:i w:val="1"/>
          <w:iCs w:val="1"/>
          <w:color w:val="auto"/>
        </w:rPr>
        <w:t>.</w:t>
      </w:r>
      <w:r>
        <w:rPr>
          <w:rFonts w:ascii="Arial" w:cs="Arial" w:eastAsia="Arial" w:hAnsi="Arial"/>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in future periods as the performance obligation is satisfied.</w:t>
      </w:r>
    </w:p>
    <w:p>
      <w:pPr>
        <w:spacing w:after="0" w:line="186"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Periodically, the Company updates its assumptions such as total sales quantity, performance period and other inputs including foreign currency translation impact, among others. Following updates to its estimates, the Company deferred $4.6 million and $0.8 million from the net transfer price to Falikang, which was included in the related deferred revenue of the China performance obligation during the three and nine months ended September 30, 2022,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right="700"/>
              <w:spacing w:after="0" w:line="158" w:lineRule="exact"/>
              <w:rPr>
                <w:sz w:val="20"/>
                <w:szCs w:val="20"/>
                <w:color w:val="auto"/>
              </w:rPr>
            </w:pPr>
            <w:r>
              <w:rPr>
                <w:rFonts w:ascii="Arial" w:cs="Arial" w:eastAsia="Arial" w:hAnsi="Arial"/>
                <w:sz w:val="14"/>
                <w:szCs w:val="14"/>
                <w:b w:val="1"/>
                <w:bCs w:val="1"/>
                <w:color w:val="auto"/>
                <w:w w:val="91"/>
              </w:rPr>
              <w:t>Balance at</w:t>
            </w:r>
          </w:p>
        </w:tc>
        <w:tc>
          <w:tcPr>
            <w:tcW w:w="1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300" w:type="dxa"/>
            <w:vAlign w:val="bottom"/>
            <w:vMerge w:val="restart"/>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Recognized as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24"/>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Product revenue - AstraZeneca China</w:t>
            </w: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54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(171,516 )  $</w:t>
            </w:r>
          </w:p>
        </w:tc>
        <w:tc>
          <w:tcPr>
            <w:tcW w:w="13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(57,846 )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50,873</w:t>
            </w:r>
          </w:p>
        </w:tc>
        <w:tc>
          <w:tcPr>
            <w:tcW w:w="4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(175,438 )</w:t>
            </w: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ind w:left="160"/>
              <w:spacing w:after="0" w:line="190" w:lineRule="exact"/>
              <w:rPr>
                <w:sz w:val="20"/>
                <w:szCs w:val="20"/>
                <w:color w:val="auto"/>
              </w:rPr>
            </w:pPr>
            <w:r>
              <w:rPr>
                <w:rFonts w:ascii="Arial" w:cs="Arial" w:eastAsia="Arial" w:hAnsi="Arial"/>
                <w:sz w:val="18"/>
                <w:szCs w:val="18"/>
                <w:color w:val="auto"/>
              </w:rPr>
              <w:t>performance obligation - deferred revenue</w:t>
            </w:r>
          </w:p>
        </w:tc>
        <w:tc>
          <w:tcPr>
            <w:tcW w:w="200" w:type="dxa"/>
            <w:vAlign w:val="bottom"/>
            <w:vMerge w:val="continue"/>
            <w:shd w:val="clear" w:color="auto" w:fill="CFF0FC"/>
          </w:tcPr>
          <w:p>
            <w:pPr>
              <w:spacing w:after="0"/>
              <w:rPr>
                <w:sz w:val="18"/>
                <w:szCs w:val="18"/>
                <w:color w:val="auto"/>
              </w:rPr>
            </w:pPr>
          </w:p>
        </w:tc>
        <w:tc>
          <w:tcPr>
            <w:tcW w:w="1540" w:type="dxa"/>
            <w:vAlign w:val="bottom"/>
            <w:gridSpan w:val="3"/>
            <w:vMerge w:val="continue"/>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September 30, 2022, approximately $18.0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84"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color w:val="auto"/>
        </w:rPr>
        <w:t>Due to the Company’s legal right to offset, at each balance sheet date, the rebates and discounts, mainly related to profit sharing, are presented as reductions to gross accounts receivable from Falikang, which was $0.3 million and $13.4 million as of September 30, 2022 and December 31, 2021,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0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Drug product revenue from commercial-grade active pharmaceutical ingredient (“API”) or bulk drug product sales to Astellas and AstraZeneca was as follows for the three and nine months ended September 30, 2022 and 2021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7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37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Astellas Japan Agreement</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(4,313</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Astellas Europe Agreement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AstraZeneca U.S./RoW Agreement</w:t>
            </w: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(2,224 )</w:t>
            </w:r>
          </w:p>
        </w:tc>
      </w:tr>
      <w:tr>
        <w:trPr>
          <w:trHeight w:val="20"/>
        </w:trPr>
        <w:tc>
          <w:tcPr>
            <w:tcW w:w="37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40" w:type="dxa"/>
            <w:vAlign w:val="bottom"/>
          </w:tcPr>
          <w:p>
            <w:pPr>
              <w:ind w:left="280"/>
              <w:spacing w:after="0"/>
              <w:rPr>
                <w:sz w:val="20"/>
                <w:szCs w:val="20"/>
                <w:color w:val="auto"/>
              </w:rPr>
            </w:pPr>
            <w:r>
              <w:rPr>
                <w:rFonts w:ascii="Arial" w:cs="Arial" w:eastAsia="Arial" w:hAnsi="Arial"/>
                <w:sz w:val="18"/>
                <w:szCs w:val="18"/>
                <w:color w:val="auto"/>
              </w:rPr>
              <w:t>Drug product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w w:val="90"/>
              </w:rPr>
              <w:t>(4,077 )</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4,610</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(168 )</w:t>
            </w:r>
          </w:p>
        </w:tc>
      </w:tr>
      <w:tr>
        <w:trPr>
          <w:trHeight w:val="20"/>
        </w:trPr>
        <w:tc>
          <w:tcPr>
            <w:tcW w:w="3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-170815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5969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Japan Agreement</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During the first quarter of 2022, the Company fulfilled a shipment obligation under the terms of Astellas Japan Amendment, and recognized related drug product revenue of $9.8 million in the same period. In addition, the Company updated its estimate of variable consideration related to the API shipments fulfilled under the terms of Japan Amendment with Astellas, and recorded a reduction to the drug product revenue of $2.2 million during the first quarter of 2022.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three months ended September 30, 2022, the Company updated its estimate of variable consideration related to the API shipments fulfilled under the terms of Astellas Japan Amendment, and accordingly recorded adjustments to the drug product revenue of $(4.3) million. Specifically, the change in estimated variable consideration was based on the API held by Astellas at period end, adjusted to reflect foreign currency translation impact and the changes in the estimated bulk product strength mix intended to be manufactured by Astellas, among others. This amount was included in accrued liabilities as of September 30, 2022, representing the Company's best estimate that this amount will be paid within the next 12 months.</w:t>
      </w:r>
    </w:p>
    <w:p>
      <w:pPr>
        <w:spacing w:after="0" w:line="15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During the nine months ended September 30, 2021, the Company updated its estimate of variable consideration related to the API shipments fulfilled under the terms of Astellas Japan Amendment, and accordingly recorded adjustments to the drug product revenue of $2.1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Europe Agreement</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During the second quarter of 2022, the Company transferred bulk drug product for commercial purposes under the terms of the Astellas Europe Agreement and the Astellas EU Supply Agreement, and recognized the related fully burdened manufacturing costs of $1.0 million as drug product revenue, and recorded $23.2 million as deferred revenue due to a high degree of uncertainty associated with the variable consideration for revenue recognition purposes.</w:t>
      </w:r>
    </w:p>
    <w:p>
      <w:pPr>
        <w:spacing w:after="0" w:line="161"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In addition, the Company recognized royalty revenue of $0.2 million and $0.3 million as drug product revenue from the deferred revenue under the Astellas Europe Agreement during the three and nine months ended September 30, 2022, respectively. The remainder of the deferred revenue will be recognized as and when uncertainty is resolved, based on the performance of roxadustat product sales in the Astellas territory.</w:t>
      </w:r>
    </w:p>
    <w:p>
      <w:pPr>
        <w:spacing w:after="0" w:line="17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During the first quarter of 2022, the Company billed and received $49.2 million from Astellas related to the annual transfer price true up for bulk drug product transferred for commercial purposes. This amount was recorded in deferred revenue and netted against an unbilled contract asset as of December 31, 2021.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during the nine months ended September 30, 2022, the Company reclassified a total of $51.0 million from the related deferred revenue to accrued liabilities. As of September 30, 2022, the related balance in accrued liabilities was $51.0 million, representing the Company's best estimate that this amount will be paid within the next 12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U.S./RoW Agreement</w:t>
      </w:r>
    </w:p>
    <w:p>
      <w:pPr>
        <w:spacing w:after="0" w:line="10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the first quarter of 2022, the Company evaluated the current developments in the U.S. market, and updated its estimates of variable consideration associated with bulk drug product shipments to AstraZeneca in prior years as commercial supply. As a result, during the nine months ended September 30, 2022, the Company reclassified $11.2 million from the related deferred revenue to accrued liabilities. As of September 30, 2022, the related balance in accrued liabilities was $11.2 million, representing its best estimate that this amount will be paid within the next 12 months.</w:t>
      </w:r>
    </w:p>
    <w:p>
      <w:pPr>
        <w:spacing w:after="0" w:line="1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includes a roll-forward of the above-mentioned deferred revenues that are considered as contract liabilities related to drug product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Reclassified to</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Accrued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Recognized as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8"/>
              </w:rPr>
              <w:t>Liability /</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7"/>
              </w:rPr>
              <w:t>Accounts</w:t>
            </w:r>
          </w:p>
        </w:tc>
        <w:tc>
          <w:tcPr>
            <w:tcW w:w="2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9"/>
              </w:rPr>
              <w:t>Additions</w:t>
            </w:r>
          </w:p>
        </w:tc>
        <w:tc>
          <w:tcPr>
            <w:tcW w:w="100" w:type="dxa"/>
            <w:vAlign w:val="bottom"/>
          </w:tcPr>
          <w:p>
            <w:pPr>
              <w:spacing w:after="0"/>
              <w:rPr>
                <w:sz w:val="16"/>
                <w:szCs w:val="16"/>
                <w:color w:val="auto"/>
              </w:rPr>
            </w:pPr>
          </w:p>
        </w:tc>
        <w:tc>
          <w:tcPr>
            <w:tcW w:w="1040" w:type="dxa"/>
            <w:vAlign w:val="bottom"/>
          </w:tcPr>
          <w:p>
            <w:pPr>
              <w:jc w:val="right"/>
              <w:ind w:right="216"/>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Payable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Astellas Japan Agreement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Astellas Europe Agreement</w:t>
            </w:r>
          </w:p>
        </w:tc>
        <w:tc>
          <w:tcPr>
            <w:tcW w:w="14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(25,891 )</w:t>
            </w:r>
          </w:p>
        </w:tc>
        <w:tc>
          <w:tcPr>
            <w:tcW w:w="1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(72,409 )</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(46,984 )</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AstraZeneca U.S./RoW Agreement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(11,171 )</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ind w:left="120"/>
              <w:spacing w:after="0"/>
              <w:rPr>
                <w:sz w:val="20"/>
                <w:szCs w:val="20"/>
                <w:color w:val="auto"/>
              </w:rPr>
            </w:pPr>
            <w:r>
              <w:rPr>
                <w:rFonts w:ascii="Arial" w:cs="Arial" w:eastAsia="Arial" w:hAnsi="Arial"/>
                <w:sz w:val="18"/>
                <w:szCs w:val="18"/>
                <w:color w:val="auto"/>
              </w:rPr>
              <w:t>Drug product revenue - deferred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(39,036 )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(74,635 )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66,361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(46,984 )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-650875</wp:posOffset>
            </wp:positionV>
            <wp:extent cx="7747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-650875</wp:posOffset>
            </wp:positionV>
            <wp:extent cx="7747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-650875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-650875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Eluminex Agreement</w:t>
      </w:r>
    </w:p>
    <w:p>
      <w:pPr>
        <w:spacing w:after="0" w:line="12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Under the terms of the agreement with Eluminex, as amended and restated on January 21, 2022, Eluminex made an $8.0 million upfront payment to FibroGen during the first quarter of 2022, which was recognized as license revenue for the performance obligation satisfied during the third quarter of 2021 and recorded as an unbilled contract asset as of December 31, 2021 in the prepaid expenses and other current assets in the condensed consolidated balance sheet.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200"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The related contract manufacturing revenue was recorded as other revenue and included in development and other revenue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as revenue under the Eluminex were as follows for the three and nine months ended September 30, 2022 and 2021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r>
      <w:tr>
        <w:trPr>
          <w:trHeight w:val="169"/>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1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Eluminex</w:t>
            </w:r>
          </w:p>
        </w:tc>
        <w:tc>
          <w:tcPr>
            <w:tcW w:w="180" w:type="dxa"/>
            <w:vAlign w:val="bottom"/>
            <w:shd w:val="clear" w:color="auto" w:fill="CFF0FC"/>
          </w:tcPr>
          <w:p>
            <w:pPr>
              <w:spacing w:after="0"/>
              <w:rPr>
                <w:sz w:val="18"/>
                <w:szCs w:val="18"/>
                <w:color w:val="auto"/>
              </w:rPr>
            </w:pPr>
          </w:p>
        </w:tc>
        <w:tc>
          <w:tcPr>
            <w:tcW w:w="3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2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FF0FC"/>
          </w:tcPr>
          <w:p>
            <w:pPr>
              <w:spacing w:after="0"/>
              <w:rPr>
                <w:sz w:val="18"/>
                <w:szCs w:val="18"/>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Eluminex</w:t>
            </w:r>
          </w:p>
        </w:tc>
        <w:tc>
          <w:tcPr>
            <w:tcW w:w="18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revenue - contract manufacturing</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460</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1,502</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31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 xml:space="preserve">Pursuant to the guidance under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these loans have been immaterial.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168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Ownership</w:t>
            </w:r>
          </w:p>
        </w:tc>
        <w:tc>
          <w:tcPr>
            <w:tcW w:w="1600" w:type="dxa"/>
            <w:vAlign w:val="bottom"/>
          </w:tcPr>
          <w:p>
            <w:pPr>
              <w:jc w:val="center"/>
              <w:ind w:left="362"/>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Share of Net Income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4"/>
                <w:szCs w:val="14"/>
                <w:color w:val="auto"/>
              </w:rPr>
            </w:pPr>
          </w:p>
        </w:tc>
        <w:tc>
          <w:tcPr>
            <w:tcW w:w="1760" w:type="dxa"/>
            <w:vAlign w:val="bottom"/>
          </w:tcPr>
          <w:p>
            <w:pPr>
              <w:jc w:val="center"/>
              <w:ind w:right="20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Percentage</w:t>
            </w:r>
          </w:p>
        </w:tc>
        <w:tc>
          <w:tcPr>
            <w:tcW w:w="340" w:type="dxa"/>
            <w:vAlign w:val="bottom"/>
          </w:tcPr>
          <w:p>
            <w:pPr>
              <w:spacing w:after="0"/>
              <w:rPr>
                <w:sz w:val="16"/>
                <w:szCs w:val="16"/>
                <w:color w:val="auto"/>
              </w:rPr>
            </w:pPr>
          </w:p>
        </w:tc>
        <w:tc>
          <w:tcPr>
            <w:tcW w:w="160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1"/>
              </w:rPr>
              <w:t>December 31, 2021</w:t>
            </w:r>
          </w:p>
        </w:tc>
        <w:tc>
          <w:tcPr>
            <w:tcW w:w="4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Falikang</w:t>
            </w:r>
          </w:p>
        </w:tc>
        <w:tc>
          <w:tcPr>
            <w:tcW w:w="190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51.1 %</w:t>
            </w:r>
          </w:p>
        </w:tc>
        <w:tc>
          <w:tcPr>
            <w:tcW w:w="1600" w:type="dxa"/>
            <w:vAlign w:val="bottom"/>
            <w:tcBorders>
              <w:bottom w:val="single" w:sz="8" w:color="auto"/>
            </w:tcBorders>
            <w:shd w:val="clear" w:color="auto" w:fill="CFF0FC"/>
          </w:tcPr>
          <w:p>
            <w:pPr>
              <w:jc w:val="right"/>
              <w:ind w:right="142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3,825</w:t>
            </w:r>
          </w:p>
        </w:tc>
        <w:tc>
          <w:tcPr>
            <w:tcW w:w="3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 related party to the Company. See Note 7,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101,695</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101,695</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43,570</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103,257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108,747</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government bonds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2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FF0FC"/>
          </w:tcPr>
          <w:p>
            <w:pPr>
              <w:spacing w:after="0"/>
              <w:rPr>
                <w:sz w:val="18"/>
                <w:szCs w:val="18"/>
                <w:color w:val="auto"/>
              </w:rPr>
            </w:pPr>
          </w:p>
        </w:tc>
      </w:tr>
      <w:tr>
        <w:trPr>
          <w:trHeight w:val="209"/>
        </w:trPr>
        <w:tc>
          <w:tcPr>
            <w:tcW w:w="44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149,727</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172,064</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321,791</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58,801</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182,646</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182,646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69,079</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69,079</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91,522</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23,275</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23,275</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27,087</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government bonds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2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FF0FC"/>
          </w:tcPr>
          <w:p>
            <w:pPr>
              <w:spacing w:after="0"/>
              <w:rPr>
                <w:sz w:val="18"/>
                <w:szCs w:val="18"/>
                <w:color w:val="auto"/>
              </w:rPr>
            </w:pPr>
          </w:p>
        </w:tc>
      </w:tr>
      <w:tr>
        <w:trPr>
          <w:trHeight w:val="209"/>
        </w:trPr>
        <w:tc>
          <w:tcPr>
            <w:tcW w:w="440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150,323</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311,241</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461,564</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and nine months ended September 30, 2022.</w:t>
      </w:r>
    </w:p>
    <w:p>
      <w:pPr>
        <w:spacing w:after="0" w:line="303" w:lineRule="exact"/>
        <w:rPr>
          <w:sz w:val="20"/>
          <w:szCs w:val="20"/>
          <w:color w:val="auto"/>
        </w:rPr>
      </w:pPr>
    </w:p>
    <w:p>
      <w:pPr>
        <w:ind w:right="8780" w:firstLine="8"/>
        <w:spacing w:after="0" w:line="434" w:lineRule="auto"/>
        <w:tabs>
          <w:tab w:leader="none" w:pos="36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Cash and Cash Equivalents</w:t>
      </w:r>
    </w:p>
    <w:p>
      <w:pPr>
        <w:spacing w:after="0" w:line="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Cash and cash equivalents consisted of the following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September 30, 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2021</w:t>
            </w:r>
          </w:p>
        </w:tc>
        <w:tc>
          <w:tcPr>
            <w:tcW w:w="80" w:type="dxa"/>
            <w:vAlign w:val="bottom"/>
          </w:tcPr>
          <w:p>
            <w:pPr>
              <w:spacing w:after="0"/>
              <w:rPr>
                <w:sz w:val="16"/>
                <w:szCs w:val="16"/>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111,422</w:t>
            </w: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155,960</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171,223</w:t>
            </w:r>
          </w:p>
        </w:tc>
        <w:tc>
          <w:tcPr>
            <w:tcW w:w="8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5143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2022 and December 31, 2021, a total of $84.4 million and $91.2 million, respectively, of the Company’s cash and cash equivalents were held outside of the U.S. in its foreign subsidiaries to be used primarily for its China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1241"/>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Pr>
          <w:p>
            <w:pPr>
              <w:spacing w:after="0"/>
              <w:rPr>
                <w:sz w:val="11"/>
                <w:szCs w:val="11"/>
                <w:color w:val="auto"/>
              </w:rPr>
            </w:pPr>
          </w:p>
        </w:tc>
        <w:tc>
          <w:tcPr>
            <w:tcW w:w="1380" w:type="dxa"/>
            <w:vAlign w:val="bottom"/>
          </w:tcPr>
          <w:p>
            <w:pPr>
              <w:jc w:val="center"/>
              <w:ind w:left="161"/>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361"/>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2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0"/>
              </w:rPr>
              <w:t>Holding Losses</w:t>
            </w:r>
          </w:p>
        </w:tc>
        <w:tc>
          <w:tcPr>
            <w:tcW w:w="26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103,539</w:t>
            </w:r>
          </w:p>
        </w:tc>
        <w:tc>
          <w:tcPr>
            <w:tcW w:w="28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1181"/>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38,589</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110,559</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(1,813 )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14,210</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Arial" w:cs="Arial" w:eastAsia="Arial" w:hAnsi="Arial"/>
                <w:sz w:val="18"/>
                <w:szCs w:val="18"/>
                <w:color w:val="auto"/>
              </w:rPr>
              <w:t>(330 )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5,020</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Arial" w:cs="Arial" w:eastAsia="Arial" w:hAnsi="Arial"/>
                <w:sz w:val="18"/>
                <w:szCs w:val="18"/>
                <w:color w:val="auto"/>
              </w:rPr>
              <w:t>(70 )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274,396</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ind w:right="1181"/>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270,340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4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jc w:val="right"/>
              <w:ind w:right="1261"/>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8"/>
              </w:rPr>
              <w:t>Amortized Cost</w:t>
            </w:r>
          </w:p>
        </w:tc>
        <w:tc>
          <w:tcPr>
            <w:tcW w:w="280" w:type="dxa"/>
            <w:vAlign w:val="bottom"/>
          </w:tcPr>
          <w:p>
            <w:pPr>
              <w:spacing w:after="0"/>
              <w:rPr>
                <w:sz w:val="11"/>
                <w:szCs w:val="11"/>
                <w:color w:val="auto"/>
              </w:rPr>
            </w:pPr>
          </w:p>
        </w:tc>
        <w:tc>
          <w:tcPr>
            <w:tcW w:w="1380" w:type="dxa"/>
            <w:vAlign w:val="bottom"/>
          </w:tcPr>
          <w:p>
            <w:pPr>
              <w:jc w:val="center"/>
              <w:ind w:left="161"/>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361"/>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2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0"/>
              </w:rPr>
              <w:t>Holding Losses</w:t>
            </w:r>
          </w:p>
        </w:tc>
        <w:tc>
          <w:tcPr>
            <w:tcW w:w="26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183,136</w:t>
            </w:r>
          </w:p>
        </w:tc>
        <w:tc>
          <w:tcPr>
            <w:tcW w:w="28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1181"/>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68,079</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91,840</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(318 )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23,339</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Arial" w:cs="Arial" w:eastAsia="Arial" w:hAnsi="Arial"/>
                <w:sz w:val="18"/>
                <w:szCs w:val="18"/>
                <w:color w:val="auto"/>
              </w:rPr>
              <w:t>(64 )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27,105</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(18 )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9,165</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1"/>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402,664</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ind w:right="1181"/>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401,763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-1636395</wp:posOffset>
            </wp:positionV>
            <wp:extent cx="3497580" cy="643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7580" cy="643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summarizes, for all available for sale securities in an unrealized loss position, the fair value and gross unrealized loss by length of time the security has been in a continual unrealized loss position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September 30, 2022</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87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4"/>
                <w:szCs w:val="14"/>
                <w:color w:val="auto"/>
              </w:rPr>
            </w:pPr>
          </w:p>
        </w:tc>
        <w:tc>
          <w:tcPr>
            <w:tcW w:w="1740" w:type="dxa"/>
            <w:vAlign w:val="bottom"/>
            <w:gridSpan w:val="3"/>
          </w:tcPr>
          <w:p>
            <w:pPr>
              <w:ind w:left="480"/>
              <w:spacing w:after="0"/>
              <w:rPr>
                <w:sz w:val="20"/>
                <w:szCs w:val="20"/>
                <w:color w:val="auto"/>
              </w:rPr>
            </w:pPr>
            <w:r>
              <w:rPr>
                <w:rFonts w:ascii="Arial" w:cs="Arial" w:eastAsia="Arial" w:hAnsi="Arial"/>
                <w:sz w:val="14"/>
                <w:szCs w:val="14"/>
                <w:b w:val="1"/>
                <w:bCs w:val="1"/>
                <w:color w:val="auto"/>
                <w:w w:val="99"/>
              </w:rPr>
              <w:t>12 Months or More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tcPr>
          <w:p>
            <w:pPr>
              <w:jc w:val="right"/>
              <w:ind w:right="993"/>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r>
      <w:tr>
        <w:trPr>
          <w:trHeight w:val="133"/>
        </w:trPr>
        <w:tc>
          <w:tcPr>
            <w:tcW w:w="30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r>
      <w:tr>
        <w:trPr>
          <w:trHeight w:val="185"/>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88"/>
              </w:rPr>
              <w:t>Holding Losses</w:t>
            </w:r>
          </w:p>
        </w:tc>
        <w:tc>
          <w:tcPr>
            <w:tcW w:w="1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38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0"/>
              </w:rPr>
              <w:t>Holding Losses</w:t>
            </w:r>
          </w:p>
        </w:tc>
        <w:tc>
          <w:tcPr>
            <w:tcW w:w="16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0"/>
              </w:rPr>
              <w:t>Holding Losses</w:t>
            </w: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79,274</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22,421</w:t>
            </w:r>
          </w:p>
        </w:tc>
        <w:tc>
          <w:tcPr>
            <w:tcW w:w="2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101,695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(1,166 )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22,309</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(647 )</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(1,813 )</w:t>
            </w: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(288 )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(42 )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(330 )</w:t>
            </w:r>
          </w:p>
        </w:tc>
      </w:tr>
      <w:tr>
        <w:trPr>
          <w:trHeight w:val="216"/>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(70 )</w:t>
            </w:r>
          </w:p>
        </w:tc>
      </w:tr>
      <w:tr>
        <w:trPr>
          <w:trHeight w:val="250"/>
        </w:trPr>
        <w:tc>
          <w:tcPr>
            <w:tcW w:w="3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177,118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47,209</w:t>
            </w:r>
          </w:p>
        </w:tc>
        <w:tc>
          <w:tcPr>
            <w:tcW w:w="2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224,327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3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2021</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87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4"/>
                <w:szCs w:val="14"/>
                <w:color w:val="auto"/>
              </w:rPr>
            </w:pPr>
          </w:p>
        </w:tc>
        <w:tc>
          <w:tcPr>
            <w:tcW w:w="1740" w:type="dxa"/>
            <w:vAlign w:val="bottom"/>
            <w:gridSpan w:val="3"/>
          </w:tcPr>
          <w:p>
            <w:pPr>
              <w:ind w:left="480"/>
              <w:spacing w:after="0"/>
              <w:rPr>
                <w:sz w:val="20"/>
                <w:szCs w:val="20"/>
                <w:color w:val="auto"/>
              </w:rPr>
            </w:pPr>
            <w:r>
              <w:rPr>
                <w:rFonts w:ascii="Arial" w:cs="Arial" w:eastAsia="Arial" w:hAnsi="Arial"/>
                <w:sz w:val="14"/>
                <w:szCs w:val="14"/>
                <w:b w:val="1"/>
                <w:bCs w:val="1"/>
                <w:color w:val="auto"/>
                <w:w w:val="99"/>
              </w:rPr>
              <w:t>12 Months or More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tcPr>
          <w:p>
            <w:pPr>
              <w:jc w:val="right"/>
              <w:ind w:right="993"/>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r>
      <w:tr>
        <w:trPr>
          <w:trHeight w:val="133"/>
        </w:trPr>
        <w:tc>
          <w:tcPr>
            <w:tcW w:w="30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r>
      <w:tr>
        <w:trPr>
          <w:trHeight w:val="185"/>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88"/>
              </w:rPr>
              <w:t>Holding Losses</w:t>
            </w:r>
          </w:p>
        </w:tc>
        <w:tc>
          <w:tcPr>
            <w:tcW w:w="1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38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0"/>
              </w:rPr>
              <w:t>Holding Losses</w:t>
            </w:r>
          </w:p>
        </w:tc>
        <w:tc>
          <w:tcPr>
            <w:tcW w:w="16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0"/>
              </w:rPr>
              <w:t>Holding Losses</w:t>
            </w: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177,124</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177,124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(318 )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(318 )</w:t>
            </w: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16"/>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(18 )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50"/>
        </w:trPr>
        <w:tc>
          <w:tcPr>
            <w:tcW w:w="3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328,162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328,162</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15"/>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0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-1945005</wp:posOffset>
            </wp:positionV>
            <wp:extent cx="4440555" cy="7543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440555" cy="75438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-496570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-479425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-496570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-479425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-479425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-496570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-479425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-496570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-479425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the available-for-sale investments had contractual maturities range from several months to two years.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other-than-temporary impairment loss during the three and nine months ended September 30, 2022 and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Work-in-progress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35,205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3,514</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4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 consisted of the following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71,303</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API and bulk drug product price true-up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66,474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Acquired in-process research and development asset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17,782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co-promotion expenses - current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31,883</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Contract liabilities to pharmaceutical distributors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Roxadustat profit share to AstraZeneca</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7,058</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Property taxes and other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7,685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6,184</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4,704</w:t>
            </w: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accrued and other current liabilities</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213,806</w:t>
            </w:r>
          </w:p>
        </w:tc>
        <w:tc>
          <w:tcPr>
            <w:tcW w:w="2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172,599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-2502535</wp:posOffset>
            </wp:positionV>
            <wp:extent cx="6032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-2502535</wp:posOffset>
            </wp:positionV>
            <wp:extent cx="5143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The accrued liabilities of $66.5 million for API and bulk drug product price true-up as of September 30, 2022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See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in Note 2, </w:t>
      </w:r>
      <w:r>
        <w:rPr>
          <w:rFonts w:ascii="Arial" w:cs="Arial" w:eastAsia="Arial" w:hAnsi="Arial"/>
          <w:sz w:val="18"/>
          <w:szCs w:val="18"/>
          <w:i w:val="1"/>
          <w:iCs w:val="1"/>
          <w:color w:val="auto"/>
        </w:rPr>
        <w:t>Collaboration Agreements, License Agreement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Revenues, </w:t>
      </w:r>
      <w:r>
        <w:rPr>
          <w:rFonts w:ascii="Arial" w:cs="Arial" w:eastAsia="Arial" w:hAnsi="Arial"/>
          <w:sz w:val="18"/>
          <w:szCs w:val="18"/>
          <w:color w:val="auto"/>
        </w:rPr>
        <w:t>for details.</w:t>
      </w:r>
    </w:p>
    <w:p>
      <w:pPr>
        <w:spacing w:after="0" w:line="19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acquired in-process research and development asset of $35.0 million as of December 31, 2021 was related to the upfront payment under an exclusive license and option agreement with HiFiBiO Therapeutics (“HiFiBiO”), which was paid during the nine months ended September 30, 2022.</w:t>
      </w:r>
    </w:p>
    <w:p>
      <w:pPr>
        <w:spacing w:after="0" w:line="30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 for the three and nine months ended September 30, 2022 and 2021 were primarily due to foreign taxes.</w:t>
      </w:r>
    </w:p>
    <w:p>
      <w:pPr>
        <w:spacing w:after="0" w:line="21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 xml:space="preserve">Astellas is an equity investor in the Company and is considered a related party. The Company recorded revenue related to collaboration agreements with Astellas of $1.4 million and $122.6 million for the three months ended September 30, 2022 and 2021, and $31.0 million and $128.8 million for the nine months ended September 30, 2022 and 2021, respectively. The Company also recorded drug product revenue from Astellas of $(4.1) million and zero for the three months ended September 30, 2022 and 2021, and $4.6 million and $2.1 million for the nine months ended September 30, 2022 and 2021, respectively. See Note 2,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for details.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Company’s expense related to collaboration agreements with Astellas was immaterial for each of the three and nine months ended September 30,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accounts receivable from Astellas were $1.4 million and $10.9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total deferred revenue from Astellas was $47.0 million and $27.9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amount due to Astellas was $55.3 million. As of December 31, 2021, amount due to Astellas was immaterial.</w:t>
      </w:r>
    </w:p>
    <w:p>
      <w:pPr>
        <w:spacing w:after="0" w:line="212"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38"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 xml:space="preserve">The net product revenue from Falikang was $14.9 million and $10.3 million for the three months ended September 30, 2022 and 2021, and $50.9 million and $32.5 million for the nine months ended September 30, 2022 and 2021, respectively. See the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in Note 2,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License Agreement and Revenues</w:t>
      </w:r>
      <w:r>
        <w:rPr>
          <w:rFonts w:ascii="Arial" w:cs="Arial" w:eastAsia="Arial" w:hAnsi="Arial"/>
          <w:sz w:val="18"/>
          <w:szCs w:val="18"/>
          <w:color w:val="auto"/>
        </w:rPr>
        <w:t>, for details.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The investment income in Falikang was $0.4 million and $0.3 million for the three months ended September 30, 2022 and 2021, and $1.3 million and $0.7 million for the nine months ended September 30, 2022 and 2021, respectively. As of September 30, 2022 and December 31, 2021, the Company’s equity method investment in Falikang was $4.6 million and $3.8 million, respectively. See Note 3, </w:t>
      </w:r>
      <w:r>
        <w:rPr>
          <w:rFonts w:ascii="Arial" w:cs="Arial" w:eastAsia="Arial" w:hAnsi="Arial"/>
          <w:sz w:val="17"/>
          <w:szCs w:val="17"/>
          <w:i w:val="1"/>
          <w:iCs w:val="1"/>
          <w:color w:val="auto"/>
        </w:rPr>
        <w:t>Variable Interest Entity</w:t>
      </w:r>
      <w:r>
        <w:rPr>
          <w:rFonts w:ascii="Arial" w:cs="Arial" w:eastAsia="Arial" w:hAnsi="Arial"/>
          <w:sz w:val="17"/>
          <w:szCs w:val="17"/>
          <w:color w:val="auto"/>
        </w:rPr>
        <w:t>, for details.</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September 30, 2022, accounts receivable, net, from Falikang was of $12.9 million. As of December 31, 2021, accounts receivable, net, from Falikang was zero.</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2022, the total deferred revenue from Falikang was zero. As of December 31, 2021, the total deferred revenue from Falikang was $1.2 million.</w:t>
      </w:r>
    </w:p>
    <w:p>
      <w:pPr>
        <w:spacing w:after="0" w:line="261" w:lineRule="exact"/>
        <w:rPr>
          <w:sz w:val="20"/>
          <w:szCs w:val="20"/>
          <w:color w:val="auto"/>
        </w:rPr>
      </w:pPr>
    </w:p>
    <w:p>
      <w:pPr>
        <w:ind w:right="8300" w:firstLine="8"/>
        <w:spacing w:after="0" w:line="383" w:lineRule="auto"/>
        <w:tabs>
          <w:tab w:leader="none" w:pos="3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Contract Obligations</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As of September 30, 2022, the Company had $92.6 million of operating lease liabilities.</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September 30, 2022, the Company had outstanding total non-cancelable purchase obligations of $51.2 million, including $21.0 million for manufacture and supply of pamrevlumab, $7.8 million for manufacture and supply of roxadustat, and $22.3 million for other purchases and programs. The Company expects to fulfill its commitments under these agreements in the normal course of business, and as such, no liability has been recorded.</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Some of the Company’s license agreements provide for periodic maintenance fees over specified time periods, as well as payments by the Company upon the achievement of development, regulatory and commercial milestones. As of September 30, 2022, future milestone payments for research and preclinical stage development programs consisted of up to approximately $697.9 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Matters</w:t>
      </w:r>
    </w:p>
    <w:p>
      <w:pPr>
        <w:spacing w:after="0" w:line="11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 as of September 30, 2022, as the Company could not predict the ultimate outcome of these matters, or reasonably estimate the potential exposure.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Between April 2021 and May 2021, five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On July 15, 2022, the court issued an order denying Defendants’ motions to dismiss. Defendants answered the Complaint on September 13, 2022 and discovery is ongoing.</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July 30, 2021, a purported shareholder derivative (the “California Federal Derivative”) complaint was filed in the U.S. District Court for the Northern District of California. The California Federal Derivative complaint names as defendants ten of FibroGen’s current and former officers and directors, as well as FibroGen as nominal defendant, and asserts state and federal claims based on some of the same alleged misstatements as the securities class action complaint. The California Federal Derivative complaint seeks unspecified damages, attorneys’ fees, and other costs. On October 21, 2022, the parties filed a stipulation setting forth a schedule by which plaintiff will file an amended complaint in the California Federal Derivative action and defendants will move to dismiss on the basis of improper forum. On December 27, 2021, a second purported shareholder derivative (the “Delaware Federal Derivative”) complaint was filed in the U.S. District Court for the District of Delaware. The Delaware Federal Derivative complaint names 17 of FibroGen’s current and former officers and directors as defendants, as well as FibroGen as nominal defendant, and asserts state and federal claims based on some of the same alleged misstatements as the securities class action complaint, as well as allegations of insider trading against certain defendants. The Delaware Federal Derivative complaint seeks unspecified damages, attorneys’ fees, and other costs. The Delaware Federal Derivative action has been stayed pending resolution of any motions for summary judgment in the securities class action. On April 14, 2022, a third purported shareholder derivative (the “Delaware Chancery Derivative”) complaint was filed in the Delaware Court of Chancery. The Delaware Chancery Derivative complaint names the same defendants as the second purported shareholder derivative action and asserts similar claims based upon similar allegations. The Delaware Chancery Derivative complaint seeks unspecified damages, attorneys’ fees, and other costs. Defendants have not been served in the Delaware Chancery Derivative action.</w:t>
      </w:r>
    </w:p>
    <w:p>
      <w:pPr>
        <w:spacing w:after="0" w:line="17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Between August 3, 2022 and August 4, 2022, the Company's Board of Directors received three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such additional demands.</w:t>
      </w:r>
    </w:p>
    <w:p>
      <w:pPr>
        <w:spacing w:after="0" w:line="19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292" w:lineRule="exact"/>
        <w:rPr>
          <w:sz w:val="20"/>
          <w:szCs w:val="20"/>
          <w:color w:val="auto"/>
        </w:rPr>
      </w:pPr>
    </w:p>
    <w:p>
      <w:pPr>
        <w:ind w:right="8920" w:firstLine="8"/>
        <w:spacing w:after="0" w:line="407" w:lineRule="auto"/>
        <w:tabs>
          <w:tab w:leader="none" w:pos="3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 </w:t>
      </w:r>
      <w:r>
        <w:rPr>
          <w:rFonts w:ascii="Arial" w:cs="Arial" w:eastAsia="Arial" w:hAnsi="Arial"/>
          <w:sz w:val="16"/>
          <w:szCs w:val="16"/>
          <w:i w:val="1"/>
          <w:iCs w:val="1"/>
          <w:color w:val="auto"/>
        </w:rPr>
        <w:t>Strategic Financing Agreement</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November 4, 2022, the Company entered into a revenue interest financing agreement (“RIFA”) with an affiliate of NovaQuest Capital Management (“NovaQuest”) with respect to royalties from Astellas’s sales of roxadustat in Europe, Japan and the other Astellas territories. Pursuant to the RIFA, NovaQuest agreed to pay FibroGen, within ten business days, an investment amount equal to $50.0 million (the “Investment Amount”), in consideration for certain royalty and other revenue payments FibroGen will make to NovaQuest. FibroGen agreed to pay NovaQuest annually, up to certain caps (see below), 22.5% of all revenue recognized by the Company in respect of net sales of roxadustat in Europe and Japan and the other Astellas territories, and certain other tiered percentages of revenue (in each case paid annually), pursuant to FibroGen’s license and collaboration agreements with Astellas. The RIFA also provides for certain minimum repayment provisions. The total aggregate payments that can be received by NovaQuest under this Agreement are capped at certain fixed multiples of the Investment Amount based upon time. Once NovaQuest receives an aggregate of either $100 million (two times of the Investment Amount) by the end of 2028, $112.5 million (two and a quarter times of the Investment Amount) by the end of 2029, or $125 million (two and a half times of the Investment Amount) by the end of 2030, the Agreement will expire resulting in FibroGen retaining all subsequent Investment roxadustat royalties. FibroGen is also permitted to prepay its obligations according to a prepayment schedule with reduced repayment caps.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2021 filed with the SEC on February 28, 2022 and as amended on March 4, 2022 (“2021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discovering, developing and commercializing a pipeline of first-in-class therapeutics. We apply our pioneering expertise in hypoxia-inducible factor (“HIF”) biology, 2-oxoglutarate enzymology, and connective tissue growth factor biology to advance innovative medicines for the treatment of anemia, fibrotic disease, and cancer.</w:t>
      </w:r>
    </w:p>
    <w:p>
      <w:pPr>
        <w:spacing w:after="0" w:line="18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have a pipeline of late-stage clinical programs as well as preclinical drug candidates at various stages of development that include both small molecules and biologics. We have leveraged our internally developed 2-oxoglutarate and connective tissue growth factor biology expertise as well as in-licensing of additional programs, such as antibodies targeting Galectin-9 protein (“Gal-9”) and C-C Motif Chemokine Receptor 8 (“CCR8”), to further enhance our late-stage preclinical pipeline. Our goal is to build a diversified pipeline with novel drugs that will address unmet patient needs in oncology, immunology, and fibrosis.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340" w:type="dxa"/>
            <w:vAlign w:val="bottom"/>
            <w:gridSpan w:val="5"/>
          </w:tcPr>
          <w:p>
            <w:pPr>
              <w:jc w:val="right"/>
              <w:ind w:right="476"/>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1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w w:val="97"/>
              </w:rPr>
              <w:t>(in thousands, except for per share data)</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Result of Operations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15,735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155,973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106,367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218,766</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109,392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104,999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341,240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372,055</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(91,650 )</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8"/>
              <w:spacing w:after="0"/>
              <w:rPr>
                <w:sz w:val="20"/>
                <w:szCs w:val="20"/>
                <w:color w:val="auto"/>
              </w:rPr>
            </w:pPr>
            <w:r>
              <w:rPr>
                <w:rFonts w:ascii="Arial" w:cs="Arial" w:eastAsia="Arial" w:hAnsi="Arial"/>
                <w:sz w:val="18"/>
                <w:szCs w:val="18"/>
                <w:color w:val="auto"/>
              </w:rPr>
              <w:t>(227,479 )</w:t>
            </w:r>
          </w:p>
        </w:tc>
        <w:tc>
          <w:tcPr>
            <w:tcW w:w="18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(155,945 )</w:t>
            </w: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(0.98 )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(2.43 )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(1.69 )</w:t>
            </w:r>
          </w:p>
        </w:tc>
      </w:tr>
      <w:tr>
        <w:trPr>
          <w:trHeight w:val="634"/>
        </w:trPr>
        <w:tc>
          <w:tcPr>
            <w:tcW w:w="4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2022</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24"/>
                <w:szCs w:val="24"/>
                <w:color w:val="auto"/>
              </w:rPr>
            </w:pPr>
          </w:p>
        </w:tc>
      </w:tr>
      <w:tr>
        <w:trPr>
          <w:trHeight w:val="169"/>
        </w:trPr>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880" w:type="dxa"/>
            <w:vAlign w:val="bottom"/>
            <w:gridSpan w:val="3"/>
          </w:tcPr>
          <w:p>
            <w:pPr>
              <w:jc w:val="right"/>
              <w:ind w:right="1154"/>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4"/>
                <w:szCs w:val="14"/>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Sheet</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155,960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171,223</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and long-term investments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270,340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401,763</w:t>
            </w:r>
          </w:p>
        </w:tc>
        <w:tc>
          <w:tcPr>
            <w:tcW w:w="100" w:type="dxa"/>
            <w:vAlign w:val="bottom"/>
            <w:shd w:val="clear" w:color="auto" w:fill="CFF0FC"/>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15,328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current year periods included the revenue recognized related to the following:</w:t>
      </w:r>
    </w:p>
    <w:p>
      <w:pPr>
        <w:spacing w:after="0" w:line="104" w:lineRule="exact"/>
        <w:rPr>
          <w:sz w:val="20"/>
          <w:szCs w:val="20"/>
          <w:color w:val="auto"/>
        </w:rPr>
      </w:pPr>
    </w:p>
    <w:p>
      <w:pPr>
        <w:ind w:left="520" w:right="6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$2.0 million and $18.2 million of development revenue for the three and nine months ended September 30, 2022, respectively, recognized under our collaboration agreements with our partners Astellas Pharma Inc. (“Astellas”) and AstraZeneca AB (“AstraZeneca”);</w:t>
      </w:r>
    </w:p>
    <w:p>
      <w:pPr>
        <w:spacing w:after="0" w:line="24" w:lineRule="exact"/>
        <w:rPr>
          <w:rFonts w:ascii="Arial" w:cs="Arial" w:eastAsia="Arial" w:hAnsi="Arial"/>
          <w:sz w:val="17"/>
          <w:szCs w:val="17"/>
          <w:color w:val="auto"/>
        </w:rPr>
      </w:pPr>
    </w:p>
    <w:p>
      <w:pPr>
        <w:ind w:left="520" w:right="100" w:hanging="512"/>
        <w:spacing w:after="0" w:line="235"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nine months ended September 30, 2022, a $25.0 million regulatory milestone recognized in the first quarter of 2022 under our collaboration agreements with our partner Astellas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Of this amount, $22.6 million was recognized as license revenue and the remainder was included as development revenue;</w:t>
      </w:r>
    </w:p>
    <w:p>
      <w:pPr>
        <w:spacing w:after="0" w:line="80" w:lineRule="exact"/>
        <w:rPr>
          <w:rFonts w:ascii="Arial" w:cs="Arial" w:eastAsia="Arial" w:hAnsi="Arial"/>
          <w:sz w:val="18"/>
          <w:szCs w:val="18"/>
          <w:color w:val="auto"/>
        </w:rPr>
      </w:pPr>
    </w:p>
    <w:p>
      <w:pPr>
        <w:ind w:left="520" w:right="4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$17.4 million and $59.5 million of net product revenue for the three and nine months ended September 30, 2022, respectively, from roxadustat commercial sales in China; and</w:t>
      </w:r>
    </w:p>
    <w:p>
      <w:pPr>
        <w:spacing w:after="0" w:line="62" w:lineRule="exact"/>
        <w:rPr>
          <w:rFonts w:ascii="Arial" w:cs="Arial" w:eastAsia="Arial" w:hAnsi="Arial"/>
          <w:sz w:val="18"/>
          <w:szCs w:val="18"/>
          <w:color w:val="auto"/>
        </w:rPr>
      </w:pPr>
    </w:p>
    <w:p>
      <w:pPr>
        <w:ind w:left="520" w:right="40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$(4.1) million and $4.6 million of drug product revenue for the three and nine months ended September 30, 2022, respectively, related to active pharmaceutical ingredient (“API”) deliveries to Astellas.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a comparison, our revenue for the prior year periods included the revenue recognized related to the following:</w:t>
      </w:r>
    </w:p>
    <w:p>
      <w:pPr>
        <w:spacing w:after="0" w:line="104" w:lineRule="exact"/>
        <w:rPr>
          <w:sz w:val="20"/>
          <w:szCs w:val="20"/>
          <w:color w:val="auto"/>
        </w:rPr>
      </w:pPr>
    </w:p>
    <w:p>
      <w:pPr>
        <w:ind w:left="520" w:right="140" w:hanging="512"/>
        <w:spacing w:after="0" w:line="24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$120.0 million regulatory milestones recognized under our collaboration agreements with our partner Astellas associated with the approval by European Commission of EVRENZO® (roxadustat) for the treatment of adult patients with symptomatic anemia associated with chronic kidney disease (“CKD”) during the third quarter of 2021. Of this amount, $108.4 million was recognized as license revenue and the remainder included as development revenue;</w:t>
      </w:r>
    </w:p>
    <w:p>
      <w:pPr>
        <w:spacing w:after="0" w:line="86"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$26.1 million and $60.3 million of development revenue for the three and nine months ended September 30, 2021, respectively, recognized under our collaboration agreements with our partners Astellas and AstraZeneca;</w:t>
      </w:r>
    </w:p>
    <w:p>
      <w:pPr>
        <w:spacing w:after="0" w:line="62"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$13.4 million and $42.2 million of net product revenue for the three and nine months ended September 30, 2021, respectively, from roxadustat commercial sales in China; and</w:t>
      </w:r>
    </w:p>
    <w:p>
      <w:pPr>
        <w:spacing w:after="0" w:line="48" w:lineRule="exact"/>
        <w:rPr>
          <w:rFonts w:ascii="Arial" w:cs="Arial" w:eastAsia="Arial" w:hAnsi="Arial"/>
          <w:sz w:val="18"/>
          <w:szCs w:val="18"/>
          <w:color w:val="auto"/>
        </w:rPr>
      </w:pPr>
    </w:p>
    <w:p>
      <w:pPr>
        <w:ind w:left="520" w:right="4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$8.0 million upfront license payment recognized in the third quarter of 2021 under our license agreement with Eluminex Biosciences (Suzhou) Limited (“Eluminex”).</w:t>
      </w:r>
    </w:p>
    <w:p>
      <w:pPr>
        <w:spacing w:after="0" w:line="18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Operating costs and expenses for the three months ended September 30, 2022 increased compared to the same period a year ago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$11.8 million higher drug development expenses associated with drug substance and drug product manufacturing activities related to pamrevlumab;</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$6.2 million higher legal expenses primarily due to a one-time favorable patent-related court ruling recorded in the prior year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$8.0 million lower clinical trial expenses associated with roxadustat post-approval safety studies and Phase 3 trials for pamrevlumab; and</w:t>
      </w:r>
    </w:p>
    <w:p>
      <w:pPr>
        <w:spacing w:after="0" w:line="115" w:lineRule="exact"/>
        <w:rPr>
          <w:rFonts w:ascii="Arial" w:cs="Arial" w:eastAsia="Arial" w:hAnsi="Arial"/>
          <w:sz w:val="17"/>
          <w:szCs w:val="17"/>
          <w:color w:val="auto"/>
        </w:rPr>
      </w:pPr>
    </w:p>
    <w:p>
      <w:pPr>
        <w:jc w:val="both"/>
        <w:ind w:left="520" w:right="40" w:hanging="512"/>
        <w:spacing w:after="0" w:line="303"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$4.3 million lower employee-related expenses primarily due to a payroll tax refund received during the third quarter of 2022, and lower headcount as part of the cost reduction effort we started to implement in the second half of 2021 following the complete response letter (“CRL”) issued by the Food and Drug Administration for roxadustat in CKD anemia in the United States (“U.S.”), stating that it could not be approved in its present form.</w:t>
      </w:r>
    </w:p>
    <w:p>
      <w:pPr>
        <w:spacing w:after="0" w:line="14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Operating costs and expenses for the nine months ended September 30, 2022 decreased compared to the same period a year ago as a result of the net effect of the following:</w:t>
      </w:r>
    </w:p>
    <w:p>
      <w:pPr>
        <w:spacing w:after="0" w:line="76" w:lineRule="exact"/>
        <w:rPr>
          <w:sz w:val="20"/>
          <w:szCs w:val="20"/>
          <w:color w:val="auto"/>
        </w:rPr>
      </w:pPr>
    </w:p>
    <w:p>
      <w:pPr>
        <w:ind w:left="520" w:right="18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 million for acquired in-process research and development asset from HiFiBiO Therapeutics (“HiFiBiO”) in the prior year period, which did not recur in the current year period;</w:t>
      </w:r>
    </w:p>
    <w:p>
      <w:pPr>
        <w:spacing w:after="0" w:line="62"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$11.3 million lower employee-related expenses and $4.7 million lower stock-based compensation expenses primarily due to lower headcount as part of the cost reduction effort mentioned above, and a payroll tax refund received during the third quarter of 2022;</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$9.0 million lower clinical trial expenses associated with roxadustat post-approval safety studies and Phase 3 trials for pamrevlumab;</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14.4 million higher drug development expenses associated with drug substance and drug product manufacturing activities related to pamrevlumab;</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$5.6 million higher cost of goods sold due to higher roxadustat product sales;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$4.9 million higher legal expenses primarily due to a one-time favorable patent-related court ruling recorded in the prior year period.</w:t>
      </w:r>
    </w:p>
    <w:p>
      <w:pPr>
        <w:spacing w:after="0" w:line="212"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For the three months ended September 30, 2022, we had a net loss of $91.7 million, or a net loss per basic and diluted share of $0.98, as compared to a net income of $49.8 million for the same period a year ago, due to decrease in revenue and increases in operating costs and expenses as discussed above.</w:t>
      </w:r>
    </w:p>
    <w:p>
      <w:pPr>
        <w:spacing w:after="0" w:line="138"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For the nine months ended September 30, 2022, we had a net loss of $227.5 million, or a net loss per basic and diluted share of $2.43, as compared to a net loss of $155.9 million for the same period a year ago, due to decreases in revenue, offset by decreases in operating costs and expenses as discussed above.</w:t>
      </w:r>
    </w:p>
    <w:p>
      <w:pPr>
        <w:spacing w:after="0" w:line="12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Cash and cash equivalents, investments, and accounts receivable totaled $441.6 million at September 30, 2022, a decrease of $148.8 million from December 31, 2021, primarily due to the cash used in operations and investment in our preclinical pipeline.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our clinical and commercial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0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Roxadustat is our commercial-stage product, an oral small molecule inhibitor of HIF prolyl hydroxylase (“HIF-PH”) activity that acts by stimulating the body’s natural pathway of erythropoiesis, or red blood cell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Roxadustat continues to be approved in jurisdictions throughout the world, including recent marketing approvals in Turkey and the Philippines. Roxadustat</w:t>
      </w:r>
    </w:p>
    <w:p>
      <w:pPr>
        <w:spacing w:after="0" w:line="46"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w:t>
      </w:r>
      <w:r>
        <w:rPr>
          <w:rFonts w:ascii="SimSun" w:cs="SimSun" w:eastAsia="SimSun" w:hAnsi="SimSun"/>
          <w:sz w:val="18"/>
          <w:szCs w:val="18"/>
          <w:color w:val="auto"/>
        </w:rPr>
        <w:t>爱瑞卓</w:t>
      </w:r>
      <w:r>
        <w:rPr>
          <w:rFonts w:ascii="Arial" w:cs="Arial" w:eastAsia="Arial" w:hAnsi="Arial"/>
          <w:sz w:val="18"/>
          <w:szCs w:val="18"/>
          <w:color w:val="auto"/>
        </w:rPr>
        <w:t>®, EVRENZO</w:t>
      </w:r>
      <w:r>
        <w:rPr>
          <w:rFonts w:ascii="Arial" w:cs="Arial" w:eastAsia="Arial" w:hAnsi="Arial"/>
          <w:sz w:val="24"/>
          <w:szCs w:val="24"/>
          <w:color w:val="auto"/>
          <w:vertAlign w:val="superscript"/>
        </w:rPr>
        <w:t>TM</w:t>
      </w:r>
      <w:r>
        <w:rPr>
          <w:rFonts w:ascii="Arial" w:cs="Arial" w:eastAsia="Arial" w:hAnsi="Arial"/>
          <w:sz w:val="18"/>
          <w:szCs w:val="18"/>
          <w:color w:val="auto"/>
        </w:rPr>
        <w:t>) is approved in China, Europe, Japan, and numerous other countries for the treatment of anemia in CKD for patients who are on dialysis and not on dialysis.</w:t>
      </w:r>
    </w:p>
    <w:p>
      <w:pPr>
        <w:spacing w:after="0" w:line="190" w:lineRule="exact"/>
        <w:rPr>
          <w:sz w:val="20"/>
          <w:szCs w:val="20"/>
          <w:color w:val="auto"/>
        </w:rPr>
      </w:pPr>
    </w:p>
    <w:p>
      <w:pPr>
        <w:ind w:right="60"/>
        <w:spacing w:after="0" w:line="213" w:lineRule="exact"/>
        <w:rPr>
          <w:sz w:val="20"/>
          <w:szCs w:val="20"/>
          <w:color w:val="auto"/>
        </w:rPr>
      </w:pPr>
      <w:r>
        <w:rPr>
          <w:rFonts w:ascii="Arial" w:cs="Arial" w:eastAsia="Arial" w:hAnsi="Arial"/>
          <w:sz w:val="18"/>
          <w:szCs w:val="18"/>
          <w:color w:val="auto"/>
        </w:rPr>
        <w:t xml:space="preserve">In China, roxadustat (tradename: </w:t>
      </w:r>
      <w:r>
        <w:rPr>
          <w:rFonts w:ascii="SimSun" w:cs="SimSun" w:eastAsia="SimSun" w:hAnsi="SimSun"/>
          <w:sz w:val="18"/>
          <w:szCs w:val="18"/>
          <w:color w:val="auto"/>
        </w:rPr>
        <w:t>爱瑞卓</w:t>
      </w:r>
      <w:r>
        <w:rPr>
          <w:rFonts w:ascii="Arial" w:cs="Arial" w:eastAsia="Arial" w:hAnsi="Arial"/>
          <w:sz w:val="18"/>
          <w:szCs w:val="18"/>
          <w:color w:val="auto"/>
        </w:rPr>
        <w:t>®) continues to see significant volume growth in the treatment of anemia caused by CKD in non-dialysis and dialysis patients. In the third quarter of 2022, roxadustat achieved an over 80% increase in sales volume relative to the third quarter of 2021 benefitting from the 2021 National Reimbursement Drug List price reduction. As of August 2022, roxadustat was the top CKD anemia brand in China with approximately 33% value share within the segment of erythropoiesis stimulating agents and HIF-PH inhibitors (roxadustat is the only HIF-PH inhibitor on the market in China).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 the third quarter of 2022, we completed enrollment of MATTERHORN, our Phase 2/3 placebo-controlled, double-blind clinical trial to evaluate the safety and efficacy of roxadustat for the treatment of anemia in myelodysplastic syndromes (“MDS”) in the U.S. and Europe. This trial is studying roxadustat in 140 transfusion-dependent, lower-risk MDS patients, in which subjects are randomized 3:2 to receive roxadustat or placebo three-times-weekly. The primary endpoint is the proportion of patients who achieve transfusion independence for 56 consecutive days within the first 28 weeks of the trial, with secondary endpoints and safety evaluated at 52 weeks. We expect topline 28-Week data from this study in the first half of 2023.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continue to enroll our randomized, active controlled Phase 3 clinical trial in China of roxadustat in chemotherapy-induced anemia for non-myeloid malignancies. The study will enroll approximately 146 subjects and the primary efficacy endpoint is the mean change in hemoglobin level from baseline to the level averaged over Weeks 9-13. We expect topline data from this study in mid-2023.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Monoclonal Antibody Targeting Connective Tissue Growth Factor</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Pamrevlumab is our first-in-class antibody developed to inhibit the activity of connective tissue growth factor, a common factor in fibrotic and fibro-proliferative disorders characterized by persistent and excessive scarring that can lead to organ dysfunction and failure.</w:t>
      </w:r>
    </w:p>
    <w:p>
      <w:pPr>
        <w:spacing w:after="0" w:line="1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U.S. Food and Drug Administration has granted Fast Track and Orphan Drug designations to pamrevlumab for the treatment of idiopathic pulmonary fibrosis (“IPF”), locally advanced unresectable pancreatic cancer (“LAPC”), and Duchenne muscular dystrophy (“DMD”) (with DMD receiving Rare Pediatric Disease designation).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Idiopathic Pulmonary Fibrosis</w:t>
      </w:r>
    </w:p>
    <w:p>
      <w:pPr>
        <w:spacing w:after="0" w:line="11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are conducting two randomized, double-blind, placebo-controlled, Phase 3 studies of pamrevlumab in IPF. Each study has a primary efficacy endpoint for the U.S. of change from baseline in forced vital capacity (“FVC”). For Europe, these same trials utilize a different primary efficacy endpoint of disease progression (defined by a decline in FVC percent predicted of greater than or equal to 10% or death), with change of FVC as the key secondary endpoint. Other secondary endpoints will include clinical outcomes of disease progression, acute IPF exacerbations, patient reported outcomes, and quantitative changes in lung fibrosis volume from baseline.</w:t>
      </w:r>
    </w:p>
    <w:p>
      <w:pPr>
        <w:spacing w:after="0" w:line="1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completed enrollment of ZEPHYRUS-1, our first Phase 3 trial of pamrevlumab in 356 IPF patients, and we expect topline data from ZEPHYRUS-1 in mid-2023.</w:t>
      </w:r>
    </w:p>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continue to enroll patients in ZEPHYRUS-2, our second Phase 3 trial of pamrevlumab in approximately 340 IPF patients, and we expect topline data from ZEPHYRUS-2 in mid-2024.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Locally Advanced Unresectable Pancreatic Cancer</w:t>
      </w:r>
    </w:p>
    <w:p>
      <w:pPr>
        <w:spacing w:after="0" w:line="11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completed enrollment of LAPIS in the first quarter of 2022, our double-blind placebo-controlled Phase 3 clinical program for pamrevlumab as a neoadjuvant therapy for LAPC. We enrolled 284 patients, randomized at a 1:1 ratio to receive either pamrevlumab or placebo, in each case in combination with chemotherapy (either FOLFIRINOX or gemcitabine plus nab-paclitaxel). We expect topline data for the primary endpoint of overall survival in the first half of 2024.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Metastatic Pancreatic Cancer</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June 2021 the Pancreatic Cancer Action Network's (PanCAN) Precision PromiseSM adaptive trial platform included pamrevlumab, with standard of care chemotherapy treatments for pancreatic cancer (gemcitabine and Abraxane®), in its study for patients with metastatic pancreatic cancer. The combination therapy is offered to patients as either a first- or second-line treatment option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for the Treatment of Duchenne Muscular Dystrophy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Non-Ambulatory Patients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the first quarter of 2022, we completed enrollment of LELANTOS-1, our Phase 3 clinical trial evaluating pamrevlumab in combination with systemic corticosteroids as a treatment for DMD. LELANTOS-1 is a double-blind, placebo-controlled trial in 99 non-ambulatory DMD patients. Patients are randomized at a 1:1 ratio to pamrevlumab or placebo for a treatment period of 52 weeks. The primary endpoint will assess change in upper limb function from baseline to Week 52 and additional endpoints will include pulmonary, cardiac, performance, and fibrosis assessments. We expect topline data from this study in the first half of 2023.</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Ambulatory Patients</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In the second quarter of 2022, we completed enrollment of our double-blind, placebo-controlled Phase 3 clinical trial, LELANTOS-2, evaluating pamrevlumab in combination with systemic corticosteroids in 73 ambulatory DMD patients. Patients aged 6-12 are randomized at a 1:1 ratio to pamrevlumab or placebo for a treatment period of 52 weeks. The primary efficacy endpoint will assess ambulatory function, measured by the change in North Star Ambulatory Assessment from baseline to Week 52. We expect topline data from this study in the second half of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Financing Agreement</w:t>
      </w:r>
    </w:p>
    <w:p>
      <w:pPr>
        <w:spacing w:after="0" w:line="108"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On November 4, 2022, we entered into a revenue interest financing agreement (“RIFA”) with an affiliate of NovaQuest Capital Management (“NovaQuest”) with respect to our royalties from Astellas’ sales of roxadustat in Europe, Japan and the other Astellas territories.</w:t>
      </w:r>
    </w:p>
    <w:p>
      <w:pPr>
        <w:spacing w:after="0" w:line="11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Pursuant to the RIFA, NovaQuest agreed to pay us an investment amount equal to $50.0 million in consideration for certain royalty and other revenue payments we will make to NovaQuest.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details about this financing transaction, see Note 9, </w:t>
      </w:r>
      <w:r>
        <w:rPr>
          <w:rFonts w:ascii="Arial" w:cs="Arial" w:eastAsia="Arial" w:hAnsi="Arial"/>
          <w:sz w:val="18"/>
          <w:szCs w:val="18"/>
          <w:i w:val="1"/>
          <w:iCs w:val="1"/>
          <w:color w:val="auto"/>
        </w:rPr>
        <w:t>Subsequent Event</w:t>
      </w:r>
      <w:r>
        <w:rPr>
          <w:rFonts w:ascii="Arial" w:cs="Arial" w:eastAsia="Arial" w:hAnsi="Arial"/>
          <w:sz w:val="18"/>
          <w:szCs w:val="18"/>
          <w:color w:val="auto"/>
        </w:rPr>
        <w:t>, to the condensed consolidated financial statements.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08"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 xml:space="preserve">Our current and future research, development, manufacturing and commercialization efforts with respect to roxadustat depend on funds from our collaboration agreements with Astellas and AstraZeneca.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the condensed consolidated financial statements for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September 30, 2022 totaled $790.1 million.</w:t>
      </w:r>
    </w:p>
    <w:p>
      <w:pPr>
        <w:spacing w:after="0" w:line="174"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color w:val="auto"/>
        </w:rPr>
        <w:t>On March 21, 2022,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was registered with the Russian Ministry of Health. We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2018, we and Astellas entered into an amendment to the Astellas Japan Agreement that allows Astellas to manufacture roxadustat drug product for commercialization in Japan (the “Astellas Japan Amendment”). The related drug product revenue was $(4.3) million for the three months ended September 30, 2022, and $3.3 million and $2.1 million for nine months ended September 30, 2022 and 2021, respectively.</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$0.2 million and $1.3 million for the three and nine months ended September 30, 2022, respectively. There was no related drug product revenue for the three and nine months ended September 30,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July 2013, we entered into a collaboration agreement with AstraZeneca for roxadustat for the treatment of anemia in the U.S. and all territories not previously licensed to Astellas, except China (the “AstraZeneca U.S./RoW Agreement”). 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September 30, 2022 totaled $516.2 million.</w:t>
      </w:r>
    </w:p>
    <w:p>
      <w:pPr>
        <w:spacing w:after="0" w:line="150"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8"/>
          <w:szCs w:val="18"/>
          <w:i w:val="1"/>
          <w:iCs w:val="1"/>
          <w:color w:val="auto"/>
        </w:rPr>
        <w:t>AstraZeneca China Amendment</w:t>
      </w:r>
      <w:r>
        <w:rPr>
          <w:rFonts w:ascii="Arial" w:cs="Arial" w:eastAsia="Arial" w:hAnsi="Arial"/>
          <w:sz w:val="18"/>
          <w:szCs w:val="18"/>
          <w:color w:val="auto"/>
        </w:rPr>
        <w:t>.</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There was no related drug product revenue for the three and nine months ended September 30, 2022 and the three months ended September 30, 2021. The related drug product revenue was $(2.2) million for the nine months ended September 30,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China Amendment</w:t>
      </w:r>
    </w:p>
    <w:p>
      <w:pPr>
        <w:spacing w:after="0" w:line="104"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Beijing Falikang Pharmaceutical Co., Ltd. (“Falikang”), which performs roxadustat distribution, as well as conducts sales and marketing through AstraZeneca.</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related net product revenue of $17.4 million and $13.4 million for the three months ended September 30, 2022 and 2021, and $59.5 million and $42.2 million for the nine months ended September 30, 2022 and 2021, respectively.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Total cash consideration received through September 30, 2022 and potential cash consideration, for upfront payments and milestone payments under our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Cash Received for Upfront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Payments and Milestone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3"/>
              </w:rPr>
              <w:t>Additional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Payments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Potential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Through</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Potential</w:t>
            </w:r>
          </w:p>
        </w:tc>
        <w:tc>
          <w:tcPr>
            <w:tcW w:w="30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Cash Payments for Upfront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September 30, 2022</w:t>
            </w:r>
          </w:p>
        </w:tc>
        <w:tc>
          <w:tcPr>
            <w:tcW w:w="320" w:type="dxa"/>
            <w:vAlign w:val="bottom"/>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Payments and Milestones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ind w:right="435"/>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Astellas Japan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105,093</w:t>
            </w:r>
          </w:p>
        </w:tc>
        <w:tc>
          <w:tcPr>
            <w:tcW w:w="6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172,593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Astellas Europe Agreement</w:t>
            </w:r>
          </w:p>
        </w:tc>
        <w:tc>
          <w:tcPr>
            <w:tcW w:w="1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685,000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360"/>
              <w:spacing w:after="0"/>
              <w:rPr>
                <w:sz w:val="20"/>
                <w:szCs w:val="20"/>
                <w:color w:val="auto"/>
              </w:rPr>
            </w:pPr>
            <w:r>
              <w:rPr>
                <w:rFonts w:ascii="Arial" w:cs="Arial" w:eastAsia="Arial" w:hAnsi="Arial"/>
                <w:sz w:val="18"/>
                <w:szCs w:val="18"/>
                <w:color w:val="auto"/>
              </w:rPr>
              <w:t>Total Astellas</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790,093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AstraZeneca U.S./RoW Agreement</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439,000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AstraZeneca China Agreement</w:t>
            </w:r>
          </w:p>
        </w:tc>
        <w:tc>
          <w:tcPr>
            <w:tcW w:w="1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360"/>
              <w:spacing w:after="0"/>
              <w:rPr>
                <w:sz w:val="20"/>
                <w:szCs w:val="20"/>
                <w:color w:val="auto"/>
              </w:rPr>
            </w:pPr>
            <w:r>
              <w:rPr>
                <w:rFonts w:ascii="Arial" w:cs="Arial" w:eastAsia="Arial" w:hAnsi="Arial"/>
                <w:sz w:val="18"/>
                <w:szCs w:val="18"/>
                <w:color w:val="auto"/>
              </w:rPr>
              <w:t>Total AstraZeneca</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1,306,293</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1,237,000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-873760</wp:posOffset>
            </wp:positionV>
            <wp:extent cx="6858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-873760</wp:posOffset>
            </wp:positionV>
            <wp:extent cx="60325"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-316865</wp:posOffset>
            </wp:positionV>
            <wp:extent cx="6858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-316865</wp:posOffset>
            </wp:positionV>
            <wp:extent cx="6032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The above table does not include development cost reimbursement, transfer price payments, and royalties and profit share under our existing collaboration agreements. While we continue to commercialize roxadustat in China with AstraZeneca, and develop roxadustat in the U.S. for the treatment of anemia in patients with MDS, we have not been able to agree on a path forward for AstraZeneca to fund further roxadustat development for CKD anemia in the U.S. Therefore, we do not expect to receive most or all of these potential AstraZeneca U.S./RoW Agreement milestones from AstraZeneca.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Nine Months Ended</w:t>
            </w: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87"/>
              </w:rPr>
              <w:t>(dollars in 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License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116,434</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 (116,434 )</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(100 )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22,590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116,434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  (93,844 )</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(81 ) %</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Development and other revenue</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13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(23,644 )</w:t>
            </w: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(91 )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19,672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60,325</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(40,653 )</w:t>
            </w: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 %</w:t>
            </w: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Product revenue, net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13,442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3,917</w:t>
            </w:r>
          </w:p>
        </w:tc>
        <w:tc>
          <w:tcPr>
            <w:tcW w:w="2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59,495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42,175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Drug product revenue</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(4,077 )</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(4,077 )</w:t>
            </w:r>
          </w:p>
        </w:tc>
        <w:tc>
          <w:tcPr>
            <w:tcW w:w="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2,844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4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0"/>
              </w:rPr>
              <w:t>106,36</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48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15,735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155,973</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 (140,238 )</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(90 )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218,766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(112,399 )</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(51 )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-290830</wp:posOffset>
            </wp:positionV>
            <wp:extent cx="76835" cy="291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-290830</wp:posOffset>
            </wp:positionV>
            <wp:extent cx="77470" cy="291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-290830</wp:posOffset>
            </wp:positionV>
            <wp:extent cx="76835" cy="291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-290830</wp:posOffset>
            </wp:positionV>
            <wp:extent cx="68580" cy="291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-290830</wp:posOffset>
            </wp:positionV>
            <wp:extent cx="68580" cy="291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-290830</wp:posOffset>
            </wp:positionV>
            <wp:extent cx="68580" cy="291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p>
    <w:p>
      <w:pPr>
        <w:spacing w:after="0" w:line="17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product to AstraZeneca, which commenced in the first quarter of 2021 and is expected to continue through 2028, which reflects our best estimates. Other development related services are recognized as revenue over the non-contingent development period based on a proportional performance method. As of September 30, 2022, the estimated future non-contingent development periods range from 18 to 21 months. Other revenues consist of contract manufacturing revenue and sales of research and development material and have not been material for any of the periods presented.</w:t>
      </w:r>
    </w:p>
    <w:p>
      <w:pPr>
        <w:spacing w:after="0" w:line="15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Drug product revenue is recognized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8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Total revenue decreased $140.2 million, or 90% for the three months ended September 30, 2022 and $112.4 million, or 51% for the nine months ended September 30, 2022 compared to the same periods a year ago, respectively, for the reasons discussed in the sections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60" w:type="dxa"/>
            <w:vAlign w:val="bottom"/>
            <w:gridSpan w:val="5"/>
          </w:tcPr>
          <w:p>
            <w:pPr>
              <w:jc w:val="right"/>
              <w:ind w:right="21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0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(dollars in</w:t>
            </w:r>
          </w:p>
        </w:tc>
        <w:tc>
          <w:tcPr>
            <w:tcW w:w="12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0"/>
              </w:rPr>
              <w:t>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8"/>
                <w:szCs w:val="18"/>
                <w:color w:val="auto"/>
              </w:rPr>
              <w:t>Astellas</w:t>
            </w:r>
          </w:p>
        </w:tc>
        <w:tc>
          <w:tcPr>
            <w:tcW w:w="540" w:type="dxa"/>
            <w:vAlign w:val="bottom"/>
          </w:tcPr>
          <w:p>
            <w:pPr>
              <w:jc w:val="right"/>
              <w:ind w:right="361"/>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108,434</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(108,434 )</w:t>
            </w:r>
          </w:p>
        </w:tc>
        <w:tc>
          <w:tcPr>
            <w:tcW w:w="4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(100 )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22,590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108,434</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(85,844 )</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(79 ) %</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Eluminex</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(8,000 )</w:t>
            </w:r>
          </w:p>
        </w:tc>
        <w:tc>
          <w:tcPr>
            <w:tcW w:w="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(100 )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(8,000 )</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(100 ) %</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tcPr>
          <w:p>
            <w:pPr>
              <w:ind w:left="380"/>
              <w:spacing w:after="0"/>
              <w:rPr>
                <w:sz w:val="20"/>
                <w:szCs w:val="20"/>
                <w:color w:val="auto"/>
              </w:rPr>
            </w:pPr>
            <w:r>
              <w:rPr>
                <w:rFonts w:ascii="Arial" w:cs="Arial" w:eastAsia="Arial" w:hAnsi="Arial"/>
                <w:sz w:val="18"/>
                <w:szCs w:val="18"/>
                <w:color w:val="auto"/>
              </w:rPr>
              <w:t>Total license revenue</w:t>
            </w:r>
          </w:p>
        </w:tc>
        <w:tc>
          <w:tcPr>
            <w:tcW w:w="540" w:type="dxa"/>
            <w:vAlign w:val="bottom"/>
          </w:tcPr>
          <w:p>
            <w:pPr>
              <w:jc w:val="right"/>
              <w:ind w:right="361"/>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116,434</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(116,434 )</w:t>
            </w:r>
          </w:p>
        </w:tc>
        <w:tc>
          <w:tcPr>
            <w:tcW w:w="4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(100 )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22,590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116,434</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(93,844 )</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(81 )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-170815</wp:posOffset>
            </wp:positionV>
            <wp:extent cx="7683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-170815</wp:posOffset>
            </wp:positionV>
            <wp:extent cx="7747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-170815</wp:posOffset>
            </wp:positionV>
            <wp:extent cx="7747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License revenue recognized under our collaboration agreements with Astellas for the nine months ended September 30, 2022 represented the allocated</w:t>
      </w:r>
    </w:p>
    <w:p>
      <w:pPr>
        <w:spacing w:after="0" w:line="46" w:lineRule="exact"/>
        <w:rPr>
          <w:sz w:val="20"/>
          <w:szCs w:val="20"/>
          <w:color w:val="auto"/>
        </w:rPr>
      </w:pPr>
    </w:p>
    <w:p>
      <w:pPr>
        <w:ind w:right="560"/>
        <w:spacing w:after="0" w:line="214" w:lineRule="auto"/>
        <w:rPr>
          <w:sz w:val="20"/>
          <w:szCs w:val="20"/>
          <w:color w:val="auto"/>
        </w:rPr>
      </w:pPr>
      <w:r>
        <w:rPr>
          <w:rFonts w:ascii="Arial" w:cs="Arial" w:eastAsia="Arial" w:hAnsi="Arial"/>
          <w:sz w:val="18"/>
          <w:szCs w:val="18"/>
          <w:color w:val="auto"/>
        </w:rPr>
        <w:t>revenue of related to $25.0 million regulatory milestone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that was included in the transaction price during the first quarter of 2022 when such milestone was achieved.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License revenue recognized under our collaboration agreements with Astellas for the three and nine months ended September 30, 2021 represented the</w:t>
      </w:r>
    </w:p>
    <w:p>
      <w:pPr>
        <w:spacing w:after="0" w:line="46" w:lineRule="exact"/>
        <w:rPr>
          <w:sz w:val="20"/>
          <w:szCs w:val="20"/>
          <w:color w:val="auto"/>
        </w:rPr>
      </w:pPr>
    </w:p>
    <w:p>
      <w:pPr>
        <w:ind w:right="500"/>
        <w:spacing w:after="0" w:line="225" w:lineRule="auto"/>
        <w:rPr>
          <w:sz w:val="20"/>
          <w:szCs w:val="20"/>
          <w:color w:val="auto"/>
        </w:rPr>
      </w:pPr>
      <w:r>
        <w:rPr>
          <w:rFonts w:ascii="Arial" w:cs="Arial" w:eastAsia="Arial" w:hAnsi="Arial"/>
          <w:sz w:val="17"/>
          <w:szCs w:val="17"/>
          <w:color w:val="auto"/>
        </w:rPr>
        <w:t>allocated revenue of related to a total of $120.0 million regulatory milestones associated with the approval by European Commission of EVRENZO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(roxadustat) for the treatment of adult patients with symptomatic anemia associated with CKD during the third quarter of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1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3"/>
              </w:rPr>
              <w:t>Change</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Development revenue:</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Astellas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14,127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(12,713 )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(90 )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20,383</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 (11,964 )</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(59 ) %</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AstraZeneca</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7"/>
              </w:rPr>
              <w:t>(11,391 )</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(95 )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39,939</w:t>
            </w: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(30,189 )</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(76 )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Pr>
          <w:p>
            <w:pPr>
              <w:ind w:left="380"/>
              <w:spacing w:after="0"/>
              <w:rPr>
                <w:sz w:val="20"/>
                <w:szCs w:val="20"/>
                <w:color w:val="auto"/>
              </w:rPr>
            </w:pPr>
            <w:r>
              <w:rPr>
                <w:rFonts w:ascii="Arial" w:cs="Arial" w:eastAsia="Arial" w:hAnsi="Arial"/>
                <w:sz w:val="18"/>
                <w:szCs w:val="18"/>
                <w:color w:val="auto"/>
              </w:rPr>
              <w:t>Total development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(24,104 )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(92 ) %</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18,169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60,322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(42,153 )</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(70 ) %</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50,000  %</w:t>
            </w:r>
          </w:p>
        </w:tc>
        <w:tc>
          <w:tcPr>
            <w:tcW w:w="0" w:type="dxa"/>
            <w:vAlign w:val="bottom"/>
          </w:tcPr>
          <w:p>
            <w:pPr>
              <w:spacing w:after="0"/>
              <w:rPr>
                <w:sz w:val="1"/>
                <w:szCs w:val="1"/>
                <w:color w:val="auto"/>
              </w:rPr>
            </w:pPr>
          </w:p>
        </w:tc>
      </w:tr>
      <w:tr>
        <w:trPr>
          <w:trHeight w:val="168"/>
        </w:trPr>
        <w:tc>
          <w:tcPr>
            <w:tcW w:w="2960" w:type="dxa"/>
            <w:vAlign w:val="bottom"/>
          </w:tcPr>
          <w:p>
            <w:pPr>
              <w:ind w:left="380"/>
              <w:spacing w:after="0" w:line="168" w:lineRule="exact"/>
              <w:rPr>
                <w:sz w:val="20"/>
                <w:szCs w:val="20"/>
                <w:color w:val="auto"/>
              </w:rPr>
            </w:pPr>
            <w:r>
              <w:rPr>
                <w:rFonts w:ascii="Arial" w:cs="Arial" w:eastAsia="Arial" w:hAnsi="Arial"/>
                <w:sz w:val="18"/>
                <w:szCs w:val="18"/>
                <w:color w:val="auto"/>
              </w:rPr>
              <w:t>Total development and other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2,453</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26,097</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(23,644 )</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8"/>
              </w:rPr>
              <w:t>19,672</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60,325</w:t>
            </w: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 (40,653 )</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380"/>
              <w:spacing w:after="0" w:line="190" w:lineRule="exact"/>
              <w:rPr>
                <w:sz w:val="20"/>
                <w:szCs w:val="20"/>
                <w:color w:val="auto"/>
              </w:rPr>
            </w:pPr>
            <w:r>
              <w:rPr>
                <w:rFonts w:ascii="Arial" w:cs="Arial" w:eastAsia="Arial" w:hAnsi="Arial"/>
                <w:sz w:val="18"/>
                <w:szCs w:val="18"/>
                <w:color w:val="auto"/>
              </w:rPr>
              <w:t>revenue</w:t>
            </w: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gridSpan w:val="2"/>
          </w:tcPr>
          <w:p>
            <w:pPr>
              <w:jc w:val="right"/>
              <w:ind w:right="180"/>
              <w:spacing w:after="0" w:line="190" w:lineRule="exact"/>
              <w:rPr>
                <w:sz w:val="20"/>
                <w:szCs w:val="20"/>
                <w:color w:val="auto"/>
              </w:rPr>
            </w:pPr>
            <w:r>
              <w:rPr>
                <w:rFonts w:ascii="Arial" w:cs="Arial" w:eastAsia="Arial" w:hAnsi="Arial"/>
                <w:sz w:val="18"/>
                <w:szCs w:val="18"/>
                <w:color w:val="auto"/>
              </w:rPr>
              <w:t>(91 ) %</w:t>
            </w:r>
          </w:p>
        </w:tc>
        <w:tc>
          <w:tcPr>
            <w:tcW w:w="1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(67 )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-548005</wp:posOffset>
            </wp:positionV>
            <wp:extent cx="76835"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-548005</wp:posOffset>
            </wp:positionV>
            <wp:extent cx="77470"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-548005</wp:posOffset>
            </wp:positionV>
            <wp:extent cx="76835"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-548005</wp:posOffset>
            </wp:positionV>
            <wp:extent cx="68580" cy="146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-548005</wp:posOffset>
            </wp:positionV>
            <wp:extent cx="6858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-548005</wp:posOffset>
            </wp:positionV>
            <wp:extent cx="68580" cy="146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-265430</wp:posOffset>
            </wp:positionV>
            <wp:extent cx="76835" cy="2660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-265430</wp:posOffset>
            </wp:positionV>
            <wp:extent cx="77470" cy="2660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2660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-265430</wp:posOffset>
            </wp:positionV>
            <wp:extent cx="76835" cy="2660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-265430</wp:posOffset>
            </wp:positionV>
            <wp:extent cx="68580" cy="2660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-265430</wp:posOffset>
            </wp:positionV>
            <wp:extent cx="68580" cy="2660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-265430</wp:posOffset>
            </wp:positionV>
            <wp:extent cx="68580" cy="2660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266065"/>
                    </a:xfrm>
                    <a:prstGeom prst="rect">
                      <a:avLst/>
                    </a:prstGeom>
                    <a:noFill/>
                  </pic:spPr>
                </pic:pic>
              </a:graphicData>
            </a:graphic>
          </wp:anchor>
        </w:drawing>
      </w:r>
    </w:p>
    <w:p>
      <w:pPr>
        <w:spacing w:after="0" w:line="18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Development and other revenue decreased $23.6 million, or 91% for the three months ended September 30, 2022 and $40.7 million, or 67% for the nine months ended September 30, 2022, compared to the same periods a year ago, respectively.</w:t>
      </w:r>
    </w:p>
    <w:p>
      <w:pPr>
        <w:spacing w:after="0" w:line="184"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Development revenue recognized under our collaboration agreements with Astellas decreased in co-development billings related to the development of roxadustat under our collaboration agreements with Astellas for the three and nine months ended September 30, 2022 as a result of the substantial completion of Phase 3 trials for roxadustat.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Development revenue recognized under our collaboration agreements with Astellas for the nine months ended September 30, 2022 included the allocated revenue of $2.4 million related to the above-mentioned $25.0 million regulatory milestone associated with the approval in Russia during the first quarter of 2022. Comparatively, development revenue recognized under our collaboration agreements with Astellas for the three and nine months ended September 30, 2021 included the allocated revenue of $11.6 million related to the above-mentioned $120.0 million associated with the approvals in EU achieved during the third quarter of 2021.</w:t>
      </w:r>
    </w:p>
    <w:p>
      <w:pPr>
        <w:spacing w:after="0" w:line="18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Development revenue recognized under our collaboration agreements with AstraZeneca for the three and nine months ended September 30, 2022 was impacted by the decrease in CKD-related co-development billings in the U.S.</w:t>
      </w:r>
    </w:p>
    <w:p>
      <w:pPr>
        <w:spacing w:after="0" w:line="184"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Other revenue recognized for the three and nine months ended September 30, 2022 was primarily related to our contract manufacturing agreement with Eluminex, under which we are responsible for supplying the cornea product at 110% of our product manufacturing costs until our manufacturing technology is fully transferred to Eluminex.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(dollars</w:t>
            </w:r>
          </w:p>
        </w:tc>
        <w:tc>
          <w:tcPr>
            <w:tcW w:w="120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Direct Sales: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2,610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3,249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(639 )</w:t>
            </w:r>
          </w:p>
        </w:tc>
        <w:tc>
          <w:tcPr>
            <w:tcW w:w="40" w:type="dxa"/>
            <w:vAlign w:val="bottom"/>
          </w:tcPr>
          <w:p>
            <w:pPr>
              <w:spacing w:after="0"/>
              <w:rPr>
                <w:sz w:val="18"/>
                <w:szCs w:val="18"/>
                <w:color w:val="auto"/>
              </w:rPr>
            </w:pP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(20 )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10,908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(1,936 )</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(18 ) %</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Discounts and rebates</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(133 )</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(33 )</w:t>
            </w: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(353 )</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(1,314 )</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(73 ) %</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Sales returns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73"/>
              <w:spacing w:after="0"/>
              <w:rPr>
                <w:sz w:val="20"/>
                <w:szCs w:val="20"/>
                <w:color w:val="auto"/>
              </w:rPr>
            </w:pPr>
            <w:r>
              <w:rPr>
                <w:rFonts w:ascii="Arial" w:cs="Arial" w:eastAsia="Arial" w:hAnsi="Arial"/>
                <w:sz w:val="18"/>
                <w:szCs w:val="18"/>
                <w:color w:val="auto"/>
              </w:rPr>
              <w:t>(150 )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(83 )</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(97 ) %</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Direct sales revenue, net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73"/>
              <w:spacing w:after="0"/>
              <w:rPr>
                <w:sz w:val="20"/>
                <w:szCs w:val="20"/>
                <w:color w:val="auto"/>
              </w:rPr>
            </w:pPr>
            <w:r>
              <w:rPr>
                <w:rFonts w:ascii="Arial" w:cs="Arial" w:eastAsia="Arial" w:hAnsi="Arial"/>
                <w:sz w:val="18"/>
                <w:szCs w:val="18"/>
                <w:color w:val="auto"/>
              </w:rPr>
              <w:t>(21 ) %</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8,622</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(11 ) %</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 to Falikang:</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Gross transaction price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82,294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Profit share</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4"/>
              </w:rPr>
              <w:t>(12,980 )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(12,090 )</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(890 )</w:t>
            </w: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(31,894 )</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(31,726 )</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(168 )</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transaction price</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CFF0FC"/>
            </w:tcBorders>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51,623</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50,568</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top w:val="single" w:sz="8" w:color="CFF0FC"/>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 in deferred revenue</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(4,616 )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(8,761 )</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3"/>
              <w:spacing w:after="0"/>
              <w:rPr>
                <w:sz w:val="20"/>
                <w:szCs w:val="20"/>
                <w:color w:val="auto"/>
              </w:rPr>
            </w:pPr>
            <w:r>
              <w:rPr>
                <w:rFonts w:ascii="Arial" w:cs="Arial" w:eastAsia="Arial" w:hAnsi="Arial"/>
                <w:sz w:val="18"/>
                <w:szCs w:val="18"/>
                <w:color w:val="auto"/>
              </w:rPr>
              <w:t>(47 ) %</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(750 )</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(18,073 )</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17,323</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(96 ) %</w:t>
            </w:r>
          </w:p>
        </w:tc>
        <w:tc>
          <w:tcPr>
            <w:tcW w:w="0" w:type="dxa"/>
            <w:vAlign w:val="bottom"/>
          </w:tcPr>
          <w:p>
            <w:pPr>
              <w:spacing w:after="0"/>
              <w:rPr>
                <w:sz w:val="1"/>
                <w:szCs w:val="1"/>
                <w:color w:val="auto"/>
              </w:rPr>
            </w:pPr>
          </w:p>
        </w:tc>
      </w:tr>
      <w:tr>
        <w:trPr>
          <w:trHeight w:val="210"/>
        </w:trPr>
        <w:tc>
          <w:tcPr>
            <w:tcW w:w="3000" w:type="dxa"/>
            <w:vAlign w:val="bottom"/>
            <w:tcBorders>
              <w:top w:val="single" w:sz="8" w:color="CFF0FC"/>
            </w:tcBorders>
          </w:tcPr>
          <w:p>
            <w:pPr>
              <w:ind w:left="300"/>
              <w:spacing w:after="0"/>
              <w:rPr>
                <w:sz w:val="20"/>
                <w:szCs w:val="20"/>
                <w:color w:val="auto"/>
              </w:rPr>
            </w:pPr>
            <w:r>
              <w:rPr>
                <w:rFonts w:ascii="Arial" w:cs="Arial" w:eastAsia="Arial" w:hAnsi="Arial"/>
                <w:sz w:val="18"/>
                <w:szCs w:val="18"/>
                <w:color w:val="auto"/>
              </w:rPr>
              <w:t>Sales to Falikang revenue, net</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2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44</w:t>
            </w:r>
          </w:p>
        </w:tc>
        <w:tc>
          <w:tcPr>
            <w:tcW w:w="420" w:type="dxa"/>
            <w:vAlign w:val="bottom"/>
            <w:tcBorders>
              <w:top w:val="single" w:sz="8" w:color="CFF0FC"/>
            </w:tcBorders>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50,873</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18,378</w:t>
            </w:r>
          </w:p>
        </w:tc>
        <w:tc>
          <w:tcPr>
            <w:tcW w:w="20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57</w:t>
            </w:r>
          </w:p>
        </w:tc>
        <w:tc>
          <w:tcPr>
            <w:tcW w:w="440" w:type="dxa"/>
            <w:vAlign w:val="bottom"/>
            <w:tcBorders>
              <w:top w:val="single" w:sz="8" w:color="CFF0FC"/>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product revenue,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2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2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-1156970</wp:posOffset>
            </wp:positionV>
            <wp:extent cx="76835"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-1156970</wp:posOffset>
            </wp:positionV>
            <wp:extent cx="7747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-1156970</wp:posOffset>
            </wp:positionV>
            <wp:extent cx="76835"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-1156970</wp:posOffset>
            </wp:positionV>
            <wp:extent cx="6858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-1156970</wp:posOffset>
            </wp:positionV>
            <wp:extent cx="6858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-1156970</wp:posOffset>
            </wp:positionV>
            <wp:extent cx="6858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-599440</wp:posOffset>
            </wp:positionV>
            <wp:extent cx="76835"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-599440</wp:posOffset>
            </wp:positionV>
            <wp:extent cx="77470" cy="146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-599440</wp:posOffset>
            </wp:positionV>
            <wp:extent cx="76835" cy="146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-599440</wp:posOffset>
            </wp:positionV>
            <wp:extent cx="6858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-599440</wp:posOffset>
            </wp:positionV>
            <wp:extent cx="68580"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-599440</wp:posOffset>
            </wp:positionV>
            <wp:extent cx="6858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-316230</wp:posOffset>
            </wp:positionV>
            <wp:extent cx="76835"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-316230</wp:posOffset>
            </wp:positionV>
            <wp:extent cx="7747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-316230</wp:posOffset>
            </wp:positionV>
            <wp:extent cx="76835"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-316230</wp:posOffset>
            </wp:positionV>
            <wp:extent cx="6858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-316230</wp:posOffset>
            </wp:positionV>
            <wp:extent cx="6858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-316230</wp:posOffset>
            </wp:positionV>
            <wp:extent cx="6858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76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January 2021, Falikang became fully operational and substantially all direct product sales to distributors in China have been made by Falikang, while FibroGen Beijing continues to sell product directly in one province in China. Total product revenue, net increased $3.9 million, or 29% for the three months ended September 30, 2022, and $17.3 million, or 41% for the nine months ended September 30, 2022, compared to the same periods a year ago, respectively.</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Product revenue from direct sales to distributors is recognized in an amount that reflects the consideration that we expect to be entitled to in exchange for those products, net of various sales rebates and discounts.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w:t>
      </w:r>
    </w:p>
    <w:p>
      <w:pPr>
        <w:spacing w:after="0" w:line="164"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Product revenue from direct sales, net decreased $0.7 million, or 21% for the three months ended September 30, 2022, and $1.1 million, or 11% for the nine months ended September 30, 2022, compared to the same periods a year ago, respectively. The gross product revenue from direct sales to distributors decreased $0.6 million and $1.9 million for the three and nine months ended September 30, 2022, compared to the same periods a year ago, respectively, primarily due to the lower National Reimbursement Drug List price effective in the first quarter of 2022 and unfavorable foreign currency translation rate of Renminbi against the U.S. dollar during the current year period, partially offset by an increase in sales volume.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total discounts and rebates were immaterial for the three and nine months ended September 30, 2022 as compared to the same periods a year ago due to the continuous settlement as well as transition from direct sales to sales to Falikang.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Sales to Falikang revenue, net increased $4.6 million, or 44% for the three months ended September 30, 2022, and $18.4 million, or 57% for the nine months ended September 30, 2022, compared to the same periods a year ago, respectively. The gross transfer price increased $1.3 million and $1.2 million, and the calculated profit share increased $0.9 million and $0.2 million for the three and nine months ended September 30, 2022, compared to the same periods a year ago, respectively, primarily due to the increase in sales volume, offset by the lower National Reimbursement Drug List price effective in the first quarter of 2022, and unfavorable foreign currency translation rate of Renminbi against the U.S. dollar during the current year period.</w:t>
      </w:r>
    </w:p>
    <w:p>
      <w:pPr>
        <w:spacing w:after="0" w:line="17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Periodically, we update our assumptions such as total sales quantity, performance period and other inputs including foreign currency translation impact, among others. Following updates to our estimates, we deferred $4.6 million and $0.8 million for the three and nine months ended September 30, 2022, and $8.8 million and $18.1 million for the three and nine months ended September 30, 2021, respectively, from the net transfer price to Falikang, which was included in the related deferred revenue of the China performance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Drug Product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83"/>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(dollars 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thousands)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Drug product revenue:</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Astellas Japan Agreement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(4,313 )</w:t>
            </w: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(4,313 )</w:t>
            </w:r>
          </w:p>
        </w:tc>
        <w:tc>
          <w:tcPr>
            <w:tcW w:w="10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w w:val="99"/>
              </w:rPr>
              <w:t>NM</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 Europe Agreement</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NM</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0"/>
              <w:spacing w:after="0"/>
              <w:rPr>
                <w:sz w:val="20"/>
                <w:szCs w:val="20"/>
                <w:color w:val="auto"/>
              </w:rPr>
            </w:pPr>
            <w:r>
              <w:rPr>
                <w:rFonts w:ascii="Arial" w:cs="Arial" w:eastAsia="Arial" w:hAnsi="Arial"/>
                <w:sz w:val="18"/>
                <w:szCs w:val="18"/>
                <w:color w:val="auto"/>
              </w:rPr>
              <w:t>AstraZeneca U.S./RoW Agreement</w:t>
            </w:r>
          </w:p>
        </w:tc>
        <w:tc>
          <w:tcPr>
            <w:tcW w:w="20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w w:val="99"/>
              </w:rPr>
              <w:t>NM</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(2,224 )</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(100 ) %</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drug product revenue: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(4,077</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w w:val="99"/>
              </w:rPr>
              <w:t>NM</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2,844</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-24765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Japan Agreement</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During the first quarter of 2022, we fulfilled a shipment obligation under the terms of Astellas Japan Amendment and recognized related drug product revenue of $9.8 million in the same period. In addition, during the first quarter of 2022, we updated our estimate of variable consideration related to the API shipments fulfilled under the terms of Japan Amendment with Astellas, and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During the three months ended September 30, 2022, we updated our estimate of variable consideration related to the API shipments fulfilled under the terms of Astellas Japan Amendment, and accordingly recorded adjustments to the drug product revenue of $(4.3) million. Specifically, the change in estimated variable consideration was based on the API held by Astellas at period end, adjusted to reflect the changes in the estimated bulk product strength mix intended to be manufactured by Astellas and foreign currency translation impact, among others.</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During the nine months ended September 30, 2021, we updated our estimate of variable consideration related to the API shipments fulfilled under the terms of Astellas Japan Amendment, and accordingly recorded adjustments to the drug product revenue of $2.1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Europe Agreement</w:t>
      </w:r>
    </w:p>
    <w:p>
      <w:pPr>
        <w:spacing w:after="0" w:line="11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second quarter of 2022, we transferred bulk drug product for commercial purposes under the terms of the Astellas Europe Agreement and the Astellas EU Supply Agreement, and recognized the related fully burdened manufacturing costs of $1.0 million as drug product revenue, and recorded $23.2 million as deferred revenue due to a high degree of uncertainty associated with the variable consideration for revenue recognition purposes.</w:t>
      </w:r>
    </w:p>
    <w:p>
      <w:pPr>
        <w:spacing w:after="0" w:line="161"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In addition, we recognized royalty revenue of $0.2 million and $0.3 million as drug product revenue from the deferred revenue under the Astellas Europe Agreement for the three and nine months ended September 30, 2022, respectively. The remainder of the deferred revenue will be recognized as and when uncertainty is resolved, based on the performance of roxadustat product sales in the Astellas territory.</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During the first quarter of 2022, we billed and received $49.2 million from Astellas related to the annual transfer price true up for bulk drug product transferred for commercial purposes under the terms of the Astellas Europe Agreement and the Astellas EU Supply Agreement. This amount was recorded in deferred revenue and netted against an unbilled contract asset as of December 31, 2021.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during the nine months ended September 30, 2022, we reclassified a total of $51.0 million from the related deferred revenue to accrued liabilities. As of September 30, 2022, the related balance in accrued liabilities was $51.0 million, representing our best estimate that this amount will be paid within the next 12 months.</w:t>
      </w:r>
    </w:p>
    <w:p>
      <w:pPr>
        <w:spacing w:after="0" w:line="186" w:lineRule="exact"/>
        <w:rPr>
          <w:sz w:val="20"/>
          <w:szCs w:val="20"/>
          <w:color w:val="auto"/>
        </w:rPr>
      </w:pPr>
    </w:p>
    <w:p>
      <w:pPr>
        <w:jc w:val="both"/>
        <w:ind w:right="200"/>
        <w:spacing w:after="0" w:line="303" w:lineRule="auto"/>
        <w:rPr>
          <w:sz w:val="20"/>
          <w:szCs w:val="20"/>
          <w:color w:val="auto"/>
        </w:rPr>
      </w:pPr>
      <w:r>
        <w:rPr>
          <w:rFonts w:ascii="Arial" w:cs="Arial" w:eastAsia="Arial" w:hAnsi="Arial"/>
          <w:sz w:val="16"/>
          <w:szCs w:val="16"/>
          <w:color w:val="auto"/>
        </w:rPr>
        <w:t>During the first quarter of 2021, we shipped bulk drug product from process validation supplies for commercial purposes under the terms of the Astellas Europe Agreement. We constrained the consideration of $11.8 million from this shipment due to a high degree of uncertainty associated with the variable consideration for revenue recognition purposes, which was recorded as deferred revenue and will be recognized as and when uncertainty is resolved.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U.S./RoW Agreement</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shipped bulk drug product to AstraZeneca as commercial supply under the terms of the AstraZeneca Master Supply Agreement in 2020 and during the first half of 2021. Following the CRL for roxadustat in CKD anemia in the U.S. received in August 2021, we evaluated the impact of these developments in revising our estimates of variable consideration associated with drug product revenue. As a result, we updated the estimated transaction price during the nine months ended September 30, 2021, and recorded a reduction to the drug product revenue of $2.2 million and $11.2 million as deferred revenue. During the first quarter of 2022, we evaluated the current developments in the U.S. market, and updated our estimates of variable consideration associated with bulk drug product shipments to AstraZeneca in prior years as commercial supply under the terms of the AstraZeneca Master Supply Agreement. As a result, during the nine months ended September 30, 2022, we reclassified $11.2 million from the related deferred revenue to accrued liabilities. As of September 30, 2022, the related balance in accrued liabilities was $11.2 million, representing its best estimate that this amount will be paid within the next 12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4"/>
          </w:tcPr>
          <w:p>
            <w:pPr>
              <w:jc w:val="right"/>
              <w:ind w:right="198"/>
              <w:spacing w:after="0"/>
              <w:rPr>
                <w:sz w:val="20"/>
                <w:szCs w:val="20"/>
                <w:color w:val="auto"/>
              </w:rPr>
            </w:pPr>
            <w:r>
              <w:rPr>
                <w:rFonts w:ascii="Arial" w:cs="Arial" w:eastAsia="Arial" w:hAnsi="Arial"/>
                <w:sz w:val="14"/>
                <w:szCs w:val="14"/>
                <w:b w:val="1"/>
                <w:bCs w:val="1"/>
                <w:color w:val="auto"/>
                <w:w w:val="97"/>
              </w:rPr>
              <w:t>(dollars in 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costs and expenses</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4,308</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3,266</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15,355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(698 )</w:t>
            </w:r>
          </w:p>
        </w:tc>
        <w:tc>
          <w:tcPr>
            <w:tcW w:w="8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(1 ) %</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235,163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273,123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(37,960 )</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 %</w:t>
            </w:r>
          </w:p>
        </w:tc>
        <w:tc>
          <w:tcPr>
            <w:tcW w:w="0" w:type="dxa"/>
            <w:vAlign w:val="bottom"/>
          </w:tcPr>
          <w:p>
            <w:pPr>
              <w:spacing w:after="0"/>
              <w:rPr>
                <w:sz w:val="1"/>
                <w:szCs w:val="1"/>
                <w:color w:val="auto"/>
              </w:rPr>
            </w:pPr>
          </w:p>
        </w:tc>
      </w:tr>
      <w:tr>
        <w:trPr>
          <w:trHeight w:val="175"/>
        </w:trPr>
        <w:tc>
          <w:tcPr>
            <w:tcW w:w="2820" w:type="dxa"/>
            <w:vAlign w:val="bottom"/>
          </w:tcPr>
          <w:p>
            <w:pPr>
              <w:ind w:left="200"/>
              <w:spacing w:after="0" w:line="175"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29,902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25,853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4,049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90,722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89,186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2820" w:type="dxa"/>
            <w:vAlign w:val="bottom"/>
            <w:shd w:val="clear" w:color="auto" w:fill="CFF0FC"/>
          </w:tcPr>
          <w:p>
            <w:pPr>
              <w:ind w:left="380"/>
              <w:spacing w:after="0" w:line="168" w:lineRule="exact"/>
              <w:rPr>
                <w:sz w:val="20"/>
                <w:szCs w:val="20"/>
                <w:color w:val="auto"/>
              </w:rPr>
            </w:pPr>
            <w:r>
              <w:rPr>
                <w:rFonts w:ascii="Arial" w:cs="Arial" w:eastAsia="Arial" w:hAnsi="Arial"/>
                <w:sz w:val="18"/>
                <w:szCs w:val="18"/>
                <w:color w:val="auto"/>
              </w:rPr>
              <w:t>Total operating costs and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109,392</w:t>
            </w:r>
          </w:p>
        </w:tc>
        <w:tc>
          <w:tcPr>
            <w:tcW w:w="24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104,999</w:t>
            </w:r>
          </w:p>
        </w:tc>
        <w:tc>
          <w:tcPr>
            <w:tcW w:w="240" w:type="dxa"/>
            <w:vAlign w:val="bottom"/>
            <w:vMerge w:val="restart"/>
            <w:shd w:val="clear" w:color="auto" w:fill="CFF0FC"/>
          </w:tcPr>
          <w:p>
            <w:pPr>
              <w:spacing w:after="0"/>
              <w:rPr>
                <w:sz w:val="14"/>
                <w:szCs w:val="14"/>
                <w:color w:val="auto"/>
              </w:rPr>
            </w:pP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4,393</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5"/>
              </w:rPr>
              <w:t>341,240</w:t>
            </w:r>
          </w:p>
        </w:tc>
        <w:tc>
          <w:tcPr>
            <w:tcW w:w="220" w:type="dxa"/>
            <w:vAlign w:val="bottom"/>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372,055</w:t>
            </w:r>
          </w:p>
        </w:tc>
        <w:tc>
          <w:tcPr>
            <w:tcW w:w="22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w w:val="99"/>
              </w:rPr>
              <w:t>(30,815 )</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ind w:left="380"/>
              <w:spacing w:after="0" w:line="190" w:lineRule="exact"/>
              <w:rPr>
                <w:sz w:val="20"/>
                <w:szCs w:val="20"/>
                <w:color w:val="auto"/>
              </w:rPr>
            </w:pPr>
            <w:r>
              <w:rPr>
                <w:rFonts w:ascii="Arial" w:cs="Arial" w:eastAsia="Arial" w:hAnsi="Arial"/>
                <w:sz w:val="18"/>
                <w:szCs w:val="18"/>
                <w:color w:val="auto"/>
              </w:rPr>
              <w:t>expenses</w:t>
            </w:r>
          </w:p>
        </w:tc>
        <w:tc>
          <w:tcPr>
            <w:tcW w:w="14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jc w:val="right"/>
              <w:ind w:right="70"/>
              <w:spacing w:after="0" w:line="190" w:lineRule="exact"/>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line="190" w:lineRule="exact"/>
              <w:rPr>
                <w:sz w:val="20"/>
                <w:szCs w:val="20"/>
                <w:color w:val="auto"/>
              </w:rPr>
            </w:pPr>
            <w:r>
              <w:rPr>
                <w:rFonts w:ascii="Arial" w:cs="Arial" w:eastAsia="Arial" w:hAnsi="Arial"/>
                <w:sz w:val="18"/>
                <w:szCs w:val="18"/>
                <w:color w:val="auto"/>
              </w:rPr>
              <w:t>(8 ) %</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-24765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-8255</wp:posOffset>
            </wp:positionV>
            <wp:extent cx="768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768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Total operating costs and expenses increased $4.4 million, or 4% for the three months ended September 30, 2022, and decreased $30.8 million, or 8% for the nine months ended September 30, 2022, compared to the same periods a year ago, respectively, for the reasons discussed in the sections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Cost of goods sold increased $1.0 million, or 32% for the three months ended September 30, 2022 and $5.6 million, or 58% for the nine months ended September 30, 2022, compared to the same periods a year ago, respectively.</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$4.0 million for the three months ended September 30, 2022, as compared to $2.8 million to the same period a year ago, an increase of $1.2 million, or 44%, and was $11.5 million for the nine months ended September 30, 2022, as compared to $7.4 million to the same period a year ago, an increase of $4.1 million, or 55%, respectively, resulting from the increase in the sales volume, partially offset by improved unit cost efficiency due to higher production volume.</w:t>
      </w:r>
    </w:p>
    <w:p>
      <w:pPr>
        <w:spacing w:after="0" w:line="17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Cost of goods sold associated with the roxadustat drug product revenue in the U.S. was immaterial for the three months ended September 30, 2022 and 2021, and was $2.7 million and $2.3 million for the nine months ended September 30, 2022 and 2021, respectively, associated with the costs of API or bulk drug product delivered to Astellas and AstraZeneca in the respective periods. We expect costs of goods sold to increase in relation to drug product revenue as we deplete inventories that we had expensed prior to receiving regulatory approvals.</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Cost of goods sold for the three and nine months ended September 30, 2022 also included manufacturing costs of $0.2 million and $1.2 million, respectively, related to our contract manufacturing revenue from Eluminex.</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 Research and development expenses also include in-process research and development assets that have no alternative future use other than in a particular research and development project. Following the CRL for roxadustat in CKD anemia in the U.S., we have implemented a cost reduction effort and, as a result, research and development expenses have decreased and may continue to decrease in certain areas over time.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nine months ended September 30,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Phase of</w:t>
            </w: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Candidate</w:t>
            </w:r>
          </w:p>
        </w:tc>
        <w:tc>
          <w:tcPr>
            <w:tcW w:w="180" w:type="dxa"/>
            <w:vAlign w:val="bottom"/>
          </w:tcPr>
          <w:p>
            <w:pPr>
              <w:spacing w:after="0"/>
              <w:rPr>
                <w:sz w:val="14"/>
                <w:szCs w:val="1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Development</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ind w:left="416"/>
              <w:spacing w:after="0"/>
              <w:rPr>
                <w:sz w:val="20"/>
                <w:szCs w:val="20"/>
                <w:color w:val="auto"/>
              </w:rPr>
            </w:pPr>
            <w:r>
              <w:rPr>
                <w:rFonts w:ascii="Arial" w:cs="Arial" w:eastAsia="Arial" w:hAnsi="Arial"/>
                <w:sz w:val="14"/>
                <w:szCs w:val="14"/>
                <w:b w:val="1"/>
                <w:bCs w:val="1"/>
                <w:color w:val="auto"/>
                <w:w w:val="93"/>
              </w:rPr>
              <w:t>(in</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71"/>
              </w:rPr>
              <w:t>thousands)</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Pamrevlumab</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Phase 2/3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53,582</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center"/>
              <w:ind w:left="396"/>
              <w:spacing w:after="0"/>
              <w:rPr>
                <w:sz w:val="20"/>
                <w:szCs w:val="20"/>
                <w:color w:val="auto"/>
              </w:rPr>
            </w:pPr>
            <w:r>
              <w:rPr>
                <w:rFonts w:ascii="Arial" w:cs="Arial" w:eastAsia="Arial" w:hAnsi="Arial"/>
                <w:sz w:val="18"/>
                <w:szCs w:val="18"/>
                <w:color w:val="auto"/>
                <w:w w:val="90"/>
              </w:rPr>
              <w:t>43,780</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149,590</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137,334</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Roxadustat</w:t>
            </w:r>
          </w:p>
        </w:tc>
        <w:tc>
          <w:tcPr>
            <w:tcW w:w="18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Phase 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ind w:left="396"/>
              <w:spacing w:after="0"/>
              <w:rPr>
                <w:sz w:val="20"/>
                <w:szCs w:val="20"/>
                <w:color w:val="auto"/>
              </w:rPr>
            </w:pPr>
            <w:r>
              <w:rPr>
                <w:rFonts w:ascii="Arial" w:cs="Arial" w:eastAsia="Arial" w:hAnsi="Arial"/>
                <w:sz w:val="18"/>
                <w:szCs w:val="18"/>
                <w:color w:val="auto"/>
                <w:w w:val="90"/>
              </w:rPr>
              <w:t>19,822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72,989</w:t>
            </w:r>
          </w:p>
        </w:tc>
        <w:tc>
          <w:tcPr>
            <w:tcW w:w="100" w:type="dxa"/>
            <w:vAlign w:val="bottom"/>
          </w:tcPr>
          <w:p>
            <w:pPr>
              <w:spacing w:after="0"/>
              <w:rPr>
                <w:sz w:val="18"/>
                <w:szCs w:val="18"/>
                <w:color w:val="auto"/>
              </w:rPr>
            </w:pPr>
          </w:p>
        </w:tc>
      </w:tr>
      <w:tr>
        <w:trPr>
          <w:trHeight w:val="216"/>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7"/>
              </w:rPr>
              <w:t>Other research and development expenses</w:t>
            </w: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center"/>
              <w:ind w:left="396"/>
              <w:spacing w:after="0"/>
              <w:rPr>
                <w:sz w:val="20"/>
                <w:szCs w:val="20"/>
                <w:color w:val="auto"/>
              </w:rPr>
            </w:pPr>
            <w:r>
              <w:rPr>
                <w:rFonts w:ascii="Arial" w:cs="Arial" w:eastAsia="Arial" w:hAnsi="Arial"/>
                <w:sz w:val="18"/>
                <w:szCs w:val="18"/>
                <w:color w:val="auto"/>
                <w:w w:val="90"/>
              </w:rPr>
              <w:t>12,278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00" w:type="dxa"/>
            <w:vAlign w:val="bottom"/>
          </w:tcPr>
          <w:p>
            <w:pPr>
              <w:ind w:left="200"/>
              <w:spacing w:after="0"/>
              <w:rPr>
                <w:sz w:val="20"/>
                <w:szCs w:val="20"/>
                <w:color w:val="auto"/>
              </w:rPr>
            </w:pPr>
            <w:r>
              <w:rPr>
                <w:rFonts w:ascii="Arial" w:cs="Arial" w:eastAsia="Arial" w:hAnsi="Arial"/>
                <w:sz w:val="18"/>
                <w:szCs w:val="18"/>
                <w:color w:val="auto"/>
                <w:w w:val="93"/>
              </w:rPr>
              <w:t>Total research and development expenses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75,182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396"/>
              <w:spacing w:after="0"/>
              <w:rPr>
                <w:sz w:val="20"/>
                <w:szCs w:val="20"/>
                <w:color w:val="auto"/>
              </w:rPr>
            </w:pPr>
            <w:r>
              <w:rPr>
                <w:rFonts w:ascii="Arial" w:cs="Arial" w:eastAsia="Arial" w:hAnsi="Arial"/>
                <w:sz w:val="18"/>
                <w:szCs w:val="18"/>
                <w:color w:val="auto"/>
                <w:w w:val="90"/>
              </w:rPr>
              <w:t>75,880</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235,163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273,123</w:t>
            </w:r>
          </w:p>
        </w:tc>
        <w:tc>
          <w:tcPr>
            <w:tcW w:w="10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-170815</wp:posOffset>
            </wp:positionV>
            <wp:extent cx="7747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decreased $0.7 million, or 1% for the three months ended September 30, 2022, compared to the same period a year ago, as a result of the net effect of the following:</w:t>
      </w:r>
    </w:p>
    <w:p>
      <w:pPr>
        <w:spacing w:after="0" w:line="4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$8.0 million in clinical trials costs, primarily due to Phase 3 trials for pamrevlumab and CKD studies for roxadustat;</w:t>
      </w:r>
    </w:p>
    <w:p>
      <w:pPr>
        <w:spacing w:after="0" w:line="103" w:lineRule="exact"/>
        <w:rPr>
          <w:rFonts w:ascii="Arial" w:cs="Arial" w:eastAsia="Arial" w:hAnsi="Arial"/>
          <w:sz w:val="18"/>
          <w:szCs w:val="18"/>
          <w:color w:val="auto"/>
        </w:rPr>
      </w:pPr>
    </w:p>
    <w:p>
      <w:pPr>
        <w:ind w:left="520" w:right="80" w:hanging="512"/>
        <w:spacing w:after="0" w:line="256"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$5.3 million in employee-related costs primarily due to a payroll tax refund received during the third quarter of 2022, and lower headcount as part of the cost reduction effort we started to implement in the second half of 2021 following the CRL for roxadustat in CKD anemia in the U.S.; and</w:t>
      </w:r>
    </w:p>
    <w:p>
      <w:pPr>
        <w:spacing w:after="0" w:line="66"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404040"/>
        </w:rPr>
        <w:t>Increase of $11.8 million in drug development expenses associated with drug substance and drug product manufacturing activities primarily related to pamrevlumab.</w:t>
      </w:r>
    </w:p>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Research and development expenses decreased $38.0 million, or 14% for the nine months ended September 30, 2022, compared to the same period a year ago,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Decrease of $25.0 million for acquired in-process research and development asset from HiFiBiO, which incurred in the prior year period; and</w:t>
      </w:r>
    </w:p>
    <w:p>
      <w:pPr>
        <w:spacing w:after="0" w:line="128" w:lineRule="exact"/>
        <w:rPr>
          <w:rFonts w:ascii="Arial" w:cs="Arial" w:eastAsia="Arial" w:hAnsi="Arial"/>
          <w:sz w:val="17"/>
          <w:szCs w:val="17"/>
          <w:color w:val="auto"/>
        </w:rPr>
      </w:pPr>
    </w:p>
    <w:p>
      <w:pPr>
        <w:ind w:left="520" w:right="80" w:hanging="512"/>
        <w:spacing w:after="0" w:line="24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of $10.6 million in employee-related costs and decrease of $4.6 million in stock-based compensation expenses primarily due to lower headcount as part of the cost reduction effort we started to implement in the second half of 2021 following the CRL for roxadustat in CKD anemia in the U.S., and a payroll tax refund received during the third quarter of 2022;</w:t>
      </w:r>
    </w:p>
    <w:p>
      <w:pPr>
        <w:spacing w:after="0" w:line="8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of $9.0 million in clinical trials costs, primarily due to Phase 3 trials for pamrevlumab and CKD studies for roxadustat; and</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$14.4 million in drug development expenses associated with drug substance and drug product manufacturing activities primarily related to pamrevlumab.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Following the CRL for roxadustat in CKD anemia in the U.S., we have implemented a cost reduction effort and, as a result, SG&amp;A expenses have decreased and may continue to decrease in certain areas over time.</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SG&amp;A expenses increased $4.0 million, or 16% for the three months ended September 30, 2022, compared to the same period a year ago, primarily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of $6.2 million in legal expenses primarily due to a one-time favorable patent-related court ruling recorded in the prior year period; and</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of $1.4 million in outside services expenses due to lower sample costs and promotional expenses for roxadustat in China.</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SG&amp;A expenses increased $1.5 million, or 2% for the nine months ended September 30, 2022, compared to the same period a year ago, as a result of the net effect of the following:</w:t>
      </w:r>
    </w:p>
    <w:p>
      <w:pPr>
        <w:spacing w:after="0" w:line="6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of $4.9 million in legal expenses primarily due to a one-time favorable patent-related court ruling recorded in the prior year period;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of $3.0 million in outside services expenses due to lower promotional expenses and sample costs for roxadustat in China.</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(dollars in</w:t>
            </w:r>
          </w:p>
        </w:tc>
        <w:tc>
          <w:tcPr>
            <w:tcW w:w="11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w w:val="87"/>
              </w:rPr>
              <w:t>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net:</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(109 )</w:t>
            </w:r>
          </w:p>
        </w:tc>
        <w:tc>
          <w:tcPr>
            <w:tcW w:w="560" w:type="dxa"/>
            <w:vAlign w:val="bottom"/>
          </w:tcPr>
          <w:p>
            <w:pPr>
              <w:jc w:val="right"/>
              <w:spacing w:after="0"/>
              <w:rPr>
                <w:sz w:val="20"/>
                <w:szCs w:val="20"/>
                <w:color w:val="auto"/>
              </w:rPr>
            </w:pPr>
            <w:r>
              <w:rPr>
                <w:rFonts w:ascii="Arial" w:cs="Arial" w:eastAsia="Arial" w:hAnsi="Arial"/>
                <w:sz w:val="18"/>
                <w:szCs w:val="18"/>
                <w:color w:val="auto"/>
              </w:rPr>
              <w:t>$   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(23 )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(965 )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(67 ) %</w:t>
            </w: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9"/>
              </w:rPr>
              <w:t>Interest income and other income (expenses),</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w w:val="96"/>
              </w:rPr>
              <w:t>8,79</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(1,303 )</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6"/>
              </w:rPr>
              <w:t>(2,120 )</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38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20" w:type="dxa"/>
            <w:vAlign w:val="bottom"/>
            <w:tcBorders>
              <w:top w:val="single" w:sz="8" w:color="CFF0FC"/>
            </w:tcBorders>
          </w:tcPr>
          <w:p>
            <w:pPr>
              <w:spacing w:after="0"/>
              <w:rPr>
                <w:sz w:val="14"/>
                <w:szCs w:val="14"/>
                <w:color w:val="auto"/>
              </w:rPr>
            </w:pPr>
          </w:p>
        </w:tc>
        <w:tc>
          <w:tcPr>
            <w:tcW w:w="4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6"/>
              </w:rPr>
              <w:t>9,43</w:t>
            </w:r>
          </w:p>
        </w:tc>
        <w:tc>
          <w:tcPr>
            <w:tcW w:w="2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80"/>
              <w:spacing w:after="0"/>
              <w:rPr>
                <w:sz w:val="20"/>
                <w:szCs w:val="20"/>
                <w:color w:val="auto"/>
              </w:rPr>
            </w:pPr>
            <w:r>
              <w:rPr>
                <w:rFonts w:ascii="Arial" w:cs="Arial" w:eastAsia="Arial" w:hAnsi="Arial"/>
                <w:sz w:val="18"/>
                <w:szCs w:val="18"/>
                <w:color w:val="auto"/>
              </w:rPr>
              <w:t>Total interest and other,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(1,412 )</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$ 3,126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4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6,351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(3,085 )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-290830</wp:posOffset>
            </wp:positionV>
            <wp:extent cx="76835" cy="291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-290830</wp:posOffset>
            </wp:positionV>
            <wp:extent cx="76835" cy="291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-290830</wp:posOffset>
            </wp:positionV>
            <wp:extent cx="76835" cy="291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-290830</wp:posOffset>
            </wp:positionV>
            <wp:extent cx="68580" cy="291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-290830</wp:posOffset>
            </wp:positionV>
            <wp:extent cx="68580" cy="291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-290830</wp:posOffset>
            </wp:positionV>
            <wp:extent cx="68580" cy="291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5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Interest expense was immaterial for the three months ended September 30, 2022 and 2021. Interest expense decreased $0.6 million, or 67% for the nine months ended September 30, 2022 compared to the same period a year ago primarily due to the lease modification and renewal in 2021 being classified as operating leases, as compared to finance leases previously.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7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Interest income and other income (expenses), net improved $3.1 million, or 238% for the three months ended September 30, 2022, compared to the same period a year ago, primarily due to foreign currency transaction impacts and higher interest income from our investments.</w:t>
      </w:r>
    </w:p>
    <w:p>
      <w:pPr>
        <w:spacing w:after="0" w:line="160"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Interest income and other income (expenses), net improved $8.8 million, or 415% for the nine months ended September 30, 2022 compared to the same period a year ago, primarily due to a reduction of $6.0 million to other expenses recorded during the second quarter of 2022 to release the previously estimated late payment fees related to value added tax in China, upon the receipt of a written evidence from China’s State Taxation Administration, which confirmed the transfer of certain intellectual property rights in 2020 relating to our Chinese business between our wholly owned subsidiaries is exempted from value added tax. In addition, the interest income from our investments was higher compared to the same period a year ago.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w w:val="98"/>
              </w:rPr>
              <w:t>Three Months Ended September 30,</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4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r>
      <w:tr>
        <w:trPr>
          <w:trHeight w:val="169"/>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170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w w:val="95"/>
              </w:rPr>
              <w:t>in thousands)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(91,943 )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49,562</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(228,522 )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(156,374 )</w:t>
            </w: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(0.1 ) %</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(0.1 ) %</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(0.2 ) %</w:t>
            </w:r>
          </w:p>
        </w:tc>
      </w:tr>
      <w:tr>
        <w:trPr>
          <w:trHeight w:val="635"/>
        </w:trPr>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taxes for the three and nine months ended September 30, 2022 and 2021 were primarily due to foreign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 However, given our anticipated future foreign earnings, we believe that there is a reasonable possibility that within the next 12 months, sufficient positive evidence may become available to allow us to reach a conclusion that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in Unconsolidated Variable Interest Entity</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Investment income in unconsolidated variable interest entity represented our proportionate share of the reported profits of Falikang, an unconsolidated variable interest entity accounted for under the equity method, and was immaterial for the three and nine months ended September 30, 2022 and 2021.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to the condensed consolidated financial statements for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of September 30, 2022, we had cash and cash equivalents of $156.0 million, compared to $171.2 million as of December 31, 2021. Cash is invested in accordance with our investment policy, primarily with a view to liquidity and capital preservation. Investments, consisting of available-for-sale securities, and stated at fair value, are also available as a source of liquidity. As of September 30, 2022, we had short-term and long-term investments of $252.6 million and $17.8 million, respectively, compared to $234.0 million and $167.8 million, respectively, as of December 31, 2021. As of September 30, 2022, a total of $84.4 million of our cash and cash equivalents was held outside of the U.S. in our foreign subsidiaries, including $63.1 million held in China, to be used primarily for our China operations.</w:t>
      </w:r>
    </w:p>
    <w:p>
      <w:pPr>
        <w:spacing w:after="0" w:line="20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 xml:space="preserve">On November 4, 2022, we entered into a RIFA with NovaQuest with respect to our royalties from Astellas’ sales of roxadustat in Europe, Japan and the other Astellas territories. Pursuant to the RIFA, NovaQuest agreed to pay us an investment amount equal to $50.0 million, in consideration for certain royalty and other revenue payments we will make to NovaQuest. For additional details about this financing transaction, see Note 9, </w:t>
      </w:r>
      <w:r>
        <w:rPr>
          <w:rFonts w:ascii="Arial" w:cs="Arial" w:eastAsia="Arial" w:hAnsi="Arial"/>
          <w:sz w:val="18"/>
          <w:szCs w:val="18"/>
          <w:i w:val="1"/>
          <w:iCs w:val="1"/>
          <w:color w:val="auto"/>
        </w:rPr>
        <w:t>Subsequent Event</w:t>
      </w:r>
      <w:r>
        <w:rPr>
          <w:rFonts w:ascii="Arial" w:cs="Arial" w:eastAsia="Arial" w:hAnsi="Arial"/>
          <w:sz w:val="18"/>
          <w:szCs w:val="18"/>
          <w:color w:val="auto"/>
        </w:rPr>
        <w:t>, to the condensed consolidated financial statements.</w:t>
      </w:r>
    </w:p>
    <w:p>
      <w:pPr>
        <w:spacing w:after="0" w:line="20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this Quarterly Report.</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and cash equivalents for each of the periods set forth below (in thousands):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60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(93,420 )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(27,272 )</w:t>
            </w:r>
          </w:p>
        </w:tc>
      </w:tr>
      <w:tr>
        <w:trPr>
          <w:trHeight w:val="216"/>
        </w:trPr>
        <w:tc>
          <w:tcPr>
            <w:tcW w:w="6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88,023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(376,405 )</w:t>
            </w: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(1,898 )</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(532 )</w:t>
            </w:r>
          </w:p>
        </w:tc>
      </w:tr>
      <w:tr>
        <w:trPr>
          <w:trHeight w:val="216"/>
        </w:trPr>
        <w:tc>
          <w:tcPr>
            <w:tcW w:w="6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(7,968 )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FF0FC"/>
          </w:tcPr>
          <w:p>
            <w:pPr>
              <w:spacing w:after="0"/>
              <w:rPr>
                <w:sz w:val="18"/>
                <w:szCs w:val="18"/>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000" w:type="dxa"/>
            <w:vAlign w:val="bottom"/>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(15,263 </w:t>
            </w:r>
            <w:r>
              <w:rPr>
                <w:rFonts w:ascii="Arial" w:cs="Arial" w:eastAsia="Arial" w:hAnsi="Arial"/>
                <w:sz w:val="18"/>
                <w:szCs w:val="18"/>
                <w:color w:val="auto"/>
                <w:highlight w:val="white"/>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(403,866 </w:t>
            </w:r>
            <w:r>
              <w:rPr>
                <w:rFonts w:ascii="Arial" w:cs="Arial" w:eastAsia="Arial" w:hAnsi="Arial"/>
                <w:sz w:val="18"/>
                <w:szCs w:val="18"/>
                <w:color w:val="auto"/>
                <w:highlight w:val="white"/>
              </w:rPr>
              <w:t>)</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Net cash used in operating activities was $93.4 million for the nine months ended September 30, 2022 and consisted primarily of net loss of $227.5 million adjusted for non-operating cash items of $57.8 million, partially offset by a net increase in operating assets and liabilities of $76.2 million. The significant non-operating cash items included stock-based compensation expense of $49.4 million, and depreciation expense of $7.5 million. The significant items in the changes in operating assets and liabilities included the increases resulting from the following:</w:t>
      </w:r>
    </w:p>
    <w:p>
      <w:pPr>
        <w:spacing w:after="0" w:line="58" w:lineRule="exact"/>
        <w:rPr>
          <w:sz w:val="20"/>
          <w:szCs w:val="20"/>
          <w:color w:val="auto"/>
        </w:rPr>
      </w:pPr>
    </w:p>
    <w:p>
      <w:pPr>
        <w:ind w:left="520" w:hanging="512"/>
        <w:spacing w:after="0" w:line="280"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Accrued and other liabilities increased $87.2 million, primarily related to the total of $66.5 million for API and bulk drug product price true-up as of September 30, 2022, resulting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See the </w:t>
      </w:r>
      <w:r>
        <w:rPr>
          <w:rFonts w:ascii="Arial" w:cs="Arial" w:eastAsia="Arial" w:hAnsi="Arial"/>
          <w:sz w:val="16"/>
          <w:szCs w:val="16"/>
          <w:i w:val="1"/>
          <w:iCs w:val="1"/>
          <w:color w:val="auto"/>
        </w:rPr>
        <w:t>Drug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 Revenue </w:t>
      </w:r>
      <w:r>
        <w:rPr>
          <w:rFonts w:ascii="Arial" w:cs="Arial" w:eastAsia="Arial" w:hAnsi="Arial"/>
          <w:sz w:val="16"/>
          <w:szCs w:val="16"/>
          <w:color w:val="auto"/>
        </w:rPr>
        <w:t>section in Note 2,</w:t>
      </w:r>
      <w:r>
        <w:rPr>
          <w:rFonts w:ascii="Arial" w:cs="Arial" w:eastAsia="Arial" w:hAnsi="Arial"/>
          <w:sz w:val="16"/>
          <w:szCs w:val="16"/>
          <w:i w:val="1"/>
          <w:iCs w:val="1"/>
          <w:color w:val="auto"/>
        </w:rPr>
        <w:t xml:space="preserve"> Collaboration Agreements, License Agreement and Revenues, </w:t>
      </w:r>
      <w:r>
        <w:rPr>
          <w:rFonts w:ascii="Arial" w:cs="Arial" w:eastAsia="Arial" w:hAnsi="Arial"/>
          <w:sz w:val="16"/>
          <w:szCs w:val="16"/>
          <w:color w:val="auto"/>
        </w:rPr>
        <w:t>to the condensed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for details. The accrued and other liabilities were also impacted by the classification of a portion of accrued co-promotion expenses from other long-term liabilities to current liabilities based on the updated estimate of timing for payment, and by the timing of invoicing and payment;</w:t>
      </w:r>
    </w:p>
    <w:p>
      <w:pPr>
        <w:spacing w:after="0" w:line="49" w:lineRule="exact"/>
        <w:rPr>
          <w:rFonts w:ascii="Arial" w:cs="Arial" w:eastAsia="Arial" w:hAnsi="Arial"/>
          <w:sz w:val="16"/>
          <w:szCs w:val="16"/>
          <w:color w:val="auto"/>
        </w:rPr>
      </w:pPr>
    </w:p>
    <w:p>
      <w:pPr>
        <w:ind w:left="520" w:right="12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Prepaid expenses and other current assets decreased $8.3 million, primarily due to the collection of $8.0 million from Eluminex for upfront license payment during the first quarter of 2022, and less prepayments made for roxadustat API manufacturing activities; and</w:t>
      </w:r>
    </w:p>
    <w:p>
      <w:pPr>
        <w:spacing w:after="0" w:line="48" w:lineRule="exact"/>
        <w:rPr>
          <w:rFonts w:ascii="Arial" w:cs="Arial" w:eastAsia="Arial" w:hAnsi="Arial"/>
          <w:sz w:val="18"/>
          <w:szCs w:val="18"/>
          <w:color w:val="auto"/>
        </w:rPr>
      </w:pPr>
    </w:p>
    <w:p>
      <w:pPr>
        <w:ind w:left="520" w:right="160" w:hanging="512"/>
        <w:spacing w:after="0" w:line="249"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revenue increased $4.5 million, primarily related to the deferred considerations of the bulk drug product transferred to Astellas under the terms of the Astellas Europe Agreement and the Astellas EU Supply Agreement during the current year period, offset by the above-mentioned reclassification to accrued liabilities, resulting from changes in estimated variable consideration associated with the API or bulk drug product deliveries fulfilled with Astellas and AstraZeneca.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20" w:right="34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Inventories increased $11.1 million, driven by the increased inventory level primarily related to inventory cost capitalized related to Europe and other territories, and FibroGen Beijing’s productions of roxadustat for commercial sales purposes;</w:t>
      </w:r>
    </w:p>
    <w:p>
      <w:pPr>
        <w:spacing w:after="0" w:line="62"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long-term liabilities decreased $10.3 million driven by the above-mentioned classification of a portion of accrued co-promotion expenses from other long-term liabilities to current liabilities based on the updated estimate of timing for payment; and</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Accounts payable decreased $5.1 million, primarily driven by the timing of invoicing and payments.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Net cash used in operating activities was $27.3 million for the nine months ended September 30, 2021 and consisted primarily of net loss of $155.9 million adjusted for non-operating cash items of $92.4 million, offset by a net increase in operating assets and liabilities of $36.3 million. The significant non-operating cash items included stock-based compensation expense of $54.1 million, expense for acquired in-process research and development asset from HiFiBiO of $25.0 million, depreciation expense of $7.7 million and amortization of finance lease right-of-use assets of $4.5 million. The significant items in the changes in operating assets and liabilities included the increases resulting from the following:</w:t>
      </w:r>
    </w:p>
    <w:p>
      <w:pPr>
        <w:spacing w:after="0" w:line="263" w:lineRule="exact"/>
        <w:rPr>
          <w:sz w:val="20"/>
          <w:szCs w:val="20"/>
          <w:color w:val="auto"/>
        </w:rPr>
      </w:pPr>
    </w:p>
    <w:p>
      <w:pPr>
        <w:ind w:left="520" w:right="160" w:hanging="512"/>
        <w:spacing w:after="0" w:line="249"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revenue increased $40.7 million, primarily related to the above-mentioned $11.8 million and $11.2 million of the deferred considerations of the bulk drug product shipped to Astellas and AstraZeneca, respectively, due to a high degree of uncertainty associated with the variable consideration for revenue recognition purposes, and $18.1 million of the deferred revenue from the sales to Falikang associated with the China performance obligation;</w:t>
      </w:r>
    </w:p>
    <w:p>
      <w:pPr>
        <w:spacing w:after="0" w:line="7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Accrued and other liabilities increased $32.0 million, primarily driven by the timing of invoicing and payment; and</w:t>
      </w:r>
    </w:p>
    <w:p>
      <w:pPr>
        <w:spacing w:after="0" w:line="117" w:lineRule="exact"/>
        <w:rPr>
          <w:rFonts w:ascii="Arial" w:cs="Arial" w:eastAsia="Arial" w:hAnsi="Arial"/>
          <w:sz w:val="18"/>
          <w:szCs w:val="18"/>
          <w:color w:val="auto"/>
        </w:rPr>
      </w:pPr>
    </w:p>
    <w:p>
      <w:pPr>
        <w:ind w:left="520" w:right="20" w:hanging="512"/>
        <w:spacing w:after="0" w:line="29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Accounts receivable decreased $6.1 million, primarily driven by the timing of the receipt of upfront payments and the recognition of revenues under our collaboration agreements with Astellas and AstraZeneca, as well as the collection from our distributors and Falikang.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20" w:right="80" w:hanging="512"/>
        <w:spacing w:after="0" w:line="291"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long-term liabilities decreased $14.2 million, primarily due to the decrease in the co-promotional expenses with AstraZeneca for its sales and marketing efforts related to the commercial launch of roxadustat in China that are not expected to be paid in the next year;</w:t>
      </w:r>
    </w:p>
    <w:p>
      <w:pPr>
        <w:spacing w:after="0" w:line="38" w:lineRule="exact"/>
        <w:rPr>
          <w:rFonts w:ascii="Arial" w:cs="Arial" w:eastAsia="Arial" w:hAnsi="Arial"/>
          <w:sz w:val="17"/>
          <w:szCs w:val="17"/>
          <w:color w:val="auto"/>
        </w:rPr>
      </w:pPr>
    </w:p>
    <w:p>
      <w:pPr>
        <w:ind w:left="520" w:right="26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Inventories increased $12.7 million, driven by the increased inventory level primarily related to FibroGen Beijing’s productions of roxadustat for commercial sales purposes and pre-launch inventory cost capitalized in the U.S.;</w:t>
      </w:r>
    </w:p>
    <w:p>
      <w:pPr>
        <w:spacing w:after="0" w:line="48"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Prepaid expenses and other current assets increased $11.2 million, primarily due to the unbilled upfront license payment from Eluminex of $8.0 million, and prepayments made for roxadustat API manufacturing activities; and</w:t>
      </w:r>
    </w:p>
    <w:p>
      <w:pPr>
        <w:spacing w:after="0" w:line="278"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assets increased $3.6 million, primarily related to the increases in various licenses.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purchase of acquired in-process research and development asset and proceeds from the maturity and sale of investments.</w:t>
      </w:r>
    </w:p>
    <w:p>
      <w:pPr>
        <w:spacing w:after="0" w:line="17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Net cash provided by investing activities was $88.0 million for the nine months ended September 30, 2022 and consisted primarily of $216.3 million of proceeds from maturities of investments and $7.4 million of proceeds from sales of available-for-sale securities, partially offset by $97.3 million of cash used in purchases of available-for-sale securities, $35.0 million of cash paid for the acquired in-process research and development asset, and $3.4 million of cash used in purchases of property and equipment.</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Net cash used in investing activities was $376.4 million for the nine months ended September 30, 2021 and consisted primarily of $397.9 million of cash used in purchases of available-for-sale securities, $25.0 million of cash paid for the acquired in-process research and development asset and $3.8 million of cash used in purchases of property and equipment, partially offset by $46.3 million of proceeds from maturities of investments and $4.0 million of proceeds from sales of available-for-sale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used in financing activities was $1.9 million for the nine months ended September 30, 2022 and consisted primarily of $4.6 million of cash paid for payroll taxes on restricted stock unit releases, partially offset by $3.0 million of proceeds from the issuance of common stock upon exercise of stock options and purchases under our 2014 Employee Stock Purchase Plan (“ESPP”).</w:t>
      </w:r>
    </w:p>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financing activities was $0.5 million for the nine months ended September 30, 2021 and consisted primarily of $11.9 million of proceeds from the issuance of common stock upon exercise of stock options and purchases under our ESPP, partially offset by $6.7 million of cash paid for payroll taxes on restricted stock unit releases, and $5.4 million of repayments of finance lease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started generating revenue from commercial sales of roxadustat product in China in the third quarter of 2019. Even with the expectation of increases in revenue from product sales, we anticipate that we will continue to generate losses for the foreseeable future. Following the CRL for roxadustat in CKD anemia in the U.S., we have implemented a cost reduction effort, and as a result, operating expenses have decreased and may continue to decrease in certain areas over time compared to our previous internal plans. To date, we have funded certain portions of our research and development and manufacturing efforts globally through collaboration partners and capital investment. There is no guarantee that sufficient funds will be available to continue to fund these development efforts through commercialization or otherwise. Although AstraZeneca is currently funding all non-China collaboration expenses not reimbursed by Astellas, including development of MDS in the U.S., we expect our research and development expenses to continue to increase as we invest in our other programs. Additionally, we have not been able to agree on a path forward for AstraZeneca to fund further roxadustat development in the U.S. for CKD anemia. We are also subject to all the risks related to the development and commercialization of novel therapeutics, and we may encounter unforeseen expenses, difficulties, complications, delays and other unknown factors that may adversely affect our business, such as the COVID-19 pandemic or other factors outlined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Quarterly Report on Form 10-Q. We anticipate that we will need substantial additional funding in connection with our continuing operations.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together with the financing amount under the RIFA expected in November 2022, will be sufficient to meet our anticipated cash requirements for at least the next 12 months from the date of issuance of the financial statements included in this Quarterly Report on Form 10-Q. However, we may need additional capital thereafter and our liquidity assumptions could turn out to be wrong, or may change over time, and we could utilize our available financial resources sooner than we currently expect.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September 30, 2022, we had $92.6 million of operating lease liabilities. The material cash requirements related to our lease liabilities included $15.6 million expected to be paid within the next 12 months.</w:t>
      </w:r>
    </w:p>
    <w:p>
      <w:pPr>
        <w:spacing w:after="0" w:line="184"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As of September 30, 2022, we had outstanding total non-cancelable purchase obligations of $51.2 million, including $21.0 million for manufacture and supply of pamrevlumab, $7.8 million for manufacture and supply of roxadustat, and $22.3 million for other purchases and programs. We expect to fulfill our commitments under these agreements in the normal course of business, and as such, no liability has been recorded. The material cash requirements related to our non-cancelable purchase obligations included $29.2 million expected to be paid within the next 12 months.</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Some of our license agreements provide for periodic maintenance fees over specified time periods, as well as payments by the Company upon the achievement of development, regulatory and commercial milestones. As of September 30, 2022,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During the three and nine months ended September 30, 2022,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recently issued accounting guidance, see Note 1,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estimates and judgments during the three and nine months ended September 30, 2022 compared with the disclosures in Part II, Item 7 of our 2021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2022, we believe there were no material changes to our exposure to market risks as set forth in Part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II,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our 2021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September 30, 2022,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Based on our evaluation, the Chief Executive Officer and Chief Financial Officer have concluded that our disclosure controls and procedures were effective at the reasonable assurance level as of September 30,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three months ended September 30, 2022 that materially affected, or are reasonably likely to materially affect, our internal control over financial reporting.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0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September 30, 2022, as we could not predict the ultimate outcome of these matters, or reasonably estimate the potential exposure. See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condensed consolidated financial statements for details.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17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2021, filed on February 28, 2022 and as amended on March 4,</w:t>
      </w:r>
      <w:r>
        <w:rPr>
          <w:rFonts w:ascii="Arial" w:cs="Arial" w:eastAsia="Arial" w:hAnsi="Arial"/>
          <w:sz w:val="18"/>
          <w:szCs w:val="18"/>
          <w:i w:val="1"/>
          <w:iCs w:val="1"/>
          <w:color w:val="auto"/>
        </w:rPr>
        <w:t xml:space="preserve"> </w:t>
      </w:r>
      <w:r>
        <w:rPr>
          <w:rFonts w:ascii="Arial" w:cs="Arial" w:eastAsia="Arial" w:hAnsi="Arial"/>
          <w:sz w:val="18"/>
          <w:szCs w:val="18"/>
          <w:color w:val="auto"/>
        </w:rPr>
        <w:t>2022 (“2021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success of FibroGen will depend on a number of factors, many of which are beyond our control and involve risks, including but not limited to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08"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products pamrevlumab and roxadustat.*</w:t>
      </w:r>
    </w:p>
    <w:p>
      <w:pPr>
        <w:spacing w:after="0" w:line="23" w:lineRule="exact"/>
        <w:rPr>
          <w:rFonts w:ascii="Arial" w:cs="Arial" w:eastAsia="Arial" w:hAnsi="Arial"/>
          <w:sz w:val="18"/>
          <w:szCs w:val="18"/>
          <w:color w:val="auto"/>
        </w:rPr>
      </w:pPr>
    </w:p>
    <w:p>
      <w:pPr>
        <w:ind w:left="1020" w:right="820" w:hanging="503"/>
        <w:spacing w:after="0" w:line="265"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a company, we have limited commercialization experience, and the time and resources required to develop such experience are significant. If we fail to achieve and sustain commercial success for any of our products, our business would be harmed.</w:t>
      </w:r>
    </w:p>
    <w:p>
      <w:pPr>
        <w:ind w:left="1020" w:right="180" w:hanging="503"/>
        <w:spacing w:after="0" w:line="24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1" w:lineRule="exact"/>
        <w:rPr>
          <w:rFonts w:ascii="Arial" w:cs="Arial" w:eastAsia="Arial" w:hAnsi="Arial"/>
          <w:sz w:val="18"/>
          <w:szCs w:val="18"/>
          <w:color w:val="auto"/>
        </w:rPr>
      </w:pPr>
    </w:p>
    <w:p>
      <w:pPr>
        <w:ind w:left="1020" w:right="96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complete response letter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Preclinical, Phase 1 and Phase 2 clinical trial results may not be indicative of the results that may be obtained in larger clinical trials.</w:t>
      </w:r>
    </w:p>
    <w:p>
      <w:pPr>
        <w:spacing w:after="0" w:line="8" w:lineRule="exact"/>
        <w:rPr>
          <w:rFonts w:ascii="Arial" w:cs="Arial" w:eastAsia="Arial" w:hAnsi="Arial"/>
          <w:sz w:val="17"/>
          <w:szCs w:val="17"/>
          <w:color w:val="auto"/>
        </w:rPr>
      </w:pPr>
    </w:p>
    <w:p>
      <w:pPr>
        <w:ind w:left="1020" w:right="280" w:hanging="503"/>
        <w:spacing w:after="0" w:line="255"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1" w:lineRule="exact"/>
        <w:rPr>
          <w:rFonts w:ascii="Arial" w:cs="Arial" w:eastAsia="Arial" w:hAnsi="Arial"/>
          <w:sz w:val="17"/>
          <w:szCs w:val="17"/>
          <w:color w:val="auto"/>
        </w:rPr>
      </w:pPr>
    </w:p>
    <w:p>
      <w:pPr>
        <w:ind w:left="1020" w:right="420" w:hanging="503"/>
        <w:spacing w:after="0" w:line="23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spacing w:after="0" w:line="7" w:lineRule="exact"/>
        <w:rPr>
          <w:rFonts w:ascii="Arial" w:cs="Arial" w:eastAsia="Arial" w:hAnsi="Arial"/>
          <w:sz w:val="18"/>
          <w:szCs w:val="18"/>
          <w:color w:val="auto"/>
        </w:rPr>
      </w:pPr>
    </w:p>
    <w:p>
      <w:pPr>
        <w:ind w:left="1020" w:right="460" w:hanging="503"/>
        <w:spacing w:after="0" w:line="23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the appropriate volume of product, we may experience delays in development, regulatory approval, launch or successful commercialization.*</w:t>
      </w:r>
    </w:p>
    <w:p>
      <w:pPr>
        <w:spacing w:after="0" w:line="1" w:lineRule="exact"/>
        <w:rPr>
          <w:rFonts w:ascii="Arial" w:cs="Arial" w:eastAsia="Arial" w:hAnsi="Arial"/>
          <w:sz w:val="18"/>
          <w:szCs w:val="18"/>
          <w:color w:val="auto"/>
        </w:rPr>
      </w:pPr>
    </w:p>
    <w:p>
      <w:pPr>
        <w:ind w:left="1020" w:right="260" w:hanging="503"/>
        <w:spacing w:after="0" w:line="256"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1" w:lineRule="exact"/>
        <w:rPr>
          <w:rFonts w:ascii="Arial" w:cs="Arial" w:eastAsia="Arial" w:hAnsi="Arial"/>
          <w:sz w:val="17"/>
          <w:szCs w:val="17"/>
          <w:color w:val="auto"/>
        </w:rPr>
      </w:pPr>
    </w:p>
    <w:p>
      <w:pPr>
        <w:ind w:left="1020" w:right="240" w:hanging="503"/>
        <w:spacing w:after="0" w:line="23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 if we are able to obtain regulatory approval of our product candidates, the label we obtain may limit the indicated uses for which our product candidates may be marketed.</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hanging="503"/>
        <w:spacing w:after="0" w:line="244"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ind w:left="1020" w:right="420" w:hanging="503"/>
        <w:spacing w:after="0" w:line="25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or limited reimbursement or insurance coverage of our approved products, if any, by third-party payors may render our products less attractive to patients and healthcare providers.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left="1020" w:right="260" w:hanging="503"/>
        <w:spacing w:after="0" w:line="25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1" w:lineRule="exact"/>
        <w:rPr>
          <w:rFonts w:ascii="Arial" w:cs="Arial" w:eastAsia="Arial" w:hAnsi="Arial"/>
          <w:sz w:val="18"/>
          <w:szCs w:val="18"/>
          <w:color w:val="auto"/>
        </w:rPr>
      </w:pPr>
    </w:p>
    <w:p>
      <w:pPr>
        <w:ind w:left="1020" w:right="80" w:hanging="503"/>
        <w:spacing w:after="0" w:line="23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spacing w:after="0" w:line="1" w:lineRule="exact"/>
        <w:rPr>
          <w:rFonts w:ascii="Arial" w:cs="Arial" w:eastAsia="Arial" w:hAnsi="Arial"/>
          <w:sz w:val="18"/>
          <w:szCs w:val="18"/>
          <w:color w:val="auto"/>
        </w:rPr>
      </w:pPr>
    </w:p>
    <w:p>
      <w:pPr>
        <w:ind w:left="1020" w:right="80" w:hanging="503"/>
        <w:spacing w:after="0" w:line="242"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experience delays or technical problems associated with technology transfer, scale-up, or validation of our biologics manufacturing.*</w:t>
      </w:r>
    </w:p>
    <w:p>
      <w:pPr>
        <w:spacing w:after="0" w:line="18" w:lineRule="exact"/>
        <w:rPr>
          <w:rFonts w:ascii="Arial" w:cs="Arial" w:eastAsia="Arial" w:hAnsi="Arial"/>
          <w:sz w:val="16"/>
          <w:szCs w:val="16"/>
          <w:color w:val="auto"/>
        </w:rPr>
      </w:pPr>
    </w:p>
    <w:p>
      <w:pPr>
        <w:ind w:left="1020" w:right="360" w:hanging="503"/>
        <w:spacing w:after="0" w:line="25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23"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Intellectual property disputes may be costly, time consuming, and may negatively affect our competitive position.*</w:t>
      </w:r>
    </w:p>
    <w:p>
      <w:pPr>
        <w:ind w:left="1020" w:right="80" w:hanging="503"/>
        <w:spacing w:after="0" w:line="24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 w:lineRule="exact"/>
        <w:rPr>
          <w:rFonts w:ascii="Arial" w:cs="Arial" w:eastAsia="Arial" w:hAnsi="Arial"/>
          <w:sz w:val="18"/>
          <w:szCs w:val="18"/>
          <w:color w:val="auto"/>
        </w:rPr>
      </w:pPr>
    </w:p>
    <w:p>
      <w:pPr>
        <w:ind w:left="1020" w:right="600" w:hanging="503"/>
        <w:spacing w:after="0" w:line="23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1" w:lineRule="exact"/>
        <w:rPr>
          <w:rFonts w:ascii="Arial" w:cs="Arial" w:eastAsia="Arial" w:hAnsi="Arial"/>
          <w:sz w:val="18"/>
          <w:szCs w:val="18"/>
          <w:color w:val="auto"/>
        </w:rPr>
      </w:pPr>
    </w:p>
    <w:p>
      <w:pPr>
        <w:ind w:left="1020" w:right="380" w:hanging="503"/>
        <w:spacing w:after="0" w:line="242"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Intellectual property rights do not address all potential threats to any competitive advantage we may have.</w:t>
      </w:r>
    </w:p>
    <w:p>
      <w:pPr>
        <w:ind w:left="1020" w:right="520" w:hanging="503"/>
        <w:spacing w:after="0" w:line="25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existence of counterfeit pharmaceutical products in pharmaceutical markets may compromise our brand and reputation and have a material adverse effect on our business, operations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23" w:lineRule="exact"/>
        <w:rPr>
          <w:rFonts w:ascii="Arial" w:cs="Arial" w:eastAsia="Arial" w:hAnsi="Arial"/>
          <w:sz w:val="18"/>
          <w:szCs w:val="18"/>
          <w:color w:val="auto"/>
        </w:rPr>
      </w:pPr>
    </w:p>
    <w:p>
      <w:pPr>
        <w:jc w:val="both"/>
        <w:ind w:left="1020" w:right="18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ind w:left="1020" w:hanging="503"/>
        <w:spacing w:after="0" w:line="23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subject to laws and regulations governing corruption, which require us to maintain costly compliance programs.</w:t>
      </w:r>
    </w:p>
    <w:p>
      <w:pPr>
        <w:ind w:left="102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 it may result in material misstatements in our financial statements.*</w:t>
      </w:r>
    </w:p>
    <w:p>
      <w:pPr>
        <w:ind w:left="102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U.S. healthcare reform may adversely affect our business model.</w:t>
      </w:r>
    </w:p>
    <w:p>
      <w:pPr>
        <w:ind w:left="1020" w:right="420" w:hanging="503"/>
        <w:spacing w:after="0" w:line="242"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Roxadustat is considered a Class 2 substance on the 2019 World Anti-Doping Agency Prohibited List that could limit sales and increase security and distribution costs for our partners and us.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employees may engage in misconduct or improper activities, which could result in significant liability or harm our reputation.</w:t>
      </w: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comply with environmental, health or safety laws and regulations, we could incur fines, penalties or other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left="1020" w:right="20" w:hanging="503"/>
        <w:spacing w:after="0" w:line="25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right="100" w:hanging="503"/>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China-operations portion of our audit is conducted by an independent registered public accounting firm that is not subject to inspection by the Public Company Accounting Oversight Board, which may negatively impact investor sentiment towards FibroGen or our China operations, which could adversely affect the market price of our common stock.</w:t>
      </w:r>
    </w:p>
    <w:p>
      <w:pPr>
        <w:spacing w:after="0" w:line="1"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U.S. and China relations, as well as with other countries, and/or regulations may adversely impact our business.</w:t>
      </w:r>
    </w:p>
    <w:p>
      <w:pPr>
        <w:ind w:left="1020" w:right="46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ind w:left="1020" w:right="620" w:hanging="503"/>
        <w:spacing w:after="0" w:line="23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collaboration partner in China, AstraZeneca, and we may experience difficulties in successfully growing and sustaining sales of roxadustat in China.</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may be subject to pricing control in China and elsewhere.</w:t>
      </w:r>
    </w:p>
    <w:p>
      <w:pPr>
        <w:spacing w:after="0" w:line="7" w:lineRule="exact"/>
        <w:rPr>
          <w:rFonts w:ascii="Arial" w:cs="Arial" w:eastAsia="Arial" w:hAnsi="Arial"/>
          <w:sz w:val="18"/>
          <w:szCs w:val="18"/>
          <w:color w:val="auto"/>
        </w:rPr>
      </w:pPr>
    </w:p>
    <w:p>
      <w:pPr>
        <w:ind w:left="1020" w:right="340" w:hanging="503"/>
        <w:spacing w:after="0" w:line="23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FibroGen Beijing would be subject to restrictions on paying dividends or making other payments to us, which may restrict our ability to satisfy our liquidity requirements.</w:t>
      </w:r>
    </w:p>
    <w:p>
      <w:pPr>
        <w:spacing w:after="0" w:line="1" w:lineRule="exact"/>
        <w:rPr>
          <w:rFonts w:ascii="Arial" w:cs="Arial" w:eastAsia="Arial" w:hAnsi="Arial"/>
          <w:sz w:val="18"/>
          <w:szCs w:val="18"/>
          <w:color w:val="auto"/>
        </w:rPr>
      </w:pPr>
    </w:p>
    <w:p>
      <w:pPr>
        <w:ind w:left="1020" w:right="120" w:hanging="503"/>
        <w:spacing w:after="0" w:line="242"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1" w:lineRule="exact"/>
        <w:rPr>
          <w:rFonts w:ascii="Arial" w:cs="Arial" w:eastAsia="Arial" w:hAnsi="Arial"/>
          <w:sz w:val="18"/>
          <w:szCs w:val="18"/>
          <w:color w:val="auto"/>
        </w:rPr>
      </w:pPr>
    </w:p>
    <w:p>
      <w:pPr>
        <w:ind w:left="1020" w:right="40" w:hanging="503"/>
        <w:spacing w:after="0" w:line="24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currency exchange rate fluctuations and currency exchange restrictions with respect to our operations in China as well as our partner’s operations in Japan and Europe, which could adversely affect our financial performance.</w:t>
      </w:r>
    </w:p>
    <w:p>
      <w:pPr>
        <w:spacing w:after="0" w:line="1" w:lineRule="exact"/>
        <w:rPr>
          <w:rFonts w:ascii="Arial" w:cs="Arial" w:eastAsia="Arial" w:hAnsi="Arial"/>
          <w:sz w:val="18"/>
          <w:szCs w:val="18"/>
          <w:color w:val="auto"/>
        </w:rPr>
      </w:pPr>
    </w:p>
    <w:p>
      <w:pPr>
        <w:ind w:left="1020" w:right="540" w:hanging="503"/>
        <w:spacing w:after="0" w:line="23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Because FibroGen Beijing’s funds are held in banks that do not provide insurance, the failure of any bank in which FibroGen Beijing deposits its funds could adversely affect our business.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tax inefficiencies associated with our offshore corporate structure.</w:t>
      </w:r>
    </w:p>
    <w:p>
      <w:pPr>
        <w:spacing w:after="0" w:line="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foreign operations, particularly those in China, are subject to significant risks involving the protection of intellectual property.</w:t>
      </w:r>
    </w:p>
    <w:p>
      <w:pPr>
        <w:spacing w:after="0" w:line="8" w:lineRule="exact"/>
        <w:rPr>
          <w:rFonts w:ascii="Arial" w:cs="Arial" w:eastAsia="Arial" w:hAnsi="Arial"/>
          <w:sz w:val="17"/>
          <w:szCs w:val="17"/>
          <w:color w:val="auto"/>
        </w:rPr>
      </w:pPr>
    </w:p>
    <w:p>
      <w:pPr>
        <w:ind w:left="1020" w:hanging="503"/>
        <w:spacing w:after="0" w:line="23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and regulations could have a material adverse effect on us.</w:t>
      </w: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spacing w:after="0" w:line="7" w:lineRule="exact"/>
        <w:rPr>
          <w:rFonts w:ascii="Arial" w:cs="Arial" w:eastAsia="Arial" w:hAnsi="Arial"/>
          <w:sz w:val="18"/>
          <w:szCs w:val="18"/>
          <w:color w:val="auto"/>
        </w:rPr>
      </w:pPr>
    </w:p>
    <w:p>
      <w:pPr>
        <w:ind w:left="1020" w:hanging="503"/>
        <w:spacing w:after="0" w:line="23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additional Chinese requirements, approvals or permissions in the future.</w:t>
      </w:r>
    </w:p>
    <w:p>
      <w:pPr>
        <w:ind w:left="1020" w:right="460" w:hanging="503"/>
        <w:spacing w:after="0" w:line="23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1" w:lineRule="exact"/>
        <w:rPr>
          <w:rFonts w:ascii="Arial" w:cs="Arial" w:eastAsia="Arial" w:hAnsi="Arial"/>
          <w:sz w:val="18"/>
          <w:szCs w:val="18"/>
          <w:color w:val="auto"/>
        </w:rPr>
      </w:pPr>
    </w:p>
    <w:p>
      <w:pPr>
        <w:ind w:left="1020" w:right="580" w:hanging="503"/>
        <w:spacing w:after="0" w:line="25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8"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COVID-19 global pandemic.*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08"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Please see below for additional risk factors related to the operation of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Please see below for additional risk factors related to our Common Stock.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our lead products pamrevlumab and roxadustat.*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pamrevlumab and roxadustat.</w:t>
      </w:r>
    </w:p>
    <w:p>
      <w:pPr>
        <w:spacing w:after="0" w:line="2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near-term success depends in large part on pamrevlumab, which is in clinical development for idiopathic pulmonary fibrosis (“IPF”), locally advanced unresectable pancreatic cancer (“LAPC”), metastatic pancreatic cancer, and Duchenne muscular dystrophy (“DMD”). Pamrevlumab requires substantial further development and commercialization investments, and, at this time, we do not have a collaboration partner to support this compound. In addition, pamrevlumab is a monoclonal antibody, which may require greater financial resources than for our small molecule, roxadustat.</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Our near-term prospects also depend in large part on our continued development and commercialization of roxadustat in the People's Republic of China (“China”), Japan, Europe, the United States (“U.S.”), and elsewhere. Roxadustat has been approved in the European Union, Great Britain, China, Japan, and other countries for the treatment of anemia in chronic kidney disease (“CKD”) for patients who are on dialysis and not on dialysis. However, we received a complete response letter (“CRL”) for roxadustat in CDK anemia in the U.S. from the Food and Drug Administration (“FDA”). While we continue to co-commercialize roxadustat in China with AstraZeneca AB (“AstraZeneca”) and develop roxadustat in the U.S. for the treatment of anemia in patients with myelodysplastic syndromes (“MDS”), we have not been able to agree on a path forward for AstraZeneca to fund further roxadustat development in the U.S. for CKD anemia and there is a significant risk we will be unable to do so. There is also a significant risk that the U.S./RoW Agreement, a collaboration agreement we entered into with AstraZeneca for roxadustat for the treatment of anemia in the U.S. and all territories not previously licensed to Astellas, except China (“AstraZeneca U.S./RoW Agreement”), will be amended or terminated.</w:t>
      </w:r>
    </w:p>
    <w:p>
      <w:pPr>
        <w:spacing w:after="0" w:line="17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With an eye toward the longer-term success of the Company, we are investing in new drug programs to expand our early-stage clinical pipeline. While we see great potential value in our early-stage pipeline, these programs are years away from commercialization, and the success of any development program is not guaranteed. Our near-term prospects and the price of our common stock most heavily rely on the success of our lead products pamrevlumab and roxadustat.</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company, we have limited commercialization experience, and the time and resources required to develop such experience are significant. If we fail to achieve and sustain commercial success for any of our products, our business would be harmed.</w:t>
      </w:r>
    </w:p>
    <w:p>
      <w:pPr>
        <w:spacing w:after="0" w:line="49"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We do not have a sales infrastructure and we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0"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52"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17"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1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roxadustat effectively. If they are not successful in commercializing roxadustat, our business and financial condition would suffer.</w:t>
      </w:r>
    </w:p>
    <w:p>
      <w:pPr>
        <w:spacing w:after="0" w:line="16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Successful commercialization of any of our products requires us to establish capabilities, including but not limited to, medical affairs, marketing, product reimbursement, sales, price reporting, pharmacovigilance, supply-chain, distribution, and other capabilities. These efforts require resources and time to either develop or acquire.</w:t>
      </w:r>
    </w:p>
    <w:p>
      <w:pPr>
        <w:spacing w:after="0" w:line="19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If we, along with any partners we may have, are not successful in our marketing, pricing and reimbursement strategies, facilitating adoption by health care facilities and professionals, recruiting sales and marketing personnel or in building a sales and marketing infrastructure, or if the market perception of our product's safety and efficacy profile is negative, we will have difficulty successfully commercializing such product, which would adversely affect our business and financial condition.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4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Moreover, for any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49" w:lineRule="exact"/>
        <w:rPr>
          <w:sz w:val="20"/>
          <w:szCs w:val="20"/>
          <w:color w:val="auto"/>
        </w:rPr>
      </w:pPr>
    </w:p>
    <w:p>
      <w:pPr>
        <w:ind w:left="1020" w:right="120" w:hanging="503"/>
        <w:spacing w:after="0" w:line="324"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a product candidate,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product candidates may exhibit an unacceptable safety signal at any stage of development;</w:t>
      </w:r>
    </w:p>
    <w:p>
      <w:pPr>
        <w:spacing w:after="0" w:line="103" w:lineRule="exact"/>
        <w:rPr>
          <w:rFonts w:ascii="Arial" w:cs="Arial" w:eastAsia="Arial" w:hAnsi="Arial"/>
          <w:sz w:val="18"/>
          <w:szCs w:val="18"/>
          <w:color w:val="auto"/>
        </w:rPr>
      </w:pPr>
    </w:p>
    <w:p>
      <w:pPr>
        <w:ind w:left="1020" w:right="400" w:hanging="503"/>
        <w:spacing w:after="0" w:line="29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CROs or investigators that conduct clinical trials on our behalf may take actions outside of our control that do not comply with GCP, clinical trial protocols, or their agreement with us, or otherwise materially adversely impact our clinical trials;</w:t>
      </w:r>
    </w:p>
    <w:p>
      <w:pPr>
        <w:spacing w:after="0" w:line="52"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 over whether to accept results from clinical trial sites in a country where the standard of care is potentially different from that in the U.S.;</w:t>
      </w:r>
    </w:p>
    <w:p>
      <w:pPr>
        <w:spacing w:after="0" w:line="62"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regarding roxadustat’s NDA for the treatment of anemia due to CKD, stating that it could not be approved in its present form. In addition, a failure or delay in obtaining regulatory approval in one country may have a negative effect on the regulatory process or commercial uptake in other countries.</w:t>
      </w:r>
    </w:p>
    <w:p>
      <w:pPr>
        <w:spacing w:after="0" w:line="156" w:lineRule="exact"/>
        <w:rPr>
          <w:sz w:val="20"/>
          <w:szCs w:val="20"/>
          <w:color w:val="auto"/>
        </w:rPr>
      </w:pPr>
    </w:p>
    <w:p>
      <w:pPr>
        <w:jc w:val="both"/>
        <w:ind w:right="40"/>
        <w:spacing w:after="0" w:line="283" w:lineRule="auto"/>
        <w:rPr>
          <w:sz w:val="20"/>
          <w:szCs w:val="20"/>
          <w:color w:val="auto"/>
        </w:rPr>
      </w:pPr>
      <w:r>
        <w:rPr>
          <w:rFonts w:ascii="Arial" w:cs="Arial" w:eastAsia="Arial" w:hAnsi="Arial"/>
          <w:sz w:val="16"/>
          <w:szCs w:val="16"/>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scenarios could materially harm the commercial prospects for our product candidates.</w:t>
      </w:r>
    </w:p>
    <w:p>
      <w:pPr>
        <w:spacing w:after="0" w:line="32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The CRL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p>
    <w:p>
      <w:pPr>
        <w:spacing w:after="0" w:line="67"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In August 2021, the FDA issued a CRL regarding roxadustat’s NDA for the treatment of anemia due to CKD in adult patients, stating that it could not be approved in its present form. The CRL has decreased the likelihood of approval and successful commercialization of roxadustat in the U.S. and therefore will decrease and/or delay expected revenue.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AstraZeneca U.S./RoW Agreement will be amended or terminated. Any of these risks could have a material impact on our business,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9"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20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w:t>
      </w:r>
    </w:p>
    <w:p>
      <w:pPr>
        <w:spacing w:after="0" w:line="10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obtain required regulatory or institutional review board approval or guidance;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reach timely agreement on acceptable terms with prospective CROs and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recruit, enroll and retain patients through the completion of the trial;</w:t>
      </w:r>
    </w:p>
    <w:p>
      <w:pPr>
        <w:spacing w:after="0" w:line="117"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recruitment, enrollment, or retention, or clinical site initiation or retention problems associated with the Severe Acute Respiratory Syndrome Coronavirus 2 and the resulting Coronavirus Disease (“COVID-19”) pandemic;</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recruitment, enrollment, or retention, clinical site initiation, or retention problems associated with civil unrest or military conflicts around the world;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to maintain clinical sites in compliance with clinical trial protocols;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to initiate or add a sufficient number of clinical trial sites;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to manufacture sufficient quantities of product candidate for use in clinical trials.</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87"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warning letter, or other regulatory action,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6"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expensive;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terminating some of our clinical trials for the product candidates or specific indications affected;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Overview</w:t>
      </w:r>
      <w:r>
        <w:rPr>
          <w:rFonts w:ascii="Arial" w:cs="Arial" w:eastAsia="Arial" w:hAnsi="Arial"/>
          <w:sz w:val="18"/>
          <w:szCs w:val="18"/>
          <w:color w:val="auto"/>
        </w:rPr>
        <w:t>” in this Quarterly Report for a discussion of the adverse events and serious adverse events that have emerged in clinical trials of roxadustat and pamrevlumab.</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Pamrevlumab is being studied in patient populations that are at high risk of death and adverse events, and even if unrelated to pamrevlumab,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roxadustat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We have relatively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LAPC, metastatic pancreatic cancer, and DMD). Any delay or interruption in the supply of our product candidates or products could have a material adverse effect on our business and operations.</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5"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1020" w:right="6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03"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48"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 including delays in availability due to the COVID-19 pandemic;</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w:t>
      </w:r>
    </w:p>
    <w:p>
      <w:pPr>
        <w:spacing w:after="0" w:line="117"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obtain license to proprietary starting materials.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4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9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Where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21"/>
          <w:szCs w:val="21"/>
          <w:color w:val="auto"/>
          <w:vertAlign w:val="superscript"/>
        </w:rPr>
        <w:t>®</w:t>
      </w:r>
      <w:r>
        <w:rPr>
          <w:rFonts w:ascii="Arial" w:cs="Arial" w:eastAsia="Arial" w:hAnsi="Arial"/>
          <w:sz w:val="16"/>
          <w:szCs w:val="16"/>
          <w:color w:val="auto"/>
        </w:rPr>
        <w:t>, marketed by Amgen Inc. in the U.S., Procrit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Erypo</w:t>
      </w:r>
      <w:r>
        <w:rPr>
          <w:rFonts w:ascii="Arial" w:cs="Arial" w:eastAsia="Arial" w:hAnsi="Arial"/>
          <w:sz w:val="21"/>
          <w:szCs w:val="21"/>
          <w:color w:val="auto"/>
          <w:vertAlign w:val="superscript"/>
        </w:rPr>
        <w:t>®</w:t>
      </w:r>
      <w:r>
        <w:rPr>
          <w:rFonts w:ascii="Arial" w:cs="Arial" w:eastAsia="Arial" w:hAnsi="Arial"/>
          <w:sz w:val="16"/>
          <w:szCs w:val="16"/>
          <w:color w:val="auto"/>
        </w:rPr>
        <w:t>/Eprex</w:t>
      </w:r>
      <w:r>
        <w:rPr>
          <w:rFonts w:ascii="Arial" w:cs="Arial" w:eastAsia="Arial" w:hAnsi="Arial"/>
          <w:sz w:val="21"/>
          <w:szCs w:val="21"/>
          <w:color w:val="auto"/>
          <w:vertAlign w:val="superscript"/>
        </w:rPr>
        <w:t>®</w:t>
      </w:r>
      <w:r>
        <w:rPr>
          <w:rFonts w:ascii="Arial" w:cs="Arial" w:eastAsia="Arial" w:hAnsi="Arial"/>
          <w:sz w:val="16"/>
          <w:szCs w:val="16"/>
          <w:color w:val="auto"/>
        </w:rPr>
        <w:t>, marketed by Johnson &amp; Johnson Inc., and Espo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marketed by Kyowa Hakko Kirin in Japan and China), darbepoetin (Amgen/Kyowa Hakko Kirin’s Aranesp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NESP</w:t>
      </w:r>
      <w:r>
        <w:rPr>
          <w:rFonts w:ascii="Arial" w:cs="Arial" w:eastAsia="Arial" w:hAnsi="Arial"/>
          <w:sz w:val="24"/>
          <w:szCs w:val="24"/>
          <w:color w:val="auto"/>
          <w:vertAlign w:val="superscript"/>
        </w:rPr>
        <w:t>®</w:t>
      </w:r>
      <w:r>
        <w:rPr>
          <w:rFonts w:ascii="Arial" w:cs="Arial" w:eastAsia="Arial" w:hAnsi="Arial"/>
          <w:sz w:val="18"/>
          <w:szCs w:val="18"/>
          <w:color w:val="auto"/>
        </w:rPr>
        <w:t>) and Mircera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may also face competition from potential new anemia therapies currently on the market or in clinical development, including in those patient segments not adequately addressed by ESAs. Companies that are currently developing hypoxia-inducible factor prolyl hydroxylase (“HIF-PH”) inhibitors for anemia in CKD indications include: GlaxoSmithKline plc (“GSK”), Bayer Corporation (“Bayer”), Akebia Therapeutics, Inc. (“Akebia”), Japan Tobacco, and Zydus Cadila (India) (“Zydus”). Otsuka Pharmaceutical terminated its collaboration agreement with Akebia after Akebia received a CRL from the FDA for vadadustat in March 2022.</w:t>
      </w:r>
    </w:p>
    <w:p>
      <w:pPr>
        <w:spacing w:after="0" w:line="18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GSK has filed an NDA for daprodustat in the U.S., with a Prescription Drug User Fee Act date of February 1, 2023, and in March 2022 announced that the EMA accepted its Marketing Authorization Application for daprodustat. In October 2022, GSK received a positive Cardiovascular and Renal Drugs Advisory Committee vote regarding daprodustat in dialysis CKD anemia patients but received a negative vote from the Advisory Committee regarding daprodustat in non-dialysis CKD anemia patients.</w:t>
      </w:r>
    </w:p>
    <w:p>
      <w:pPr>
        <w:spacing w:after="0" w:line="181"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In Japan, roxadustat faces the following competitive drugs being sold by the following companies for the treatment of anemia in CKD for patients who are on dialysis and not on dialysis: vadadustat by Mitsubishi Tanabe Pharmaceutical Corporation, Akebia’s collaboration partner, daprodustat by GSK and its partner Kyowa Hakko Kirin, molidustat by Bayer, and enarodustat by Japan Tobacco (to be sold by Torii Pharmaceuticals Ltd).</w:t>
      </w:r>
    </w:p>
    <w:p>
      <w:pPr>
        <w:spacing w:after="0" w:line="163"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color w:val="auto"/>
        </w:rPr>
        <w:t>Reblozyl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w:t>
      </w:r>
    </w:p>
    <w:p>
      <w:pPr>
        <w:spacing w:after="0" w:line="189"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5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China, we may face potential competition from other HIF-PH inhibitors. The most advanced among them is Enarodustat which is already approved in Japan and is licensed by Shenzhen Salubris Pharmaceutical Co., Ltd for China from Japan Tobacco. Another in-licensed compound under development is Desidustat from Zydus, a compound that is in Phase 3 trials in India. Several foreign companies with active development programs outside of China including Akebia, Bayer, and GSK have been authorized by the National Medical Products Administration to conduct trials in China. Domestic companies including Jiangsu Hengrui Medicine Co., Ltd., Nicoya Therapeutics (Shanghai) Co. Ltd (licensed from Guandong Sunshine Health Investment Co., Ltd.), 3SBio Inc., and Hangzhou Andao Pharmaceutical Co. have active development programs in China. We will also face competition from generics who could enter the market after expiry of our patents in China, and five or more potential market players have already started bioequivalence studies. ESA is considered the standard of care for the treatment of anemia in CKD, and locally manufactured epoetin alfa is offered by 15 local manufacturers including the market leader EPIAO that is marketed by 3SBio Inc.</w:t>
      </w:r>
    </w:p>
    <w:p>
      <w:pPr>
        <w:spacing w:after="0" w:line="178"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The first biosimilar ESA, Pfizer’s Retacrit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w:t>
      </w:r>
    </w:p>
    <w:p>
      <w:pPr>
        <w:spacing w:after="0" w:line="2"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dialysis under the end-stage renal disease bundle. The patents for Amgen’s EPOGEN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in Europe and may file a biosimilar Biologics License Application in the U.S.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approved and launched commercially to treat IPF, pamrevlumab is expected to compete with Roche’s Esbriet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(pirfenidone), and Boehringer Ingelheim</w:t>
      </w:r>
    </w:p>
    <w:p>
      <w:pPr>
        <w:ind w:right="40"/>
        <w:spacing w:after="0" w:line="227" w:lineRule="auto"/>
        <w:rPr>
          <w:sz w:val="20"/>
          <w:szCs w:val="20"/>
          <w:color w:val="auto"/>
        </w:rPr>
      </w:pPr>
      <w:r>
        <w:rPr>
          <w:rFonts w:ascii="Arial" w:cs="Arial" w:eastAsia="Arial" w:hAnsi="Arial"/>
          <w:sz w:val="18"/>
          <w:szCs w:val="18"/>
          <w:color w:val="auto"/>
        </w:rPr>
        <w:t>Pharma GmbH &amp; Co. KG’s Ofev</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(nintedanib). However, it may be difficult to encourage treatment providers and patients to switch to pamrevlumab from an oral product with which they are already familiar to a product delivered via in-office infusion. Furthermore, Sandoz has obtained approval for a generic of pirfenidone in the U.S. and nintedanib may be produced as a generic in the near future. We may also face competition from potential new IPF therapies in recruitment and enrollment in our clinical trials and potentially in commercialization.</w:t>
      </w:r>
    </w:p>
    <w:p>
      <w:pPr>
        <w:spacing w:after="0" w:line="190" w:lineRule="exact"/>
        <w:rPr>
          <w:sz w:val="20"/>
          <w:szCs w:val="20"/>
          <w:color w:val="auto"/>
        </w:rPr>
      </w:pPr>
    </w:p>
    <w:p>
      <w:pPr>
        <w:jc w:val="both"/>
        <w:ind w:right="340"/>
        <w:spacing w:after="0" w:line="276" w:lineRule="auto"/>
        <w:rPr>
          <w:sz w:val="20"/>
          <w:szCs w:val="20"/>
          <w:color w:val="auto"/>
        </w:rPr>
      </w:pPr>
      <w:r>
        <w:rPr>
          <w:rFonts w:ascii="Arial" w:cs="Arial" w:eastAsia="Arial" w:hAnsi="Arial"/>
          <w:sz w:val="16"/>
          <w:szCs w:val="16"/>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Pliant Therapeutics’ PLN-74809, Roche/Promedior, Inc.’s PRM-151, and Boehringer Ingelheim’s BI 1015550.</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Boehringer Ingelheim began enrolling patients in the fourth quarter of 2022 in its Phase 3 trial of BI 1015550, a novel investigational phosphodiesterase 4B (PDE4B) inhibitor of IPF. Roche is enrolling patients in a Phase 3 trial evaluating the efficacy and safety of PRM-151, a recombinant human pentraxin-2 (rhPTX-2), compared to placebo in patients with IPF. United Therapeutics Corporation is enrolling patients in its Phase 3 trial of treprostinil in IPF.</w:t>
      </w:r>
    </w:p>
    <w:p>
      <w:pPr>
        <w:spacing w:after="0" w:line="170"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If pamrevlumab is approved and launched commercially to treat LAPC or metastatic pancreatic cancer, pamrevlumab may face competition from agents seeking approval in combination with gemcitibine and nab-paclitaxel from companies such as Rafael Pharma’s defactinib/CPI-613 and Merrimack Pharmaceuticals Inc.’s istiratumab. Gemcitabine and/or nab-paclitaxel are the current standard of care in the first-line treatment of metastatic pancreatic cancer.</w:t>
      </w:r>
    </w:p>
    <w:p>
      <w:pPr>
        <w:spacing w:after="0" w:line="18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 Sarepta has also filed a Biologics License Application for the accelerated approval of SRP-9001 (delandistrogene moxeparvovec) to treat ambulant patients with DMD.</w:t>
      </w:r>
    </w:p>
    <w:p>
      <w:pPr>
        <w:spacing w:after="0" w:line="193"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PTC Therapeutics’ product Translarna</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 xml:space="preserve">current form. An additional Phase 3 study is currently ongoing. While Translarna </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24"/>
          <w:szCs w:val="24"/>
          <w:color w:val="auto"/>
          <w:vertAlign w:val="superscript"/>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20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Sarepta, and Italfarmaco Group.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spacing w:after="0" w:line="29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jc w:val="both"/>
        <w:ind w:right="140"/>
        <w:spacing w:after="0" w:line="303"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32"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healthcare providers and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115"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adequate pricing and reimbursement by third parties and government authorities as described below;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1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4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3"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76"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9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2021, we received a CRL for roxadustat for the treatment of anemia due to CKD in adult patients in the U.S. While we continue to co-commercialize roxadustat in China with AstraZeneca, and develop roxadustat in the U.S. for the treatment of anemia in patients with MDS, we have not been able to agree on a potential path forward for AstraZeneca to fund further roxadustat development in the U.S. for CKD anemia and there is a significant risk we will be unable to do so. There is also a significant risk that the AstraZeneca U.S./RoW Agreement will be amended or terminated. Our collaborations are exclusive for roxadustat and preclude us from entering into additional collaboration agreements with other parties in those geographies and indications already licensed.</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86" w:lineRule="exact"/>
        <w:rPr>
          <w:sz w:val="20"/>
          <w:szCs w:val="20"/>
          <w:color w:val="auto"/>
        </w:rPr>
      </w:pPr>
    </w:p>
    <w:p>
      <w:pPr>
        <w:ind w:right="380"/>
        <w:spacing w:after="0" w:line="303"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7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9" w:lineRule="exact"/>
        <w:rPr>
          <w:sz w:val="20"/>
          <w:szCs w:val="20"/>
          <w:color w:val="auto"/>
        </w:rPr>
      </w:pPr>
    </w:p>
    <w:p>
      <w:pPr>
        <w:ind w:left="1020" w:right="80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20" w:right="300" w:hanging="503"/>
        <w:spacing w:after="0" w:line="308"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24"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03" w:lineRule="exact"/>
        <w:rPr>
          <w:rFonts w:ascii="Arial" w:cs="Arial" w:eastAsia="Arial" w:hAnsi="Arial"/>
          <w:sz w:val="18"/>
          <w:szCs w:val="18"/>
          <w:color w:val="auto"/>
        </w:rPr>
      </w:pPr>
    </w:p>
    <w:p>
      <w:pPr>
        <w:ind w:left="1020" w:right="600" w:hanging="503"/>
        <w:spacing w:after="0" w:line="25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limited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or technical problems associated with technology transfer, scale-up, or validation of our biologics manufacturing.*</w:t>
      </w:r>
    </w:p>
    <w:p>
      <w:pPr>
        <w:spacing w:after="0" w:line="127"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We have entered into an initial commercial supply agreement for the manufacture of pamrevlumab with Samsung Biologics Co., Ltd. (“Samsung”) and are transitioning our manufacturing of pamrevlumab from Boehringer Ingelheim Pharma GmbH &amp; Co. KG to Samsung. However, we may experience delays or technical problems associated with:</w:t>
      </w:r>
    </w:p>
    <w:p>
      <w:pPr>
        <w:spacing w:after="0" w:line="81"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technology transfer of the manufacturing process to Samsung;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scale-up and production of cGMP batches;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analytical method validation and transfer to Samsung;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5"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process validation, including process characterization and process performance qualification batches;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set up and execution of appropriate stability studies.</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the results of our clinical trials. In addition, third party manufacturers tend to change their upfront fees or postponement/cancelation fees over time or upon initiation of additional contracts, and this may lead to unanticipated financial loss for FibroGen.</w:t>
      </w:r>
    </w:p>
    <w:p>
      <w:pPr>
        <w:spacing w:after="0" w:line="20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also carry the risk that if all three indications are successful, the commercial demand may exceed planned production supply at Samsung. In this event, it may be necessary to find third party manufacturers who have the capacity and capability to produce the required quantities of pamrevlumab. This may be subject to availability of such manufacturers since there are only a limited number of suppliers who have the larger scale bioreactors that are needed for commercial pamrevlumab supply. If we need to find a supplier in China, there may be additional delays in importing custom raw materials and supplements into China.</w:t>
      </w:r>
    </w:p>
    <w:p>
      <w:pPr>
        <w:spacing w:after="0" w:line="2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3"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We do not have an alternative supplier of certain components of our commercial products and product candidates. While we have obligations for second-source suppliers in our roxadustat collaboration agreements, we may be unable to enter into long-term commercial supply arrangements for roxadustat or our other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to date, the lead-time and regulatory approvals required to source from and into countries outside of the U.S. increase the risk of delay and potential shortages of supply.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and adversely affect our business and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0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6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Third parties have challenged and may again challenge our patents and patent applications. For example, various challenges against our HIF anemia-related technologies patent portfolio are ongoing in several territories, including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81"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Oppositions were filed against European Patent No. 2872488 (the “`488 Patent”), which claims a crystalline form of roxadustat, and against European Patent No. 3003284 (the “`284 Patent”), which claims photostable formulations of roxadustat. Similar challenges have been filed in China against patents which claim a crystalline form of roxadustat. Final resolution of such proceedings will take time, and we cannot be assured that these patents will ultimately survive as originally granted or at all.</w:t>
      </w:r>
    </w:p>
    <w:p>
      <w:pPr>
        <w:spacing w:after="0" w:line="19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30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3"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4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4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04"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9" w:lineRule="exact"/>
        <w:rPr>
          <w:sz w:val="20"/>
          <w:szCs w:val="20"/>
          <w:color w:val="auto"/>
        </w:rPr>
      </w:pPr>
    </w:p>
    <w:p>
      <w:pPr>
        <w:ind w:left="1020" w:right="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48"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126" w:lineRule="exact"/>
        <w:rPr>
          <w:rFonts w:ascii="Arial" w:cs="Arial" w:eastAsia="Arial" w:hAnsi="Arial"/>
          <w:sz w:val="16"/>
          <w:szCs w:val="16"/>
          <w:color w:val="auto"/>
        </w:rPr>
      </w:pPr>
    </w:p>
    <w:p>
      <w:pPr>
        <w:ind w:left="1020" w:right="6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20" w:right="340" w:hanging="503"/>
        <w:spacing w:after="0" w:line="303"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4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and other countries for the treatment of anemia in CKD for patients who are on dialysis and not on dialysis, we received a CRL for roxadustat in CKD anemia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spacing w:after="0" w:line="280" w:lineRule="exact"/>
        <w:rPr>
          <w:sz w:val="20"/>
          <w:szCs w:val="20"/>
          <w:color w:val="auto"/>
        </w:rPr>
      </w:pPr>
    </w:p>
    <w:p>
      <w:pPr>
        <w:ind w:right="260"/>
        <w:spacing w:after="0"/>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8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77" w:lineRule="exact"/>
        <w:rPr>
          <w:sz w:val="20"/>
          <w:szCs w:val="20"/>
          <w:color w:val="auto"/>
        </w:rPr>
      </w:pPr>
    </w:p>
    <w:p>
      <w:pPr>
        <w:ind w:left="1020" w:right="280" w:hanging="503"/>
        <w:spacing w:after="0" w:line="27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jc w:val="both"/>
        <w:ind w:left="1020" w:right="100" w:hanging="503"/>
        <w:spacing w:after="0" w:line="24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7" w:lineRule="exact"/>
        <w:rPr>
          <w:rFonts w:ascii="Arial" w:cs="Arial" w:eastAsia="Arial" w:hAnsi="Arial"/>
          <w:sz w:val="18"/>
          <w:szCs w:val="18"/>
          <w:color w:val="auto"/>
        </w:rPr>
      </w:pPr>
    </w:p>
    <w:p>
      <w:pPr>
        <w:ind w:left="1020" w:right="440" w:hanging="503"/>
        <w:spacing w:after="0" w:line="324"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which created new federal criminal statutes that prohibit, among other things, executing a scheme to defraud any healthcare benefit program and making false statements relating to healthcare matters;</w:t>
      </w:r>
    </w:p>
    <w:p>
      <w:pPr>
        <w:spacing w:after="0" w:line="16" w:lineRule="exact"/>
        <w:rPr>
          <w:rFonts w:ascii="Arial" w:cs="Arial" w:eastAsia="Arial" w:hAnsi="Arial"/>
          <w:sz w:val="16"/>
          <w:szCs w:val="16"/>
          <w:color w:val="auto"/>
        </w:rPr>
      </w:pPr>
    </w:p>
    <w:p>
      <w:pPr>
        <w:ind w:left="1020" w:hanging="503"/>
        <w:spacing w:after="0" w:line="24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91"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which requires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other healthcare providers (such as physician assistants and nurse practitioners), and teaching hospitals, and ownership and investment interests held by physicians and other healthcare providers and their immediate family members;</w:t>
      </w:r>
    </w:p>
    <w:p>
      <w:pPr>
        <w:spacing w:after="0" w:line="9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4" w:lineRule="exact"/>
        <w:rPr>
          <w:rFonts w:ascii="Arial" w:cs="Arial" w:eastAsia="Arial" w:hAnsi="Arial"/>
          <w:sz w:val="17"/>
          <w:szCs w:val="17"/>
          <w:color w:val="auto"/>
        </w:rPr>
      </w:pPr>
    </w:p>
    <w:p>
      <w:pPr>
        <w:ind w:left="1020" w:right="80" w:hanging="503"/>
        <w:spacing w:after="0" w:line="279"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due to our inability to obtain regulatory approval. While there have been recent Veterans Health Administration policy changes that appear to allow for sale of drugs from non-TAA approved countries, this policy may change or there may be additional policies or legislation that affect our ability to sell drug to the U.S. Government.</w:t>
      </w:r>
    </w:p>
    <w:p>
      <w:pPr>
        <w:spacing w:after="0" w:line="175"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require us to maintain costly compliance programs.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U.S. Securities and Exchange Commission (“SEC”) is involved with enforcement of the books and records provisions of the FCPA.</w:t>
      </w:r>
    </w:p>
    <w:p>
      <w:pPr>
        <w:spacing w:after="0" w:line="17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7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 it may result in material misstatements in our financial statements.*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Internal controls and remediation efforts place a significant burden on management and add increased pressure on our financial resources and processes. If we experience material weaknesses or otherwise fail to maintain an effective system of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U.S. healthcare reform may adversely affect our business model.</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released a Comprehensive Plan for Addressing High Drug Prices that outlines principles for drug pricing reform. The plan sets out a variety of potential legislative policies that Congress could pursue as well as potential administrative actions the U.S. Department of Health and Human Services can take to advance these principles. In addition, on August 16, 2022, President Biden signed the Inflation Reduction Act of 2022 into law, which among other things,</w:t>
      </w:r>
    </w:p>
    <w:p>
      <w:pPr>
        <w:spacing w:after="0" w:line="2" w:lineRule="exact"/>
        <w:rPr>
          <w:sz w:val="20"/>
          <w:szCs w:val="20"/>
          <w:color w:val="auto"/>
        </w:rPr>
      </w:pPr>
    </w:p>
    <w:p>
      <w:pPr>
        <w:ind w:firstLine="8"/>
        <w:spacing w:after="0" w:line="256"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directs the U.S. Department of Health and Human Services to negotiate the price of certain single-source drugs or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Inflation Reduction Act of 2022 will be implemented but is likely to have a significant impact on the pharmaceutical industry. Further, the Biden administration released an additional executive order on October 14, 2022, directing U.S. Department of Health and Human Services to submit a report within ninety (90) days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w:t>
      </w:r>
    </w:p>
    <w:p>
      <w:pPr>
        <w:spacing w:after="0" w:line="26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04"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03"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to our international operations, many of which may be beyond our control. These risks include:</w:t>
      </w:r>
    </w:p>
    <w:p>
      <w:pPr>
        <w:spacing w:after="0" w:line="115"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different regulatory requirements in different countries, including for drug approvals, manufacturing, and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right="4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 and changes in tariffs and trade barriers;</w:t>
      </w:r>
    </w:p>
    <w:p>
      <w:pPr>
        <w:spacing w:after="0" w:line="103"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weakness, including inflation, or foreign currency fluctuations, which could result in increased operating costs and expenses and reduced revenues, and other obligations incident to doing business in another country;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political instability in particular foreign economies and markets; and</w:t>
      </w:r>
    </w:p>
    <w:p>
      <w:pPr>
        <w:spacing w:after="0" w:line="117"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66"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The China-operations portion of our audit is conducted by an independent registered public accounting firm that is not subject to inspection by the Public Company Accounting Oversight Board (“PCAOB”), which may negatively impact investor sentiment towards FibroGen or our China operations, which could adversely affect the market price of our common stock.</w:t>
      </w:r>
    </w:p>
    <w:p>
      <w:pPr>
        <w:spacing w:after="0" w:line="87"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majority of audit work incurred for the audit report included in the 2021 Form 10-K was performed by the U.S.-based independent registered public accounting firm we have retained, PricewaterhouseCoopers LLP, which is headquartered in the U.S. and was not identified in the report issued by the PCAOB on December 16, 2021 as a firm that the PCAOB was unable to inspect.</w:t>
      </w:r>
    </w:p>
    <w:p>
      <w:pPr>
        <w:spacing w:after="0" w:line="195"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However, we estimate that between 20% and 30% of the total audit hours for our December 31, 2021 audit were provided by PricewaterhouseCoopers Zhong Tian LLP, which is headquartered in China. PricewaterhouseCoopers Zhong Tian LLP was identified in the report issued by the PCAOB on December 16, 2021 as a firm the PCAOB was unable to inspect.</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As PricewaterhouseCoopers Zhong Tian LLP is located in China, a jurisdiction where the PCAOB has been unable to conduct inspections without the approval of the Chinese authorities, they are not currently subject to inspection. Amongst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On June 22, 2021, the U.S. Senate passed the Accelerating Holding Foreign Companies Accountable Act (the “AHFCAA”), which, if enacted, would amend the HFCAA and require the SEC to prohibit an issuer’s securities from trading on any U.S. stock exchange if its auditor is not subject to PCAOB inspections for two consecutive “non-inspection” years instead of three, thus reducing the time period before our securities may be prohibited from trading or delisted. On February 4, 2022, the U.S. House of Representatives passed the America COMPETES Act of 2022, which includes the exact same amendment as the bill passed by the Senate. The America COMPETES Act of 2022, however, includes a broader range of legislation than the AHFCAA in response to the U.S. Innovation and Competition Act passed by the U.S. Senate in 2021. The U.S. House of Representatives and the U.S. Senate will need to agree on amendments to these respective bills to allow the legislature to pass their amended bills before the President can sign into law. It is unclear when the U.S. Senate and the U.S. House of Representatives will resolve the differences or if and when the President will sign the bill to make the amendments into law.</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December 16, 2021, the PCAOB issued a report on its determination that it is unable to inspect or investigate completely PCAOB-registered accounting firms headquartered in China and in Hong Kong. PricewaterhouseCoopers Zhong Tian LLP was named in this report.</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The Nasdaq Global Select Market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spacing w:after="0" w:line="1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evaluating the effectiveness of such audits and such auditors’ quality control procedures. The component of our audit that was performed by PricewaterhouseCoopers Zhong Tian LLP and the work papers associated with such audit work is not currently subject to inspection by the PCAOB. As a result, investors are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and China relations, as well as relations with other countries, and/or regulations may adversely impact our business.</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94"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30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2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9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collaboration partner in China, AstraZeneca, and we may experience difficulties in successfully growing and sustaining sales of roxadustat in China.</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2022, approximately $63.1 million of our cash and cash equivalents is held in China.</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as well as our partner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operations in Japan and Europe, which could adversely affect our financial performance.</w:t>
      </w:r>
    </w:p>
    <w:p>
      <w:pPr>
        <w:spacing w:after="0" w:line="4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8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49"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Such proposed changes, as well as regulations and legal decisions interpreting and applying these changes, may adversely impact our effective tax rate.</w:t>
      </w:r>
    </w:p>
    <w:p>
      <w:pPr>
        <w:spacing w:after="0" w:line="17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and regulations could have a material adverse effect on us.</w:t>
      </w:r>
    </w:p>
    <w:p>
      <w:pPr>
        <w:spacing w:after="0" w:line="11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Chinese requirements, approvals or permissions in the future.</w:t>
      </w:r>
    </w:p>
    <w:p>
      <w:pPr>
        <w:spacing w:after="0" w:line="10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57"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Arial" w:cs="Arial" w:eastAsia="Arial" w:hAnsi="Arial"/>
          <w:sz w:val="18"/>
          <w:szCs w:val="18"/>
          <w:i w:val="1"/>
          <w:iCs w:val="1"/>
          <w:color w:val="auto"/>
        </w:rPr>
        <w:t>Uncertainties with respect to the China legal system and regulations could have a material adverse effect on</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There can be no assurance that we will not be subject to new or changing requirements, approvals or permissions in the future in order to operate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w:t>
      </w:r>
    </w:p>
    <w:p>
      <w:pPr>
        <w:spacing w:after="0" w:line="18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Arial" w:cs="Arial" w:eastAsia="Arial" w:hAnsi="Arial"/>
          <w:sz w:val="17"/>
          <w:szCs w:val="17"/>
          <w:i w:val="1"/>
          <w:iCs w:val="1"/>
          <w:color w:val="auto"/>
        </w:rPr>
        <w:t>Uncertainties with respect</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China legal system and regulations could have a material adverse effect on us.</w:t>
      </w:r>
      <w:r>
        <w:rPr>
          <w:rFonts w:ascii="Arial" w:cs="Arial" w:eastAsia="Arial" w:hAnsi="Arial"/>
          <w:sz w:val="17"/>
          <w:szCs w:val="17"/>
          <w:color w:val="auto"/>
        </w:rPr>
        <w:t>” If in the future the Chinese government determines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4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COVID-19 global pandemic.*</w:t>
      </w:r>
    </w:p>
    <w:p>
      <w:pPr>
        <w:spacing w:after="0" w:line="117"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The COVID-19 pandemic may continue to negatively impact our and/or our partners’ sales of roxadustat, clinical programs and timelines, and general productivity, the magnitude of which will depend, in part, on the progression of the disease, the efficacy of various mitigation efforts, including vaccines and other therapeutics in preventing and treating current and future COVID-19 variants, and restrictions (including lockdowns) governments impose in response to new outbreaks of COVID-19 variants.</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During the pandemic, we have seen impacts from COVID-19 on various parts of our operations and at varying degrees. Currently, the greatest risks from COVID-19 are regarding enrollment of our ZEPHYRUS-2 Phase 3 IPF trial and our sales and manufacturing operations in China due to varying degrees of lockdowns there. There is a risk that our sales, manufacturing, clinical trials and operations could be further affected by additional or continued COVID-19 outbreaks or lockdowns, which could slow or pause enrollment, site initiation, manufacturing or sales. In addition, while we are trying to mitigate the effect of COVID-19 on existing patients, it is possible that some patients may not be able to continue to comply with protocols, which could further delay our clinical trial progress.</w:t>
      </w:r>
    </w:p>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believe we have sufficient stock of roxadustat and pamrevlumab supplies for our near-term expected commercial and clinical requirements. However, we only have a limited stockpile of these products, and therefore, further outbreaks of COVID-19, lockdowns like the ones in China, disruptions in shipping, or product expiration due to slowed clinical trials, could create supply shortages in our global supply chains. COVID-19 has also created increased demand for the limited global biologics manufacturing capacity, and for manufacturing supplies, including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8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Due to these and potentially additional business disruptions, there may be delays to any of our business areas including those outlined above, as well as in regulatory, distribution, warehousing and other development, commercialization and launch efforts. In addition, COVID-19 presents an ongoing health risk to our employees, including members of senior management, thus potentially limiting productivity. The full extent of these potential effects is unknown, but any of which could have a material impact on our business, operating results, and financial condition.</w:t>
      </w:r>
    </w:p>
    <w:p>
      <w:pPr>
        <w:spacing w:after="0" w:line="16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7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2021, 2020 and 2019 were $290.0 million, $189.3 million and $77.0 million, respectively. As of September 30, 2022, we had an accumulated deficit of $1.5 billion. As of September 30, 2022, we had capital resources consisting of cash, cash equivalents and short-term investments of $408.5 million plus $17.8 million of long-term investments classified as available for sale securities. In addition, as of September 30, 2022, we had $15.3 million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64"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Accordingly, we may seek additional funds sooner than planned. We may also seek additional capital due to favorable market conditions or strategic considerations even if we currently believe that we have sufficient funds for our current or future operating plans.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financings.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we recently entered into a financing arrangement with an affiliate of NovaQuest Capital Management (“NovaQuest”) that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8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79" w:lineRule="exact"/>
        <w:rPr>
          <w:sz w:val="20"/>
          <w:szCs w:val="20"/>
          <w:color w:val="auto"/>
        </w:rPr>
      </w:pPr>
    </w:p>
    <w:p>
      <w:pPr>
        <w:jc w:val="both"/>
        <w:ind w:right="440"/>
        <w:spacing w:after="0" w:line="303" w:lineRule="auto"/>
        <w:rPr>
          <w:sz w:val="20"/>
          <w:szCs w:val="20"/>
          <w:color w:val="auto"/>
        </w:rPr>
      </w:pPr>
      <w:r>
        <w:rPr>
          <w:rFonts w:ascii="Arial" w:cs="Arial" w:eastAsia="Arial" w:hAnsi="Arial"/>
          <w:sz w:val="16"/>
          <w:szCs w:val="16"/>
          <w:b w:val="1"/>
          <w:bCs w:val="1"/>
          <w:i w:val="1"/>
          <w:iCs w:val="1"/>
          <w:color w:val="auto"/>
        </w:rPr>
        <w:t>Our non-dilutive transaction with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4, 2022, we entered into a revenue interest financing agreement (“RIFA”) with NovaQuest with respect to our royalties from Astellas’ sales of roxadustat in Europe, Japan and the other Astellas territories.</w:t>
      </w:r>
    </w:p>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RIFA, NovaQuest has agreed to pay us an investment amount equal to $50.0 million in consideration for certain royalty and other revenue payments we will make to NovaQuest.</w:t>
      </w:r>
    </w:p>
    <w:p>
      <w:pPr>
        <w:spacing w:after="0" w:line="18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details about this financing transaction, see Note 9, </w:t>
      </w:r>
      <w:r>
        <w:rPr>
          <w:rFonts w:ascii="Arial" w:cs="Arial" w:eastAsia="Arial" w:hAnsi="Arial"/>
          <w:sz w:val="18"/>
          <w:szCs w:val="18"/>
          <w:i w:val="1"/>
          <w:iCs w:val="1"/>
          <w:color w:val="auto"/>
        </w:rPr>
        <w:t>Subsequent Event</w:t>
      </w:r>
      <w:r>
        <w:rPr>
          <w:rFonts w:ascii="Arial" w:cs="Arial" w:eastAsia="Arial" w:hAnsi="Arial"/>
          <w:sz w:val="18"/>
          <w:szCs w:val="18"/>
          <w:color w:val="auto"/>
        </w:rPr>
        <w:t>, to the condensed consolidated financial statements.</w:t>
      </w:r>
    </w:p>
    <w:p>
      <w:pPr>
        <w:spacing w:after="0" w:line="2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obligations under the RIFA could have significant negative consequences for our shareholders, and our business, results of operations and financial condition by, among other things:</w:t>
      </w:r>
    </w:p>
    <w:p>
      <w:pPr>
        <w:spacing w:after="0" w:line="49"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limiting our ability to obtain additional non-dilutive financing or enter into collaboration or partnership agreements of a certain size;</w:t>
      </w:r>
    </w:p>
    <w:p>
      <w:pPr>
        <w:spacing w:after="0" w:line="115" w:lineRule="exact"/>
        <w:rPr>
          <w:rFonts w:ascii="Arial" w:cs="Arial" w:eastAsia="Arial" w:hAnsi="Arial"/>
          <w:sz w:val="17"/>
          <w:szCs w:val="17"/>
          <w:color w:val="auto"/>
        </w:rPr>
      </w:pPr>
    </w:p>
    <w:p>
      <w:pPr>
        <w:ind w:left="1020" w:right="360" w:hanging="503"/>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requiring the dedication of a portion of our cash flow from operations to service our indebtedness, which will reduce the amount of cash available for other purposes;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 and</w:t>
      </w:r>
    </w:p>
    <w:p>
      <w:pPr>
        <w:spacing w:after="0" w:line="128"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fail to comply with the terms of the RIFA, resulting in an event of default that is not cured or waived, NovaQuest could seek to enforce their security interest in assets relating to roxadustat that secures such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extent we incur additional debt, the risks described above could increase.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we may require additional partnering in order to help fund such development and commercialization.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AstraZeneca U.S./RoW Agreement will be amended or terminated. If adequate funds or partners are not available to us on a timely basis or on favorable terms, we may be required to delay, limit, reduce or terminate our development or commercialization efforts or other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04"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9"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49"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Board of Directors also received two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spacing w:after="0" w:line="17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refer to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82"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termination of further development of unapproved product candidates or significantly reduced demand for any approved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recalls, product withdrawals or labeling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04"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have continued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September 2022,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0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2"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03"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activities of the government of China, including those related to the pharmaceutical industry as well as industrial policy generally;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refer to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of October 31, 2022, our executive officers, directors and principal stockholders, together with their respective affiliates, owned approximately 54.80%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the date of this filing.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87" w:lineRule="exact"/>
        <w:rPr>
          <w:sz w:val="20"/>
          <w:szCs w:val="20"/>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4"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4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1020" w:right="30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15"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57"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3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0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2"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7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For example, the Derivative Litigation has been brought in federal court in California, despite the exclusive forum provision.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7"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9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or our share price could be negatively affected as a result of shareholder proposals or actions.</w:t>
      </w:r>
    </w:p>
    <w:p>
      <w:pPr>
        <w:spacing w:after="0" w:line="10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15"/>
          </w:tcPr>
          <w:p>
            <w:pPr>
              <w:ind w:left="1480"/>
              <w:spacing w:after="0"/>
              <w:rPr>
                <w:sz w:val="20"/>
                <w:szCs w:val="20"/>
                <w:color w:val="auto"/>
              </w:rPr>
            </w:pPr>
            <w:r>
              <w:rPr>
                <w:rFonts w:ascii="Arial" w:cs="Arial" w:eastAsia="Arial" w:hAnsi="Arial"/>
                <w:sz w:val="14"/>
                <w:szCs w:val="14"/>
                <w:b w:val="1"/>
                <w:bCs w:val="1"/>
                <w:color w:val="auto"/>
              </w:rPr>
              <w:t>Exhibit Description</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5760" w:type="dxa"/>
            <w:vAlign w:val="bottom"/>
            <w:gridSpan w:val="17"/>
          </w:tcPr>
          <w:p>
            <w:pPr>
              <w:spacing w:after="0"/>
              <w:rPr>
                <w:rFonts w:ascii="Arial" w:cs="Arial" w:eastAsia="Arial" w:hAnsi="Arial"/>
                <w:sz w:val="18"/>
                <w:szCs w:val="18"/>
                <w:color w:val="0000FF"/>
              </w:rPr>
            </w:pPr>
            <w:hyperlink r:id="rId490">
              <w:r>
                <w:rPr>
                  <w:rFonts w:ascii="Arial" w:cs="Arial" w:eastAsia="Arial" w:hAnsi="Arial"/>
                  <w:sz w:val="18"/>
                  <w:szCs w:val="18"/>
                  <w:color w:val="0000FF"/>
                </w:rPr>
                <w:t>Amended and Restated Certificate of Incorporation of FibroGen, Inc.</w:t>
              </w:r>
            </w:hyperlink>
          </w:p>
        </w:tc>
      </w:tr>
      <w:tr>
        <w:trPr>
          <w:trHeight w:val="412"/>
        </w:trPr>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980" w:type="dxa"/>
            <w:vAlign w:val="bottom"/>
            <w:tcBorders>
              <w:top w:val="single" w:sz="8" w:color="0000FF"/>
            </w:tcBorders>
            <w:gridSpan w:val="10"/>
          </w:tcPr>
          <w:p>
            <w:pPr>
              <w:spacing w:after="0"/>
              <w:rPr>
                <w:rFonts w:ascii="Arial" w:cs="Arial" w:eastAsia="Arial" w:hAnsi="Arial"/>
                <w:sz w:val="18"/>
                <w:szCs w:val="18"/>
                <w:color w:val="0000FF"/>
              </w:rPr>
            </w:pPr>
            <w:hyperlink r:id="rId491">
              <w:r>
                <w:rPr>
                  <w:rFonts w:ascii="Arial" w:cs="Arial" w:eastAsia="Arial" w:hAnsi="Arial"/>
                  <w:sz w:val="18"/>
                  <w:szCs w:val="18"/>
                  <w:color w:val="0000FF"/>
                </w:rPr>
                <w:t>Amended and Restated Bylaws of FibroGen, Inc.</w:t>
              </w:r>
            </w:hyperlink>
          </w:p>
        </w:tc>
        <w:tc>
          <w:tcPr>
            <w:tcW w:w="780" w:type="dxa"/>
            <w:vAlign w:val="bottom"/>
            <w:gridSpan w:val="7"/>
          </w:tcPr>
          <w:p>
            <w:pPr>
              <w:spacing w:after="0"/>
              <w:rPr>
                <w:sz w:val="24"/>
                <w:szCs w:val="24"/>
                <w:color w:val="auto"/>
              </w:rPr>
            </w:pPr>
          </w:p>
        </w:tc>
      </w:tr>
      <w:tr>
        <w:trPr>
          <w:trHeight w:val="412"/>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540" w:type="dxa"/>
            <w:vAlign w:val="bottom"/>
            <w:tcBorders>
              <w:top w:val="single" w:sz="8" w:color="0000FF"/>
            </w:tcBorders>
            <w:gridSpan w:val="7"/>
          </w:tcPr>
          <w:p>
            <w:pPr>
              <w:spacing w:after="0"/>
              <w:rPr>
                <w:rFonts w:ascii="Arial" w:cs="Arial" w:eastAsia="Arial" w:hAnsi="Arial"/>
                <w:sz w:val="18"/>
                <w:szCs w:val="18"/>
                <w:color w:val="0000FF"/>
              </w:rPr>
            </w:pPr>
            <w:hyperlink r:id="rId492">
              <w:r>
                <w:rPr>
                  <w:rFonts w:ascii="Arial" w:cs="Arial" w:eastAsia="Arial" w:hAnsi="Arial"/>
                  <w:sz w:val="18"/>
                  <w:szCs w:val="18"/>
                  <w:color w:val="0000FF"/>
                </w:rPr>
                <w:t>Form of Common Stock Certificate.</w:t>
              </w:r>
            </w:hyperlink>
          </w:p>
        </w:tc>
        <w:tc>
          <w:tcPr>
            <w:tcW w:w="2220" w:type="dxa"/>
            <w:vAlign w:val="bottom"/>
            <w:gridSpan w:val="10"/>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760" w:type="dxa"/>
            <w:vAlign w:val="bottom"/>
            <w:gridSpan w:val="17"/>
          </w:tcPr>
          <w:p>
            <w:pPr>
              <w:spacing w:after="0"/>
              <w:rPr>
                <w:rFonts w:ascii="Arial" w:cs="Arial" w:eastAsia="Arial" w:hAnsi="Arial"/>
                <w:sz w:val="18"/>
                <w:szCs w:val="18"/>
                <w:color w:val="0000FF"/>
                <w:w w:val="98"/>
              </w:rPr>
            </w:pPr>
            <w:hyperlink r:id="rId493">
              <w:r>
                <w:rPr>
                  <w:rFonts w:ascii="Arial" w:cs="Arial" w:eastAsia="Arial" w:hAnsi="Arial"/>
                  <w:sz w:val="18"/>
                  <w:szCs w:val="18"/>
                  <w:color w:val="0000FF"/>
                  <w:w w:val="98"/>
                </w:rPr>
                <w:t>Common Stock Purchase Agreement by and between FibroGen, Inc. and</w:t>
              </w:r>
            </w:hyperlink>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493">
              <w:r>
                <w:rPr>
                  <w:rFonts w:ascii="Arial" w:cs="Arial" w:eastAsia="Arial" w:hAnsi="Arial"/>
                  <w:sz w:val="18"/>
                  <w:szCs w:val="18"/>
                  <w:color w:val="0000FF"/>
                  <w:w w:val="89"/>
                </w:rPr>
                <w:t>AstraZeneca AB, dated as of October 20, 2014.</w:t>
              </w:r>
            </w:hyperlink>
          </w:p>
        </w:tc>
        <w:tc>
          <w:tcPr>
            <w:tcW w:w="20" w:type="dxa"/>
            <w:vAlign w:val="bottom"/>
            <w:tcBorders>
              <w:top w:val="single" w:sz="8" w:color="0000FF"/>
              <w:bottom w:val="single" w:sz="8" w:color="0000EE"/>
            </w:tcBorders>
          </w:tcPr>
          <w:p>
            <w:pPr>
              <w:spacing w:after="0"/>
              <w:rPr>
                <w:sz w:val="13"/>
                <w:szCs w:val="13"/>
                <w:color w:val="auto"/>
              </w:rPr>
            </w:pPr>
          </w:p>
        </w:tc>
        <w:tc>
          <w:tcPr>
            <w:tcW w:w="1840" w:type="dxa"/>
            <w:vAlign w:val="bottom"/>
            <w:tcBorders>
              <w:top w:val="single" w:sz="8" w:color="0000FF"/>
            </w:tcBorders>
            <w:gridSpan w:val="5"/>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0"/>
                <w:szCs w:val="20"/>
                <w:color w:val="auto"/>
              </w:rPr>
            </w:pPr>
          </w:p>
        </w:tc>
        <w:tc>
          <w:tcPr>
            <w:tcW w:w="5760" w:type="dxa"/>
            <w:vAlign w:val="bottom"/>
            <w:gridSpan w:val="17"/>
          </w:tcPr>
          <w:p>
            <w:pPr>
              <w:spacing w:after="0"/>
              <w:rPr>
                <w:rFonts w:ascii="Arial" w:cs="Arial" w:eastAsia="Arial" w:hAnsi="Arial"/>
                <w:sz w:val="18"/>
                <w:szCs w:val="18"/>
                <w:color w:val="0000FF"/>
                <w:w w:val="95"/>
              </w:rPr>
            </w:pPr>
            <w:hyperlink r:id="rId494">
              <w:r>
                <w:rPr>
                  <w:rFonts w:ascii="Arial" w:cs="Arial" w:eastAsia="Arial" w:hAnsi="Arial"/>
                  <w:sz w:val="18"/>
                  <w:szCs w:val="18"/>
                  <w:color w:val="0000FF"/>
                  <w:w w:val="95"/>
                </w:rPr>
                <w:t>Equity Distribution Agreement, dated August 8, 2022, among FibroGen, Inc.</w:t>
              </w:r>
            </w:hyperlink>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494">
              <w:r>
                <w:rPr>
                  <w:rFonts w:ascii="Arial" w:cs="Arial" w:eastAsia="Arial" w:hAnsi="Arial"/>
                  <w:sz w:val="18"/>
                  <w:szCs w:val="18"/>
                  <w:color w:val="0000FF"/>
                  <w:w w:val="91"/>
                </w:rPr>
                <w:t>and Goldman Sachs &amp; Co. LLC.</w:t>
              </w:r>
            </w:hyperlink>
          </w:p>
        </w:tc>
        <w:tc>
          <w:tcPr>
            <w:tcW w:w="324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0000FF"/>
                <w:w w:val="93"/>
              </w:rPr>
              <w:t>Certification of Chief Executive Officer, as required by Rule 13a-14(a) or Rule</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9"/>
              </w:rPr>
              <w:t>15d-14(a).</w:t>
            </w:r>
          </w:p>
        </w:tc>
        <w:tc>
          <w:tcPr>
            <w:tcW w:w="20" w:type="dxa"/>
            <w:vAlign w:val="bottom"/>
            <w:tcBorders>
              <w:top w:val="single" w:sz="8" w:color="0000FF"/>
              <w:bottom w:val="single" w:sz="8" w:color="0000EE"/>
            </w:tcBorders>
          </w:tcPr>
          <w:p>
            <w:pPr>
              <w:spacing w:after="0"/>
              <w:rPr>
                <w:sz w:val="13"/>
                <w:szCs w:val="13"/>
                <w:color w:val="auto"/>
              </w:rPr>
            </w:pPr>
          </w:p>
        </w:tc>
        <w:tc>
          <w:tcPr>
            <w:tcW w:w="49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0000FF"/>
                <w:w w:val="94"/>
              </w:rPr>
              <w:t>Certification of Chief Financial Officer, as required by Rule 13a-14(a) or Rule</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9"/>
              </w:rPr>
              <w:t>15d-14(a).</w:t>
            </w:r>
          </w:p>
        </w:tc>
        <w:tc>
          <w:tcPr>
            <w:tcW w:w="20" w:type="dxa"/>
            <w:vAlign w:val="bottom"/>
            <w:tcBorders>
              <w:top w:val="single" w:sz="8" w:color="0000FF"/>
              <w:bottom w:val="single" w:sz="8" w:color="0000EE"/>
            </w:tcBorders>
          </w:tcPr>
          <w:p>
            <w:pPr>
              <w:spacing w:after="0"/>
              <w:rPr>
                <w:sz w:val="13"/>
                <w:szCs w:val="13"/>
                <w:color w:val="auto"/>
              </w:rPr>
            </w:pPr>
          </w:p>
        </w:tc>
        <w:tc>
          <w:tcPr>
            <w:tcW w:w="49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7"/>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0000FF"/>
                <w:w w:val="95"/>
              </w:rPr>
              <w:t>Certification of Principal Executive Officer and Principal Financial Officer, as</w:t>
            </w: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1"/>
              </w:rPr>
              <w:t>required by Rule 13a-14(b) or Rule 15d-14(b) and Section 1350 of Chapter 63</w:t>
            </w: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1"/>
              </w:rPr>
              <w:t>of Title 18 of the United States Code (18 U.S.C. §1350)(1)).</w:t>
            </w:r>
          </w:p>
        </w:tc>
        <w:tc>
          <w:tcPr>
            <w:tcW w:w="20" w:type="dxa"/>
            <w:vAlign w:val="bottom"/>
            <w:tcBorders>
              <w:bottom w:val="single" w:sz="8" w:color="0000EE"/>
            </w:tcBorders>
          </w:tcPr>
          <w:p>
            <w:pPr>
              <w:spacing w:after="0"/>
              <w:rPr>
                <w:sz w:val="13"/>
                <w:szCs w:val="13"/>
                <w:color w:val="auto"/>
              </w:rPr>
            </w:pPr>
          </w:p>
        </w:tc>
        <w:tc>
          <w:tcPr>
            <w:tcW w:w="13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7"/>
        </w:trPr>
        <w:tc>
          <w:tcPr>
            <w:tcW w:w="8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0"/>
                <w:szCs w:val="20"/>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w w:val="91"/>
              </w:rPr>
              <w:t>Inline XBRL Instance Document: the instance document does not appear in the</w:t>
            </w:r>
          </w:p>
        </w:tc>
      </w:tr>
      <w:tr>
        <w:trPr>
          <w:trHeight w:val="176"/>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60" w:type="dxa"/>
            <w:vAlign w:val="bottom"/>
            <w:gridSpan w:val="17"/>
          </w:tcPr>
          <w:p>
            <w:pPr>
              <w:spacing w:after="0" w:line="176" w:lineRule="exact"/>
              <w:rPr>
                <w:sz w:val="20"/>
                <w:szCs w:val="20"/>
                <w:color w:val="auto"/>
              </w:rPr>
            </w:pPr>
            <w:r>
              <w:rPr>
                <w:rFonts w:ascii="Arial" w:cs="Arial" w:eastAsia="Arial" w:hAnsi="Arial"/>
                <w:sz w:val="18"/>
                <w:szCs w:val="18"/>
                <w:color w:val="auto"/>
                <w:w w:val="96"/>
              </w:rPr>
              <w:t>Interactive Data File because its XBRL tags are embedded within the Inline</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rPr>
              <w:t>XBRL document</w:t>
            </w:r>
          </w:p>
        </w:tc>
      </w:tr>
      <w:tr>
        <w:trPr>
          <w:trHeight w:val="269"/>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3"/>
                <w:szCs w:val="23"/>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7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020" w:right="280" w:hanging="999"/>
        <w:spacing w:after="0" w:line="258" w:lineRule="auto"/>
        <w:tabs>
          <w:tab w:leader="none" w:pos="10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2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686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4"/>
              </w:rPr>
              <w:t>Incorporation By Reference</w:t>
            </w:r>
          </w:p>
        </w:tc>
        <w:tc>
          <w:tcPr>
            <w:tcW w:w="1280" w:type="dxa"/>
            <w:vAlign w:val="bottom"/>
            <w:tcBorders>
              <w:bottom w:val="single" w:sz="8" w:color="auto"/>
            </w:tcBorders>
          </w:tcPr>
          <w:p>
            <w:pPr>
              <w:spacing w:after="0"/>
              <w:rPr>
                <w:sz w:val="16"/>
                <w:szCs w:val="16"/>
                <w:color w:val="auto"/>
              </w:rPr>
            </w:pPr>
          </w:p>
        </w:tc>
      </w:tr>
      <w:tr>
        <w:trPr>
          <w:trHeight w:val="16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4"/>
                <w:szCs w:val="14"/>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 File No.</w:t>
            </w:r>
          </w:p>
        </w:tc>
        <w:tc>
          <w:tcPr>
            <w:tcW w:w="120" w:type="dxa"/>
            <w:vAlign w:val="bottom"/>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Filing Date</w:t>
            </w:r>
          </w:p>
        </w:tc>
      </w:tr>
      <w:tr>
        <w:trPr>
          <w:trHeight w:val="264"/>
        </w:trPr>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333-199069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333-199069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4.17</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2"/>
              </w:rPr>
              <w:t>S-3ASR</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333-266663</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08/08/2022</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621"/>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621"/>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32"/>
        </w:trPr>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780" w:space="100"/>
            <w:col w:w="436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r>
      <w:tr>
        <w:trPr>
          <w:trHeight w:val="20"/>
        </w:trPr>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912"/>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7, 2022</w:t>
            </w:r>
          </w:p>
        </w:tc>
        <w:tc>
          <w:tcPr>
            <w:tcW w:w="218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75"/>
        </w:trPr>
        <w:tc>
          <w:tcPr>
            <w:tcW w:w="3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tcPr>
          <w:p>
            <w:pPr>
              <w:spacing w:after="0"/>
              <w:rPr>
                <w:sz w:val="15"/>
                <w:szCs w:val="15"/>
                <w:color w:val="auto"/>
              </w:rPr>
            </w:pPr>
          </w:p>
        </w:tc>
      </w:tr>
      <w:tr>
        <w:trPr>
          <w:trHeight w:val="224"/>
        </w:trPr>
        <w:tc>
          <w:tcPr>
            <w:tcW w:w="3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Enrique Conterno</w:t>
            </w:r>
          </w:p>
        </w:tc>
      </w:tr>
      <w:tr>
        <w:trPr>
          <w:trHeight w:val="391"/>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05"/>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18"/>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7, 2022</w:t>
            </w:r>
          </w:p>
        </w:tc>
        <w:tc>
          <w:tcPr>
            <w:tcW w:w="218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Juan Graham</w:t>
            </w:r>
          </w:p>
        </w:tc>
      </w:tr>
      <w:tr>
        <w:trPr>
          <w:trHeight w:val="195"/>
        </w:trPr>
        <w:tc>
          <w:tcPr>
            <w:tcW w:w="3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Juan Graham</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680" w:type="dxa"/>
            <w:vAlign w:val="bottom"/>
          </w:tcPr>
          <w:p>
            <w:pPr>
              <w:spacing w:after="0"/>
              <w:rPr>
                <w:sz w:val="24"/>
                <w:szCs w:val="24"/>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102"/>
        </w:trPr>
        <w:tc>
          <w:tcPr>
            <w:tcW w:w="368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04"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03"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60" w:firstLine="517"/>
        <w:spacing w:after="0" w:line="256" w:lineRule="auto"/>
        <w:tabs>
          <w:tab w:leader="none" w:pos="7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right="40" w:firstLine="517"/>
        <w:spacing w:after="0" w:line="256" w:lineRule="auto"/>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800" w:firstLine="517"/>
        <w:spacing w:after="0" w:line="342" w:lineRule="auto"/>
        <w:tabs>
          <w:tab w:leader="none" w:pos="754"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right="260" w:firstLine="517"/>
        <w:spacing w:after="0" w:line="256" w:lineRule="auto"/>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right="180" w:firstLine="517"/>
        <w:spacing w:after="0" w:line="261" w:lineRule="auto"/>
        <w:tabs>
          <w:tab w:leader="none" w:pos="7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61" w:lineRule="auto"/>
        <w:tabs>
          <w:tab w:leader="none" w:pos="76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Enrique Conterno</w:t>
      </w:r>
    </w:p>
    <w:p>
      <w:pPr>
        <w:ind w:left="6780"/>
        <w:spacing w:after="0" w:line="219" w:lineRule="auto"/>
        <w:rPr>
          <w:sz w:val="20"/>
          <w:szCs w:val="20"/>
          <w:color w:val="auto"/>
        </w:rPr>
      </w:pPr>
      <w:r>
        <w:rPr>
          <w:rFonts w:ascii="Arial" w:cs="Arial" w:eastAsia="Arial" w:hAnsi="Arial"/>
          <w:sz w:val="18"/>
          <w:szCs w:val="18"/>
          <w:color w:val="auto"/>
        </w:rPr>
        <w:t>Chief Executive Officer</w:t>
      </w: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Juan Graham, certify that:</w:t>
      </w:r>
    </w:p>
    <w:p>
      <w:pPr>
        <w:spacing w:after="0" w:line="104"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03"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540" w:firstLine="8"/>
        <w:spacing w:after="0" w:line="291" w:lineRule="auto"/>
        <w:tabs>
          <w:tab w:leader="none" w:pos="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ind w:right="40" w:firstLine="8"/>
        <w:spacing w:after="0" w:line="248"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60" w:firstLine="517"/>
        <w:spacing w:after="0" w:line="256" w:lineRule="auto"/>
        <w:tabs>
          <w:tab w:leader="none" w:pos="7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right="40" w:firstLine="517"/>
        <w:spacing w:after="0" w:line="256" w:lineRule="auto"/>
        <w:tabs>
          <w:tab w:leader="none" w:pos="7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800" w:firstLine="517"/>
        <w:spacing w:after="0" w:line="342" w:lineRule="auto"/>
        <w:tabs>
          <w:tab w:leader="none" w:pos="754"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right="260" w:firstLine="517"/>
        <w:spacing w:after="0" w:line="256" w:lineRule="auto"/>
        <w:tabs>
          <w:tab w:leader="none" w:pos="7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right="500" w:firstLine="8"/>
        <w:spacing w:after="0" w:line="291" w:lineRule="auto"/>
        <w:tabs>
          <w:tab w:leader="none" w:pos="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right="180" w:firstLine="517"/>
        <w:spacing w:after="0" w:line="261" w:lineRule="auto"/>
        <w:tabs>
          <w:tab w:leader="none" w:pos="7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7"/>
        <w:spacing w:after="0" w:line="261" w:lineRule="auto"/>
        <w:tabs>
          <w:tab w:leader="none" w:pos="7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5"/>
          <w:szCs w:val="15"/>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Juan Graham</w:t>
      </w:r>
    </w:p>
    <w:p>
      <w:pPr>
        <w:ind w:left="6780"/>
        <w:spacing w:after="0" w:line="219" w:lineRule="auto"/>
        <w:rPr>
          <w:sz w:val="20"/>
          <w:szCs w:val="20"/>
          <w:color w:val="auto"/>
        </w:rPr>
      </w:pPr>
      <w:r>
        <w:rPr>
          <w:rFonts w:ascii="Arial" w:cs="Arial" w:eastAsia="Arial" w:hAnsi="Arial"/>
          <w:sz w:val="18"/>
          <w:szCs w:val="18"/>
          <w:color w:val="auto"/>
        </w:rPr>
        <w:t>Senior Vice President and Chief Financial Officer</w:t>
      </w: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p>
      <w:pPr>
        <w:spacing w:after="0" w:line="177" w:lineRule="exact"/>
        <w:rPr>
          <w:sz w:val="20"/>
          <w:szCs w:val="20"/>
          <w:color w:val="auto"/>
        </w:rPr>
      </w:pPr>
    </w:p>
    <w:p>
      <w:pPr>
        <w:ind w:left="520" w:hanging="512"/>
        <w:spacing w:after="0" w:line="261"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2022</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7</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Enrique Conterno</w:t>
            </w:r>
          </w:p>
        </w:tc>
        <w:tc>
          <w:tcPr>
            <w:tcW w:w="112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Graham</w:t>
            </w:r>
          </w:p>
        </w:tc>
      </w:tr>
      <w:tr>
        <w:trPr>
          <w:trHeight w:val="195"/>
        </w:trPr>
        <w:tc>
          <w:tcPr>
            <w:tcW w:w="5080" w:type="dxa"/>
            <w:vAlign w:val="bottom"/>
          </w:tcPr>
          <w:p>
            <w:pPr>
              <w:ind w:left="20"/>
              <w:spacing w:after="0" w:line="195"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Juan Graham</w:t>
            </w: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w:t>
            </w:r>
          </w:p>
        </w:tc>
        <w:tc>
          <w:tcPr>
            <w:tcW w:w="11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Senior Vice President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560"/>
        <w:spacing w:after="0" w:line="303"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3"/>
    </w:lvl>
  </w:abstractNum>
  <w:abstractNum w:abstractNumId="7">
    <w:nsid w:val="2463B9EA"/>
    <w:multiLevelType w:val="hybridMultilevel"/>
    <w:lvl w:ilvl="0">
      <w:lvlJc w:val="left"/>
      <w:lvlText w:val="%1."/>
      <w:numFmt w:val="decimal"/>
      <w:start w:val="4"/>
    </w:lvl>
  </w:abstractNum>
  <w:abstractNum w:abstractNumId="8">
    <w:nsid w:val="5E884ADC"/>
    <w:multiLevelType w:val="hybridMultilevel"/>
    <w:lvl w:ilvl="0">
      <w:lvlJc w:val="left"/>
      <w:lvlText w:val="%1."/>
      <w:numFmt w:val="decimal"/>
      <w:start w:val="5"/>
    </w:lvl>
  </w:abstractNum>
  <w:abstractNum w:abstractNumId="9">
    <w:nsid w:val="51EAD36B"/>
    <w:multiLevelType w:val="hybridMultilevel"/>
    <w:lvl w:ilvl="0">
      <w:lvlJc w:val="left"/>
      <w:lvlText w:val="%1."/>
      <w:numFmt w:val="decimal"/>
      <w:start w:val="6"/>
    </w:lvl>
  </w:abstractNum>
  <w:abstractNum w:abstractNumId="10">
    <w:nsid w:val="2D517796"/>
    <w:multiLevelType w:val="hybridMultilevel"/>
    <w:lvl w:ilvl="0">
      <w:lvlJc w:val="left"/>
      <w:lvlText w:val="%1."/>
      <w:numFmt w:val="decimal"/>
      <w:start w:val="7"/>
    </w:lvl>
  </w:abstractNum>
  <w:abstractNum w:abstractNumId="11">
    <w:nsid w:val="580BD78F"/>
    <w:multiLevelType w:val="hybridMultilevel"/>
    <w:lvl w:ilvl="0">
      <w:lvlJc w:val="left"/>
      <w:lvlText w:val="%1."/>
      <w:numFmt w:val="decimal"/>
      <w:start w:val="8"/>
    </w:lvl>
  </w:abstractNum>
  <w:abstractNum w:abstractNumId="12">
    <w:nsid w:val="153EA438"/>
    <w:multiLevelType w:val="hybridMultilevel"/>
    <w:lvl w:ilvl="0">
      <w:lvlJc w:val="left"/>
      <w:lvlText w:val="%1."/>
      <w:numFmt w:val="decimal"/>
      <w:start w:val="9"/>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lvl w:ilvl="1">
      <w:lvlJc w:val="left"/>
      <w:lvlText w:val="%2"/>
      <w:numFmt w:val="decimal"/>
      <w:start w:val="104"/>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490" Type="http://schemas.openxmlformats.org/officeDocument/2006/relationships/hyperlink" Target="https://www.sec.gov/Archives/edgar/data/921299/000119312514420380/d824859dex31.htm" TargetMode="External"/><Relationship Id="rId491" Type="http://schemas.openxmlformats.org/officeDocument/2006/relationships/hyperlink" Target="https://www.sec.gov/Archives/edgar/data/921299/000119312514380087/d720189dex34.htm" TargetMode="External"/><Relationship Id="rId492" Type="http://schemas.openxmlformats.org/officeDocument/2006/relationships/hyperlink" Target="https://www.sec.gov/Archives/edgar/data/921299/000119312514420380/d824859dex41.htm" TargetMode="External"/><Relationship Id="rId493" Type="http://schemas.openxmlformats.org/officeDocument/2006/relationships/hyperlink" Target="https://www.sec.gov/Archives/edgar/data/0000921299/000119312514381669/d720189dex417.htm" TargetMode="External"/><Relationship Id="rId494" Type="http://schemas.openxmlformats.org/officeDocument/2006/relationships/hyperlink" Target="https://www.sec.gov/Archives/edgar/data/921299/000119312522215039/d268272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2022-11-07T15:28:46Z</dcterms:created>
  <dcterms:modified xsi:type="dcterms:W3CDTF">2022-11-07T15:28:46Z</dcterms:modified>
</cp:coreProperties>
</file>