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fgen-20230331.htm"/>
      <w:bookmarkStart w:id="1" w:name="ksfgen20230331"/>
      <w:bookmarkEnd w:id="0"/>
      <w:bookmarkEnd w:id="1"/>
      <w:r>
        <w:rPr/>
        <w:t> </w:t>
      </w:r>
    </w:p>
    <w:p>
      <w:pPr>
        <w:pStyle w:val="TextBody"/>
        <w:spacing w:before="0" w:after="0"/>
        <w:jc w:val="left"/>
        <w:rPr/>
      </w:pPr>
      <w:r>
        <w:rPr/>
        <w:t> </w:t>
      </w:r>
    </w:p>
    <w:p>
      <w:pPr>
        <w:pStyle w:val="TextBody"/>
        <w:spacing w:before="0" w:after="0"/>
        <w:jc w:val="left"/>
        <w:rPr/>
      </w:pPr>
      <w:r>
        <w:rPr/>
        <w:t> </w:t>
      </w:r>
    </w:p>
    <w:p>
      <w:pPr>
        <w:pStyle w:val="TextBody"/>
        <w:pBdr>
          <w:bottom w:val="double" w:sz="6" w:space="1" w:color="000000"/>
        </w:pBdr>
        <w:spacing w:before="0" w:after="0"/>
        <w:jc w:val="left"/>
        <w:rPr/>
      </w:pPr>
      <w:r>
        <w:rPr/>
        <w:t> </w:t>
      </w:r>
    </w:p>
    <w:p>
      <w:pPr>
        <w:pStyle w:val="TextBody"/>
        <w:spacing w:before="8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spacing w:before="0" w:after="0"/>
        <w:jc w:val="center"/>
        <w:rPr/>
      </w:pPr>
      <w:r>
        <w:rPr/>
        <w:t> </w:t>
      </w:r>
    </w:p>
    <w:p>
      <w:pPr>
        <w:pStyle w:val="TextBody"/>
        <w:spacing w:before="120" w:after="0"/>
        <w:jc w:val="center"/>
        <w:rPr>
          <w:rFonts w:ascii="Times New Roman" w:hAnsi="Times New Roman"/>
          <w:sz w:val="20"/>
        </w:rPr>
      </w:pPr>
      <w:r>
        <w:rPr>
          <w:rFonts w:ascii="Times New Roman;serif" w:hAnsi="Times New Roman;serif"/>
          <w:b/>
          <w:caps/>
          <w:sz w:val="36"/>
        </w:rPr>
        <w:t>F</w:t>
      </w:r>
      <w:r>
        <w:rPr>
          <w:rFonts w:ascii="Times New Roman;serif" w:hAnsi="Times New Roman;serif"/>
          <w:b/>
          <w:sz w:val="36"/>
        </w:rPr>
        <w:t>orm 10-Q</w:t>
      </w:r>
    </w:p>
    <w:p>
      <w:pPr>
        <w:pStyle w:val="TextBody"/>
        <w:pBdr>
          <w:bottom w:val="single" w:sz="4" w:space="1" w:color="000000"/>
        </w:pBdr>
        <w:spacing w:before="0" w:after="0"/>
        <w:jc w:val="center"/>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(Mark One)</w:t>
      </w:r>
    </w:p>
    <w:tbl>
      <w:tblPr>
        <w:tblW w:w="10539" w:type="dxa"/>
        <w:jc w:val="left"/>
        <w:tblInd w:w="0" w:type="dxa"/>
        <w:tblCellMar>
          <w:top w:w="28" w:type="dxa"/>
          <w:left w:w="28" w:type="dxa"/>
          <w:bottom w:w="28" w:type="dxa"/>
          <w:right w:w="28" w:type="dxa"/>
        </w:tblCellMar>
      </w:tblPr>
      <w:tblGrid>
        <w:gridCol w:w="331"/>
        <w:gridCol w:w="10208"/>
      </w:tblGrid>
      <w:tr>
        <w:trPr/>
        <w:tc>
          <w:tcPr>
            <w:tcW w:w="331" w:type="dxa"/>
            <w:tcBorders/>
            <w:shd w:fill="auto" w:val="clear"/>
            <w:vAlign w:val="center"/>
          </w:tcPr>
          <w:p>
            <w:pPr>
              <w:pStyle w:val="TableContents"/>
              <w:spacing w:before="0" w:after="283"/>
              <w:rPr>
                <w:sz w:val="4"/>
                <w:szCs w:val="4"/>
              </w:rPr>
            </w:pPr>
            <w:r>
              <w:rPr>
                <w:sz w:val="4"/>
                <w:szCs w:val="4"/>
              </w:rPr>
            </w:r>
          </w:p>
        </w:tc>
        <w:tc>
          <w:tcPr>
            <w:tcW w:w="10208"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020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4"/>
              </w:rPr>
            </w:pPr>
            <w:r>
              <w:rPr>
                <w:rFonts w:ascii="Times New Roman;serif" w:hAnsi="Times New Roman;serif"/>
                <w:b/>
                <w:sz w:val="24"/>
              </w:rPr>
              <w:t>QUARTERLY REPORT PURSUANT TO SECTION 13 OR 15(d) OF THE SECURITIES EXCHANGE ACT OF 1934</w:t>
            </w:r>
          </w:p>
        </w:tc>
      </w:tr>
    </w:tbl>
    <w:p>
      <w:pPr>
        <w:pStyle w:val="TextBody"/>
        <w:spacing w:before="8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80" w:after="0"/>
        <w:jc w:val="center"/>
        <w:rPr>
          <w:rFonts w:ascii="Times New Roman;serif" w:hAnsi="Times New Roman;serif"/>
          <w:b/>
          <w:sz w:val="20"/>
        </w:rPr>
      </w:pPr>
      <w:r>
        <w:rPr>
          <w:rFonts w:ascii="Times New Roman;serif" w:hAnsi="Times New Roman;serif"/>
          <w:b/>
          <w:sz w:val="20"/>
        </w:rPr>
        <w:t>OR</w:t>
      </w:r>
    </w:p>
    <w:tbl>
      <w:tblPr>
        <w:tblW w:w="10539" w:type="dxa"/>
        <w:jc w:val="left"/>
        <w:tblInd w:w="0" w:type="dxa"/>
        <w:tblCellMar>
          <w:top w:w="28" w:type="dxa"/>
          <w:left w:w="28" w:type="dxa"/>
          <w:bottom w:w="28" w:type="dxa"/>
          <w:right w:w="28" w:type="dxa"/>
        </w:tblCellMar>
      </w:tblPr>
      <w:tblGrid>
        <w:gridCol w:w="331"/>
        <w:gridCol w:w="10208"/>
      </w:tblGrid>
      <w:tr>
        <w:trPr/>
        <w:tc>
          <w:tcPr>
            <w:tcW w:w="331" w:type="dxa"/>
            <w:tcBorders/>
            <w:shd w:fill="auto" w:val="clear"/>
            <w:vAlign w:val="center"/>
          </w:tcPr>
          <w:p>
            <w:pPr>
              <w:pStyle w:val="TableContents"/>
              <w:spacing w:before="0" w:after="283"/>
              <w:rPr>
                <w:sz w:val="4"/>
                <w:szCs w:val="4"/>
              </w:rPr>
            </w:pPr>
            <w:r>
              <w:rPr>
                <w:sz w:val="4"/>
                <w:szCs w:val="4"/>
              </w:rPr>
            </w:r>
          </w:p>
        </w:tc>
        <w:tc>
          <w:tcPr>
            <w:tcW w:w="10208"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80" w:after="0"/>
              <w:ind w:left="0" w:right="0" w:hanging="0"/>
              <w:jc w:val="left"/>
              <w:rPr/>
            </w:pPr>
            <w:r>
              <w:rPr/>
              <w:t>☐</w:t>
            </w:r>
          </w:p>
        </w:tc>
        <w:tc>
          <w:tcPr>
            <w:tcW w:w="10208" w:type="dxa"/>
            <w:tcBorders/>
            <w:shd w:fill="auto" w:val="clear"/>
            <w:tcMar>
              <w:top w:w="0" w:type="dxa"/>
              <w:left w:w="0" w:type="dxa"/>
              <w:bottom w:w="0" w:type="dxa"/>
              <w:right w:w="0" w:type="dxa"/>
            </w:tcMar>
            <w:vAlign w:val="center"/>
          </w:tcPr>
          <w:p>
            <w:pPr>
              <w:pStyle w:val="TableContents"/>
              <w:spacing w:before="80" w:after="0"/>
              <w:ind w:left="0" w:right="0" w:hanging="0"/>
              <w:jc w:val="left"/>
              <w:rPr>
                <w:rFonts w:ascii="Times New Roman;serif" w:hAnsi="Times New Roman;serif"/>
                <w:b/>
                <w:sz w:val="24"/>
              </w:rPr>
            </w:pPr>
            <w:r>
              <w:rPr>
                <w:rFonts w:ascii="Times New Roman;serif" w:hAnsi="Times New Roman;serif"/>
                <w:b/>
                <w:sz w:val="24"/>
              </w:rPr>
              <w:t>TRANSITION REPORT PURSUANT TO SECTION 13 OR 15(d) OF THE SECURITIES EXCHANGE ACT OF 1934</w:t>
            </w:r>
          </w:p>
        </w:tc>
      </w:tr>
    </w:tbl>
    <w:p>
      <w:pPr>
        <w:pStyle w:val="TextBody"/>
        <w:spacing w:before="12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spacing w:before="120" w:after="0"/>
        <w:jc w:val="center"/>
        <w:rPr>
          <w:rFonts w:ascii="Times New Roman;serif" w:hAnsi="Times New Roman;serif"/>
          <w:b/>
          <w:sz w:val="20"/>
        </w:rPr>
      </w:pPr>
      <w:r>
        <w:rPr>
          <w:rFonts w:ascii="Times New Roman;serif" w:hAnsi="Times New Roman;serif"/>
          <w:b/>
          <w:sz w:val="20"/>
        </w:rPr>
        <w:t>Commission file number: 001-36740</w:t>
      </w:r>
    </w:p>
    <w:p>
      <w:pPr>
        <w:pStyle w:val="TextBody"/>
        <w:pBdr>
          <w:bottom w:val="single" w:sz="4" w:space="1" w:color="000000"/>
        </w:pBdr>
        <w:spacing w:before="0" w:after="0"/>
        <w:jc w:val="center"/>
        <w:rPr/>
      </w:pPr>
      <w:r>
        <w:rPr/>
        <w:t> </w:t>
      </w:r>
    </w:p>
    <w:p>
      <w:pPr>
        <w:pStyle w:val="TextBody"/>
        <w:spacing w:before="120" w:after="0"/>
        <w:jc w:val="center"/>
        <w:rPr>
          <w:rFonts w:ascii="Times New Roman;serif" w:hAnsi="Times New Roman;serif"/>
          <w:b/>
          <w:sz w:val="48"/>
        </w:rPr>
      </w:pPr>
      <w:r>
        <w:rPr>
          <w:rFonts w:ascii="Times New Roman;serif" w:hAnsi="Times New Roman;serif"/>
          <w:b/>
          <w:sz w:val="48"/>
        </w:rPr>
        <w:t>FIBROGEN, INC.</w:t>
      </w:r>
    </w:p>
    <w:p>
      <w:pPr>
        <w:pStyle w:val="TextBody"/>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spacing w:before="0" w:after="0"/>
        <w:jc w:val="center"/>
        <w:rPr/>
      </w:pPr>
      <w:r>
        <w:rPr/>
        <w:t> </w:t>
      </w:r>
    </w:p>
    <w:tbl>
      <w:tblPr>
        <w:tblW w:w="4063" w:type="dxa"/>
        <w:jc w:val="left"/>
        <w:tblInd w:w="0" w:type="dxa"/>
        <w:tblCellMar>
          <w:top w:w="28" w:type="dxa"/>
          <w:left w:w="28" w:type="dxa"/>
          <w:bottom w:w="28" w:type="dxa"/>
          <w:right w:w="28" w:type="dxa"/>
        </w:tblCellMar>
      </w:tblPr>
      <w:tblGrid>
        <w:gridCol w:w="2431"/>
        <w:gridCol w:w="146"/>
        <w:gridCol w:w="1486"/>
      </w:tblGrid>
      <w:tr>
        <w:trPr/>
        <w:tc>
          <w:tcPr>
            <w:tcW w:w="24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r>
      <w:tr>
        <w:trPr/>
        <w:tc>
          <w:tcPr>
            <w:tcW w:w="243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77-0357827</w:t>
            </w:r>
          </w:p>
        </w:tc>
      </w:tr>
      <w:tr>
        <w:trPr/>
        <w:tc>
          <w:tcPr>
            <w:tcW w:w="243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Identification No.)</w:t>
            </w:r>
          </w:p>
        </w:tc>
      </w:tr>
    </w:tbl>
    <w:tbl>
      <w:tblPr>
        <w:tblW w:w="4093" w:type="dxa"/>
        <w:jc w:val="left"/>
        <w:tblInd w:w="0" w:type="dxa"/>
        <w:tblCellMar>
          <w:top w:w="28" w:type="dxa"/>
          <w:left w:w="28" w:type="dxa"/>
          <w:bottom w:w="28" w:type="dxa"/>
          <w:right w:w="28" w:type="dxa"/>
        </w:tblCellMar>
      </w:tblPr>
      <w:tblGrid>
        <w:gridCol w:w="3016"/>
        <w:gridCol w:w="146"/>
        <w:gridCol w:w="931"/>
      </w:tblGrid>
      <w:tr>
        <w:trPr/>
        <w:tc>
          <w:tcPr>
            <w:tcW w:w="30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r>
      <w:tr>
        <w:trPr/>
        <w:tc>
          <w:tcPr>
            <w:tcW w:w="301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409 Illinois Street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San Francisco, CA</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94158</w:t>
            </w:r>
          </w:p>
        </w:tc>
      </w:tr>
      <w:tr>
        <w:trPr/>
        <w:tc>
          <w:tcPr>
            <w:tcW w:w="301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spacing w:before="60" w:after="0"/>
        <w:jc w:val="center"/>
        <w:rPr>
          <w:rFonts w:ascii="Times New Roman;serif" w:hAnsi="Times New Roman;serif"/>
          <w:b/>
          <w:sz w:val="20"/>
        </w:rPr>
      </w:pPr>
      <w:r>
        <w:rPr>
          <w:rFonts w:ascii="Times New Roman;serif" w:hAnsi="Times New Roman;serif"/>
          <w:b/>
          <w:sz w:val="20"/>
        </w:rPr>
        <w:t>(415) 978-1200</w:t>
      </w:r>
    </w:p>
    <w:p>
      <w:pPr>
        <w:pStyle w:val="TextBody"/>
        <w:spacing w:before="0" w:after="0"/>
        <w:jc w:val="center"/>
        <w:rPr>
          <w:rFonts w:ascii="Times New Roman;serif" w:hAnsi="Times New Roman;serif"/>
          <w:b/>
          <w:sz w:val="16"/>
        </w:rPr>
      </w:pPr>
      <w:r>
        <w:rPr>
          <w:rFonts w:ascii="Times New Roman;serif" w:hAnsi="Times New Roman;serif"/>
          <w:b/>
          <w:sz w:val="16"/>
        </w:rPr>
        <w:t>Registrant’s telephone number, including area code:</w:t>
      </w:r>
    </w:p>
    <w:p>
      <w:pPr>
        <w:pStyle w:val="TextBody"/>
        <w:pBdr>
          <w:bottom w:val="single" w:sz="4" w:space="1" w:color="000000"/>
        </w:pBdr>
        <w:spacing w:before="0" w:after="0"/>
        <w:jc w:val="center"/>
        <w:rPr/>
      </w:pPr>
      <w:r>
        <w:rPr/>
        <w:t> </w:t>
      </w:r>
    </w:p>
    <w:p>
      <w:pPr>
        <w:pStyle w:val="TextBody"/>
        <w:spacing w:before="60" w:after="0"/>
        <w:jc w:val="left"/>
        <w:rPr>
          <w:rFonts w:ascii="Times New Roman;serif" w:hAnsi="Times New Roman;serif"/>
          <w:b/>
          <w:sz w:val="20"/>
        </w:rPr>
      </w:pPr>
      <w:r>
        <w:rPr>
          <w:rFonts w:ascii="Times New Roman;serif" w:hAnsi="Times New Roman;serif"/>
          <w:b/>
          <w:sz w:val="20"/>
        </w:rPr>
        <w:t>Securities registered pursuant to Section 12(b) of the Act:</w:t>
      </w:r>
    </w:p>
    <w:p>
      <w:pPr>
        <w:pStyle w:val="TextBody"/>
        <w:spacing w:before="0" w:after="0"/>
        <w:jc w:val="left"/>
        <w:rPr/>
      </w:pPr>
      <w:r>
        <w:rPr/>
        <w:t> </w:t>
      </w:r>
    </w:p>
    <w:tbl>
      <w:tblPr>
        <w:tblW w:w="8058" w:type="dxa"/>
        <w:jc w:val="left"/>
        <w:tblInd w:w="0" w:type="dxa"/>
        <w:tblCellMar>
          <w:top w:w="28" w:type="dxa"/>
          <w:left w:w="28" w:type="dxa"/>
          <w:bottom w:w="28" w:type="dxa"/>
          <w:right w:w="28" w:type="dxa"/>
        </w:tblCellMar>
      </w:tblPr>
      <w:tblGrid>
        <w:gridCol w:w="2731"/>
        <w:gridCol w:w="1501"/>
        <w:gridCol w:w="3826"/>
      </w:tblGrid>
      <w:tr>
        <w:trPr/>
        <w:tc>
          <w:tcPr>
            <w:tcW w:w="2731"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3826" w:type="dxa"/>
            <w:tcBorders/>
            <w:shd w:fill="auto" w:val="clear"/>
            <w:vAlign w:val="center"/>
          </w:tcPr>
          <w:p>
            <w:pPr>
              <w:pStyle w:val="TableContents"/>
              <w:spacing w:before="0" w:after="283"/>
              <w:rPr>
                <w:sz w:val="4"/>
                <w:szCs w:val="4"/>
              </w:rPr>
            </w:pPr>
            <w:r>
              <w:rPr>
                <w:sz w:val="4"/>
                <w:szCs w:val="4"/>
              </w:rPr>
            </w:r>
          </w:p>
        </w:tc>
      </w:tr>
      <w:tr>
        <w:trPr/>
        <w:tc>
          <w:tcPr>
            <w:tcW w:w="2731" w:type="dxa"/>
            <w:tcBorders>
              <w:top w:val="single" w:sz="4" w:space="0" w:color="000000"/>
              <w:left w:val="single" w:sz="4" w:space="0" w:color="000000"/>
              <w:bottom w:val="single" w:sz="4" w:space="0" w:color="000000"/>
              <w:right w:val="single" w:sz="4" w:space="0" w:color="000000"/>
            </w:tcBorders>
            <w:shd w:fill="auto" w:val="clear"/>
            <w:tcMar>
              <w:left w:w="108" w:type="dxa"/>
              <w:right w:w="108"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Title of each class</w:t>
            </w:r>
          </w:p>
        </w:tc>
        <w:tc>
          <w:tcPr>
            <w:tcW w:w="1501"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Trading Symbol</w:t>
            </w:r>
          </w:p>
        </w:tc>
        <w:tc>
          <w:tcPr>
            <w:tcW w:w="3826"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Name of each exchange on which registered</w:t>
            </w:r>
          </w:p>
        </w:tc>
      </w:tr>
      <w:tr>
        <w:trPr/>
        <w:tc>
          <w:tcPr>
            <w:tcW w:w="273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$0.01 par value</w:t>
            </w:r>
          </w:p>
        </w:tc>
        <w:tc>
          <w:tcPr>
            <w:tcW w:w="150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FGEN</w:t>
            </w:r>
          </w:p>
        </w:tc>
        <w:tc>
          <w:tcPr>
            <w:tcW w:w="382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The Nasdaq Global Select Market</w:t>
            </w:r>
          </w:p>
        </w:tc>
      </w:tr>
    </w:tbl>
    <w:p>
      <w:pPr>
        <w:pStyle w:val="TextBody"/>
        <w:spacing w:before="80" w:after="0"/>
        <w:jc w:val="left"/>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No ☐</w:t>
      </w:r>
    </w:p>
    <w:p>
      <w:pPr>
        <w:pStyle w:val="TextBody"/>
        <w:spacing w:before="80" w:after="0"/>
        <w:jc w:val="left"/>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No ☐</w:t>
      </w:r>
    </w:p>
    <w:p>
      <w:pPr>
        <w:pStyle w:val="TextBody"/>
        <w:spacing w:before="80" w:after="0"/>
        <w:jc w:val="left"/>
        <w:rPr>
          <w:rFonts w:ascii="Times New Roman;serif" w:hAnsi="Times New Roman;serif"/>
          <w:b w:val="false"/>
          <w:sz w:val="20"/>
        </w:rPr>
      </w:pPr>
      <w:r>
        <w:rPr>
          <w:rFonts w:ascii="Times New Roman;serif" w:hAnsi="Times New Roman;serif"/>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58" w:type="dxa"/>
        <w:jc w:val="left"/>
        <w:tblInd w:w="0" w:type="dxa"/>
        <w:tblCellMar>
          <w:top w:w="28" w:type="dxa"/>
          <w:left w:w="28" w:type="dxa"/>
          <w:bottom w:w="28" w:type="dxa"/>
          <w:right w:w="28" w:type="dxa"/>
        </w:tblCellMar>
      </w:tblPr>
      <w:tblGrid>
        <w:gridCol w:w="2142"/>
        <w:gridCol w:w="492"/>
        <w:gridCol w:w="2487"/>
        <w:gridCol w:w="537"/>
      </w:tblGrid>
      <w:tr>
        <w:trPr/>
        <w:tc>
          <w:tcPr>
            <w:tcW w:w="214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2487"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ind w:left="0" w:right="0" w:firstLine="176"/>
              <w:rPr>
                <w:sz w:val="4"/>
                <w:szCs w:val="4"/>
              </w:rPr>
            </w:pPr>
            <w:r>
              <w:rPr>
                <w:sz w:val="4"/>
                <w:szCs w:val="4"/>
              </w:rPr>
            </w:r>
          </w:p>
        </w:tc>
      </w:tr>
      <w:tr>
        <w:trPr/>
        <w:tc>
          <w:tcPr>
            <w:tcW w:w="2142" w:type="dxa"/>
            <w:tcBorders/>
            <w:shd w:fill="auto" w:val="clear"/>
            <w:vAlign w:val="center"/>
          </w:tcPr>
          <w:p>
            <w:pPr>
              <w:pStyle w:val="TableContents"/>
              <w:spacing w:before="0" w:after="0"/>
              <w:ind w:left="0" w:right="0" w:firstLine="176"/>
              <w:jc w:val="left"/>
              <w:rPr>
                <w:rFonts w:ascii="Times New Roman" w:hAnsi="Times New Roman"/>
                <w:sz w:val="20"/>
              </w:rPr>
            </w:pPr>
            <w:r>
              <w:rPr>
                <w:rFonts w:ascii="Times New Roman;serif" w:hAnsi="Times New Roman;serif"/>
                <w:b w:val="false"/>
                <w:sz w:val="20"/>
              </w:rPr>
              <w:t>Large accelerated filer</w:t>
            </w:r>
            <w:r>
              <w:rPr>
                <w:rFonts w:ascii="Times New Roman" w:hAnsi="Times New Roman"/>
                <w:sz w:val="20"/>
              </w:rPr>
              <w:t xml:space="preserve"> </w:t>
            </w:r>
          </w:p>
        </w:tc>
        <w:tc>
          <w:tcPr>
            <w:tcW w:w="492" w:type="dxa"/>
            <w:tcBorders/>
            <w:shd w:fill="auto" w:val="clear"/>
            <w:vAlign w:val="center"/>
          </w:tcPr>
          <w:p>
            <w:pPr>
              <w:pStyle w:val="TableContents"/>
              <w:spacing w:before="0" w:after="0"/>
              <w:ind w:left="0" w:right="0" w:firstLine="176"/>
              <w:jc w:val="left"/>
              <w:rPr/>
            </w:pPr>
            <w:r>
              <w:rPr/>
              <w:t>☑</w:t>
            </w:r>
          </w:p>
        </w:tc>
        <w:tc>
          <w:tcPr>
            <w:tcW w:w="2487" w:type="dxa"/>
            <w:tcBorders/>
            <w:shd w:fill="auto" w:val="clear"/>
            <w:vAlign w:val="center"/>
          </w:tcPr>
          <w:p>
            <w:pPr>
              <w:pStyle w:val="TableContents"/>
              <w:spacing w:before="0" w:after="0"/>
              <w:ind w:left="0" w:right="0" w:firstLine="176"/>
              <w:jc w:val="left"/>
              <w:rPr>
                <w:rFonts w:ascii="Times New Roman" w:hAnsi="Times New Roman"/>
                <w:sz w:val="20"/>
              </w:rPr>
            </w:pPr>
            <w:r>
              <w:rPr>
                <w:rFonts w:ascii="Times New Roman;serif" w:hAnsi="Times New Roman;serif"/>
                <w:b w:val="false"/>
                <w:sz w:val="20"/>
              </w:rPr>
              <w:t>Accelerated filer</w:t>
            </w:r>
            <w:r>
              <w:rPr>
                <w:rFonts w:ascii="Times New Roman" w:hAnsi="Times New Roman"/>
                <w:sz w:val="20"/>
              </w:rPr>
              <w:t xml:space="preserve"> </w:t>
            </w:r>
          </w:p>
        </w:tc>
        <w:tc>
          <w:tcPr>
            <w:tcW w:w="537" w:type="dxa"/>
            <w:tcBorders/>
            <w:shd w:fill="auto" w:val="clear"/>
            <w:vAlign w:val="center"/>
          </w:tcPr>
          <w:p>
            <w:pPr>
              <w:pStyle w:val="TableContents"/>
              <w:spacing w:before="0" w:after="0"/>
              <w:ind w:left="0" w:right="0" w:firstLine="176"/>
              <w:jc w:val="left"/>
              <w:rPr/>
            </w:pPr>
            <w:r>
              <w:rPr/>
              <w:t>☐</w:t>
            </w:r>
          </w:p>
        </w:tc>
      </w:tr>
      <w:tr>
        <w:trPr/>
        <w:tc>
          <w:tcPr>
            <w:tcW w:w="2142" w:type="dxa"/>
            <w:tcBorders/>
            <w:shd w:fill="auto" w:val="clear"/>
            <w:vAlign w:val="center"/>
          </w:tcPr>
          <w:p>
            <w:pPr>
              <w:pStyle w:val="TableContents"/>
              <w:spacing w:before="0" w:after="0"/>
              <w:ind w:left="0" w:right="0" w:firstLine="176"/>
              <w:jc w:val="left"/>
              <w:rPr>
                <w:rFonts w:ascii="Times New Roman;serif" w:hAnsi="Times New Roman;serif"/>
                <w:b w:val="false"/>
                <w:sz w:val="20"/>
              </w:rPr>
            </w:pPr>
            <w:r>
              <w:rPr>
                <w:rFonts w:ascii="Times New Roman;serif" w:hAnsi="Times New Roman;serif"/>
                <w:b w:val="false"/>
                <w:sz w:val="20"/>
              </w:rPr>
              <w:t>Non-accelerated filer</w:t>
            </w:r>
          </w:p>
        </w:tc>
        <w:tc>
          <w:tcPr>
            <w:tcW w:w="492" w:type="dxa"/>
            <w:tcBorders/>
            <w:shd w:fill="auto" w:val="clear"/>
            <w:vAlign w:val="center"/>
          </w:tcPr>
          <w:p>
            <w:pPr>
              <w:pStyle w:val="TableContents"/>
              <w:spacing w:before="0" w:after="0"/>
              <w:ind w:left="0" w:right="0" w:firstLine="176"/>
              <w:jc w:val="left"/>
              <w:rPr/>
            </w:pPr>
            <w:r>
              <w:rPr/>
              <w:t>☐</w:t>
            </w:r>
          </w:p>
        </w:tc>
        <w:tc>
          <w:tcPr>
            <w:tcW w:w="2487" w:type="dxa"/>
            <w:tcBorders/>
            <w:shd w:fill="auto" w:val="clear"/>
            <w:vAlign w:val="center"/>
          </w:tcPr>
          <w:p>
            <w:pPr>
              <w:pStyle w:val="TableContents"/>
              <w:spacing w:before="0" w:after="0"/>
              <w:ind w:left="0" w:right="0" w:firstLine="176"/>
              <w:jc w:val="left"/>
              <w:rPr>
                <w:rFonts w:ascii="Times New Roman;serif" w:hAnsi="Times New Roman;serif"/>
                <w:b w:val="false"/>
                <w:sz w:val="20"/>
              </w:rPr>
            </w:pPr>
            <w:r>
              <w:rPr>
                <w:rFonts w:ascii="Times New Roman;serif" w:hAnsi="Times New Roman;serif"/>
                <w:b w:val="false"/>
                <w:sz w:val="20"/>
              </w:rPr>
              <w:t>Smaller reporting company</w:t>
            </w:r>
          </w:p>
        </w:tc>
        <w:tc>
          <w:tcPr>
            <w:tcW w:w="537" w:type="dxa"/>
            <w:tcBorders/>
            <w:shd w:fill="auto" w:val="clear"/>
            <w:vAlign w:val="center"/>
          </w:tcPr>
          <w:p>
            <w:pPr>
              <w:pStyle w:val="TableContents"/>
              <w:spacing w:before="0" w:after="0"/>
              <w:ind w:left="0" w:right="0" w:firstLine="176"/>
              <w:jc w:val="left"/>
              <w:rPr/>
            </w:pPr>
            <w:r>
              <w:rPr/>
              <w:t>☐</w:t>
            </w:r>
          </w:p>
        </w:tc>
      </w:tr>
      <w:tr>
        <w:trPr/>
        <w:tc>
          <w:tcPr>
            <w:tcW w:w="2142" w:type="dxa"/>
            <w:tcBorders/>
            <w:shd w:fill="auto" w:val="clear"/>
            <w:vAlign w:val="center"/>
          </w:tcPr>
          <w:p>
            <w:pPr>
              <w:pStyle w:val="TableContents"/>
              <w:spacing w:before="0" w:after="0"/>
              <w:ind w:left="0" w:right="0" w:firstLine="176"/>
              <w:jc w:val="left"/>
              <w:rPr/>
            </w:pPr>
            <w:r>
              <w:rPr/>
              <w:t> </w:t>
            </w:r>
          </w:p>
        </w:tc>
        <w:tc>
          <w:tcPr>
            <w:tcW w:w="492" w:type="dxa"/>
            <w:tcBorders/>
            <w:shd w:fill="auto" w:val="clear"/>
            <w:vAlign w:val="center"/>
          </w:tcPr>
          <w:p>
            <w:pPr>
              <w:pStyle w:val="TableContents"/>
              <w:spacing w:before="0" w:after="283"/>
              <w:ind w:left="0" w:right="0" w:firstLine="176"/>
              <w:rPr>
                <w:sz w:val="4"/>
                <w:szCs w:val="4"/>
              </w:rPr>
            </w:pPr>
            <w:r>
              <w:rPr>
                <w:sz w:val="4"/>
                <w:szCs w:val="4"/>
              </w:rPr>
            </w:r>
          </w:p>
        </w:tc>
        <w:tc>
          <w:tcPr>
            <w:tcW w:w="2487" w:type="dxa"/>
            <w:tcBorders/>
            <w:shd w:fill="auto" w:val="clear"/>
            <w:vAlign w:val="center"/>
          </w:tcPr>
          <w:p>
            <w:pPr>
              <w:pStyle w:val="TableContents"/>
              <w:spacing w:before="0" w:after="0"/>
              <w:ind w:left="0" w:right="0" w:firstLine="176"/>
              <w:jc w:val="left"/>
              <w:rPr>
                <w:rFonts w:ascii="Times New Roman;serif" w:hAnsi="Times New Roman;serif"/>
                <w:b w:val="false"/>
                <w:sz w:val="20"/>
              </w:rPr>
            </w:pPr>
            <w:r>
              <w:rPr>
                <w:rFonts w:ascii="Times New Roman;serif" w:hAnsi="Times New Roman;serif"/>
                <w:b w:val="false"/>
                <w:sz w:val="20"/>
              </w:rPr>
              <w:t>Emerging growth company</w:t>
            </w:r>
          </w:p>
        </w:tc>
        <w:tc>
          <w:tcPr>
            <w:tcW w:w="537" w:type="dxa"/>
            <w:tcBorders/>
            <w:shd w:fill="auto" w:val="clear"/>
            <w:vAlign w:val="center"/>
          </w:tcPr>
          <w:p>
            <w:pPr>
              <w:pStyle w:val="TableContents"/>
              <w:spacing w:before="0" w:after="0"/>
              <w:ind w:left="176" w:right="0" w:hanging="0"/>
              <w:jc w:val="left"/>
              <w:rPr/>
            </w:pPr>
            <w:r>
              <w:rPr/>
              <w:t>☐</w:t>
            </w:r>
          </w:p>
        </w:tc>
      </w:tr>
    </w:tbl>
    <w:p>
      <w:pPr>
        <w:pStyle w:val="TextBody"/>
        <w:spacing w:before="40" w:after="0"/>
        <w:jc w:val="left"/>
        <w:rPr>
          <w:rFonts w:ascii="Times New Roman" w:hAnsi="Times New Roman"/>
          <w:sz w:val="20"/>
        </w:rPr>
      </w:pPr>
      <w:r>
        <w:rPr>
          <w:rFonts w:ascii="Times New Roman;serif" w:hAnsi="Times New Roman;serif"/>
          <w:b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spacing w:before="40" w:after="0"/>
        <w:jc w:val="left"/>
        <w:rPr>
          <w:rFonts w:ascii="Times New Roman" w:hAnsi="Times New Roman"/>
          <w:sz w:val="20"/>
        </w:rPr>
      </w:pPr>
      <w:r>
        <w:rPr>
          <w:rFonts w:ascii="Times New Roman;serif" w:hAnsi="Times New Roman;serif"/>
          <w:b w:val="false"/>
          <w:sz w:val="20"/>
        </w:rPr>
        <w:t xml:space="preserve">Indicate by check mark whether the registrant is a shell company (as defined in Exchange Act Rule 12b-2). Yes </w:t>
      </w:r>
      <w:r>
        <w:rPr>
          <w:rFonts w:ascii="Times New Roman" w:hAnsi="Times New Roman"/>
          <w:sz w:val="20"/>
        </w:rPr>
        <w:t xml:space="preserve">☐ </w:t>
      </w:r>
      <w:r>
        <w:rPr>
          <w:rFonts w:ascii="Times New Roman;serif" w:hAnsi="Times New Roman;serif"/>
          <w:b w:val="false"/>
          <w:sz w:val="20"/>
        </w:rPr>
        <w:t>No ☑</w:t>
      </w:r>
    </w:p>
    <w:p>
      <w:pPr>
        <w:pStyle w:val="TextBody"/>
        <w:spacing w:before="40" w:after="0"/>
        <w:jc w:val="left"/>
        <w:rPr>
          <w:rFonts w:ascii="Times New Roman" w:hAnsi="Times New Roman"/>
          <w:sz w:val="20"/>
        </w:rPr>
      </w:pPr>
      <w:r>
        <w:rPr>
          <w:rFonts w:ascii="Times New Roman;serif" w:hAnsi="Times New Roman;serif"/>
          <w:b w:val="false"/>
          <w:sz w:val="20"/>
        </w:rPr>
        <w:t>The number of shares of common stock outstanding as of April 30, 2023</w:t>
      </w:r>
      <w:r>
        <w:rPr>
          <w:rFonts w:ascii="Times New Roman" w:hAnsi="Times New Roman"/>
          <w:sz w:val="20"/>
        </w:rPr>
        <w:t xml:space="preserve"> </w:t>
      </w:r>
      <w:r>
        <w:rPr>
          <w:rFonts w:ascii="Times New Roman;serif" w:hAnsi="Times New Roman;serif"/>
          <w:b w:val="false"/>
          <w:sz w:val="20"/>
        </w:rPr>
        <w:t>was 97,582,416.</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FIBROGEN, INC.</w:t>
      </w:r>
    </w:p>
    <w:p>
      <w:pPr>
        <w:pStyle w:val="TextBody"/>
        <w:spacing w:before="240" w:after="0"/>
        <w:jc w:val="center"/>
        <w:rPr>
          <w:rFonts w:ascii="Times New Roman;serif" w:hAnsi="Times New Roman;serif"/>
          <w:b/>
          <w:sz w:val="20"/>
        </w:rPr>
      </w:pPr>
      <w:bookmarkStart w:id="2" w:name="toc"/>
      <w:bookmarkEnd w:id="2"/>
      <w:r>
        <w:rPr>
          <w:rFonts w:ascii="Times New Roman;serif" w:hAnsi="Times New Roman;serif"/>
          <w:b/>
          <w:sz w:val="20"/>
        </w:rPr>
        <w:t>TABLE OF CONTENTS</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718"/>
        <w:gridCol w:w="9193"/>
        <w:gridCol w:w="146"/>
        <w:gridCol w:w="482"/>
      </w:tblGrid>
      <w:tr>
        <w:trPr/>
        <w:tc>
          <w:tcPr>
            <w:tcW w:w="718" w:type="dxa"/>
            <w:tcBorders/>
            <w:shd w:fill="auto" w:val="clear"/>
            <w:vAlign w:val="center"/>
          </w:tcPr>
          <w:p>
            <w:pPr>
              <w:pStyle w:val="TableContents"/>
              <w:spacing w:before="0" w:after="283"/>
              <w:rPr>
                <w:sz w:val="4"/>
                <w:szCs w:val="4"/>
              </w:rPr>
            </w:pPr>
            <w:r>
              <w:rPr>
                <w:sz w:val="4"/>
                <w:szCs w:val="4"/>
              </w:rPr>
            </w:r>
          </w:p>
        </w:tc>
        <w:tc>
          <w:tcPr>
            <w:tcW w:w="91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r>
      <w:tr>
        <w:trPr/>
        <w:tc>
          <w:tcPr>
            <w:tcW w:w="991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Page</w:t>
            </w:r>
          </w:p>
        </w:tc>
      </w:tr>
      <w:tr>
        <w:trPr/>
        <w:tc>
          <w:tcPr>
            <w:tcW w:w="9911" w:type="dxa"/>
            <w:gridSpan w:val="2"/>
            <w:tcBorders/>
            <w:shd w:fill="auto" w:val="clear"/>
            <w:vAlign w:val="center"/>
          </w:tcPr>
          <w:p>
            <w:pPr>
              <w:pStyle w:val="TableContents"/>
              <w:spacing w:before="0" w:after="0"/>
              <w:ind w:left="0" w:right="0" w:hanging="0"/>
              <w:jc w:val="center"/>
              <w:rPr/>
            </w:pPr>
            <w:hyperlink w:anchor="part_ifinancial_information">
              <w:r>
                <w:rPr>
                  <w:rStyle w:val="InternetLink"/>
                  <w:rFonts w:ascii="Times New Roman;serif" w:hAnsi="Times New Roman;serif"/>
                  <w:b/>
                  <w:sz w:val="20"/>
                  <w:u w:val="single"/>
                </w:rPr>
                <w:t>PART I—FINANCIAL INFORMATION</w:t>
              </w:r>
            </w:hyperlink>
          </w:p>
        </w:tc>
        <w:tc>
          <w:tcPr>
            <w:tcW w:w="146" w:type="dxa"/>
            <w:tcBorders/>
            <w:shd w:fill="auto" w:val="clear"/>
            <w:vAlign w:val="center"/>
          </w:tcPr>
          <w:p>
            <w:pPr>
              <w:pStyle w:val="TableContents"/>
              <w:spacing w:before="0" w:after="0"/>
              <w:ind w:left="0" w:right="0" w:hanging="0"/>
              <w:jc w:val="left"/>
              <w:rPr/>
            </w:pPr>
            <w:r>
              <w:rPr/>
              <w:t> </w:t>
            </w:r>
          </w:p>
        </w:tc>
        <w:tc>
          <w:tcPr>
            <w:tcW w:w="482" w:type="dxa"/>
            <w:tcBorders/>
            <w:shd w:fill="auto" w:val="clear"/>
            <w:vAlign w:val="center"/>
          </w:tcPr>
          <w:p>
            <w:pPr>
              <w:pStyle w:val="TableContents"/>
              <w:spacing w:before="0" w:after="0"/>
              <w:ind w:left="0" w:right="0" w:hanging="0"/>
              <w:jc w:val="right"/>
              <w:rPr/>
            </w:pPr>
            <w:r>
              <w:rPr/>
              <w:t> </w:t>
            </w:r>
          </w:p>
        </w:tc>
      </w:tr>
      <w:tr>
        <w:trPr/>
        <w:tc>
          <w:tcPr>
            <w:tcW w:w="718" w:type="dxa"/>
            <w:tcBorders/>
            <w:shd w:fill="auto" w:val="clear"/>
            <w:vAlign w:val="center"/>
          </w:tcPr>
          <w:p>
            <w:pPr>
              <w:pStyle w:val="TableContents"/>
              <w:spacing w:before="0" w:after="0"/>
              <w:ind w:left="0" w:right="0" w:hanging="0"/>
              <w:jc w:val="left"/>
              <w:rPr/>
            </w:pPr>
            <w:r>
              <w:rPr/>
              <w:t> </w:t>
            </w:r>
          </w:p>
        </w:tc>
        <w:tc>
          <w:tcPr>
            <w:tcW w:w="91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2" w:type="dxa"/>
            <w:tcBorders/>
            <w:shd w:fill="auto" w:val="clear"/>
            <w:vAlign w:val="center"/>
          </w:tcPr>
          <w:p>
            <w:pPr>
              <w:pStyle w:val="TableContents"/>
              <w:spacing w:before="0" w:after="0"/>
              <w:ind w:left="0" w:right="0" w:hanging="0"/>
              <w:jc w:val="right"/>
              <w:rPr/>
            </w:pPr>
            <w:r>
              <w:rPr/>
              <w:t> </w:t>
            </w:r>
          </w:p>
        </w:tc>
      </w:tr>
      <w:tr>
        <w:trPr/>
        <w:tc>
          <w:tcPr>
            <w:tcW w:w="7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9193" w:type="dxa"/>
            <w:tcBorders/>
            <w:shd w:fill="auto" w:val="clear"/>
            <w:vAlign w:val="center"/>
          </w:tcPr>
          <w:p>
            <w:pPr>
              <w:pStyle w:val="TableContents"/>
              <w:spacing w:before="0" w:after="0"/>
              <w:ind w:left="0" w:right="0" w:hanging="0"/>
              <w:jc w:val="left"/>
              <w:rPr/>
            </w:pPr>
            <w:hyperlink w:anchor="item_1_condensed_consolidated_financial">
              <w:r>
                <w:rPr>
                  <w:rStyle w:val="InternetLink"/>
                  <w:rFonts w:ascii="Times New Roman;serif" w:hAnsi="Times New Roman;serif"/>
                  <w:b w:val="false"/>
                  <w:sz w:val="20"/>
                  <w:u w:val="single"/>
                </w:rPr>
                <w:t>Financial Statements</w:t>
              </w:r>
            </w:hyperlink>
          </w:p>
        </w:tc>
        <w:tc>
          <w:tcPr>
            <w:tcW w:w="146" w:type="dxa"/>
            <w:tcBorders/>
            <w:shd w:fill="auto" w:val="clear"/>
            <w:vAlign w:val="center"/>
          </w:tcPr>
          <w:p>
            <w:pPr>
              <w:pStyle w:val="TableContents"/>
              <w:spacing w:before="0" w:after="0"/>
              <w:ind w:left="0" w:right="0" w:hanging="0"/>
              <w:jc w:val="left"/>
              <w:rPr/>
            </w:pPr>
            <w:r>
              <w:rPr/>
              <w:t> </w:t>
            </w:r>
          </w:p>
        </w:tc>
        <w:tc>
          <w:tcPr>
            <w:tcW w:w="4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718" w:type="dxa"/>
            <w:tcBorders/>
            <w:shd w:fill="auto" w:val="clear"/>
            <w:vAlign w:val="center"/>
          </w:tcPr>
          <w:p>
            <w:pPr>
              <w:pStyle w:val="TableContents"/>
              <w:spacing w:before="0" w:after="0"/>
              <w:ind w:left="0" w:right="0" w:hanging="0"/>
              <w:jc w:val="left"/>
              <w:rPr/>
            </w:pPr>
            <w:r>
              <w:rPr/>
              <w:t> </w:t>
            </w:r>
          </w:p>
        </w:tc>
        <w:tc>
          <w:tcPr>
            <w:tcW w:w="9193" w:type="dxa"/>
            <w:tcBorders/>
            <w:shd w:fill="auto" w:val="clear"/>
            <w:vAlign w:val="center"/>
          </w:tcPr>
          <w:p>
            <w:pPr>
              <w:pStyle w:val="TableContents"/>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 as of March 31, 2023 and December 31, 2022 (Unaudited)</w:t>
              </w:r>
            </w:hyperlink>
          </w:p>
        </w:tc>
        <w:tc>
          <w:tcPr>
            <w:tcW w:w="146" w:type="dxa"/>
            <w:tcBorders/>
            <w:shd w:fill="auto" w:val="clear"/>
            <w:vAlign w:val="center"/>
          </w:tcPr>
          <w:p>
            <w:pPr>
              <w:pStyle w:val="TableContents"/>
              <w:spacing w:before="0" w:after="0"/>
              <w:ind w:left="0" w:right="0" w:hanging="0"/>
              <w:jc w:val="left"/>
              <w:rPr/>
            </w:pPr>
            <w:r>
              <w:rPr/>
              <w:t> </w:t>
            </w:r>
          </w:p>
        </w:tc>
        <w:tc>
          <w:tcPr>
            <w:tcW w:w="4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718" w:type="dxa"/>
            <w:tcBorders/>
            <w:shd w:fill="auto" w:val="clear"/>
            <w:vAlign w:val="center"/>
          </w:tcPr>
          <w:p>
            <w:pPr>
              <w:pStyle w:val="TableContents"/>
              <w:spacing w:before="0" w:after="0"/>
              <w:ind w:left="0" w:right="0" w:hanging="0"/>
              <w:jc w:val="left"/>
              <w:rPr/>
            </w:pPr>
            <w:r>
              <w:rPr/>
              <w:t> </w:t>
            </w:r>
          </w:p>
        </w:tc>
        <w:tc>
          <w:tcPr>
            <w:tcW w:w="9193" w:type="dxa"/>
            <w:tcBorders/>
            <w:shd w:fill="auto" w:val="clear"/>
            <w:vAlign w:val="center"/>
          </w:tcPr>
          <w:p>
            <w:pPr>
              <w:pStyle w:val="TableContents"/>
              <w:spacing w:before="0" w:after="0"/>
              <w:ind w:left="0" w:right="0" w:hanging="0"/>
              <w:jc w:val="left"/>
              <w:rPr/>
            </w:pPr>
            <w:hyperlink w:anchor="condensed_consolidated_statements_operat">
              <w:r>
                <w:rPr>
                  <w:rStyle w:val="InternetLink"/>
                  <w:rFonts w:ascii="Times New Roman;serif" w:hAnsi="Times New Roman;serif"/>
                  <w:b w:val="false"/>
                  <w:sz w:val="20"/>
                  <w:u w:val="single"/>
                </w:rPr>
                <w:t>Condensed Consolidated Statements of Operations for the Three Months Ended March 31, 2023 and 2022 (Unaudited)</w:t>
              </w:r>
            </w:hyperlink>
          </w:p>
        </w:tc>
        <w:tc>
          <w:tcPr>
            <w:tcW w:w="146" w:type="dxa"/>
            <w:tcBorders/>
            <w:shd w:fill="auto" w:val="clear"/>
            <w:vAlign w:val="center"/>
          </w:tcPr>
          <w:p>
            <w:pPr>
              <w:pStyle w:val="TableContents"/>
              <w:spacing w:before="0" w:after="0"/>
              <w:ind w:left="0" w:right="0" w:hanging="0"/>
              <w:jc w:val="left"/>
              <w:rPr/>
            </w:pPr>
            <w:r>
              <w:rPr/>
              <w:t> </w:t>
            </w:r>
          </w:p>
        </w:tc>
        <w:tc>
          <w:tcPr>
            <w:tcW w:w="4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718" w:type="dxa"/>
            <w:tcBorders/>
            <w:shd w:fill="auto" w:val="clear"/>
            <w:vAlign w:val="center"/>
          </w:tcPr>
          <w:p>
            <w:pPr>
              <w:pStyle w:val="TableContents"/>
              <w:spacing w:before="0" w:after="0"/>
              <w:ind w:left="0" w:right="0" w:hanging="0"/>
              <w:jc w:val="left"/>
              <w:rPr/>
            </w:pPr>
            <w:r>
              <w:rPr/>
              <w:t> </w:t>
            </w:r>
          </w:p>
        </w:tc>
        <w:tc>
          <w:tcPr>
            <w:tcW w:w="9193" w:type="dxa"/>
            <w:tcBorders/>
            <w:shd w:fill="auto" w:val="clear"/>
            <w:vAlign w:val="center"/>
          </w:tcPr>
          <w:p>
            <w:pPr>
              <w:pStyle w:val="TableContents"/>
              <w:spacing w:before="0" w:after="0"/>
              <w:ind w:left="0" w:right="0" w:hanging="0"/>
              <w:jc w:val="left"/>
              <w:rPr/>
            </w:pPr>
            <w:hyperlink w:anchor="condensed_consolidated_statements_compre">
              <w:r>
                <w:rPr>
                  <w:rStyle w:val="InternetLink"/>
                  <w:rFonts w:ascii="Times New Roman;serif" w:hAnsi="Times New Roman;serif"/>
                  <w:b w:val="false"/>
                  <w:sz w:val="20"/>
                  <w:u w:val="single"/>
                </w:rPr>
                <w:t>Condensed Consolidated Statements of Comprehensive Loss for the Three Months Ended March 31, 2023 and 2022 (Unaudited)</w:t>
              </w:r>
            </w:hyperlink>
          </w:p>
        </w:tc>
        <w:tc>
          <w:tcPr>
            <w:tcW w:w="146" w:type="dxa"/>
            <w:tcBorders/>
            <w:shd w:fill="auto" w:val="clear"/>
            <w:vAlign w:val="center"/>
          </w:tcPr>
          <w:p>
            <w:pPr>
              <w:pStyle w:val="TableContents"/>
              <w:spacing w:before="0" w:after="0"/>
              <w:ind w:left="0" w:right="0" w:hanging="0"/>
              <w:jc w:val="left"/>
              <w:rPr/>
            </w:pPr>
            <w:r>
              <w:rPr/>
              <w:t> </w:t>
            </w:r>
          </w:p>
        </w:tc>
        <w:tc>
          <w:tcPr>
            <w:tcW w:w="4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718" w:type="dxa"/>
            <w:tcBorders/>
            <w:shd w:fill="auto" w:val="clear"/>
            <w:vAlign w:val="center"/>
          </w:tcPr>
          <w:p>
            <w:pPr>
              <w:pStyle w:val="TableContents"/>
              <w:spacing w:before="0" w:after="0"/>
              <w:ind w:left="0" w:right="0" w:hanging="0"/>
              <w:jc w:val="left"/>
              <w:rPr/>
            </w:pPr>
            <w:r>
              <w:rPr/>
              <w:t> </w:t>
            </w:r>
          </w:p>
        </w:tc>
        <w:tc>
          <w:tcPr>
            <w:tcW w:w="9193" w:type="dxa"/>
            <w:tcBorders/>
            <w:shd w:fill="auto" w:val="clear"/>
            <w:vAlign w:val="center"/>
          </w:tcPr>
          <w:p>
            <w:pPr>
              <w:pStyle w:val="TableContents"/>
              <w:spacing w:before="0" w:after="0"/>
              <w:ind w:left="0" w:right="0" w:hanging="0"/>
              <w:jc w:val="left"/>
              <w:rPr/>
            </w:pPr>
            <w:hyperlink w:anchor="condensed_consolidated_statements_equity">
              <w:r>
                <w:rPr>
                  <w:rStyle w:val="InternetLink"/>
                  <w:rFonts w:ascii="Times New Roman;serif" w:hAnsi="Times New Roman;serif"/>
                  <w:b w:val="false"/>
                  <w:sz w:val="20"/>
                  <w:u w:val="single"/>
                </w:rPr>
                <w:t>Condensed Consolidated Statements of Changes in Stockholders’ Equity (Deficit) for the Three Months Ended March 31, 2023 and 2022 (Unaudited)</w:t>
              </w:r>
            </w:hyperlink>
          </w:p>
        </w:tc>
        <w:tc>
          <w:tcPr>
            <w:tcW w:w="146" w:type="dxa"/>
            <w:tcBorders/>
            <w:shd w:fill="auto" w:val="clear"/>
            <w:vAlign w:val="center"/>
          </w:tcPr>
          <w:p>
            <w:pPr>
              <w:pStyle w:val="TableContents"/>
              <w:spacing w:before="0" w:after="0"/>
              <w:ind w:left="0" w:right="0" w:hanging="0"/>
              <w:jc w:val="left"/>
              <w:rPr/>
            </w:pPr>
            <w:r>
              <w:rPr/>
              <w:t> </w:t>
            </w:r>
          </w:p>
        </w:tc>
        <w:tc>
          <w:tcPr>
            <w:tcW w:w="4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718" w:type="dxa"/>
            <w:tcBorders/>
            <w:shd w:fill="auto" w:val="clear"/>
            <w:vAlign w:val="center"/>
          </w:tcPr>
          <w:p>
            <w:pPr>
              <w:pStyle w:val="TableContents"/>
              <w:spacing w:before="0" w:after="0"/>
              <w:ind w:left="0" w:right="0" w:hanging="0"/>
              <w:jc w:val="left"/>
              <w:rPr/>
            </w:pPr>
            <w:r>
              <w:rPr/>
              <w:t> </w:t>
            </w:r>
          </w:p>
        </w:tc>
        <w:tc>
          <w:tcPr>
            <w:tcW w:w="9193" w:type="dxa"/>
            <w:tcBorders/>
            <w:shd w:fill="auto" w:val="clear"/>
            <w:vAlign w:val="center"/>
          </w:tcPr>
          <w:p>
            <w:pPr>
              <w:pStyle w:val="TableContents"/>
              <w:spacing w:before="0" w:after="0"/>
              <w:ind w:left="0" w:right="0" w:hanging="0"/>
              <w:jc w:val="left"/>
              <w:rPr/>
            </w:pPr>
            <w:hyperlink w:anchor="condensed_consolidated_statements_cash_f">
              <w:r>
                <w:rPr>
                  <w:rStyle w:val="InternetLink"/>
                  <w:rFonts w:ascii="Times New Roman;serif" w:hAnsi="Times New Roman;serif"/>
                  <w:b w:val="false"/>
                  <w:sz w:val="20"/>
                  <w:u w:val="single"/>
                </w:rPr>
                <w:t>Condensed Consolidated Statements of Cash Flows for the Three Months Ended March 31, 2023 and 2022 (Unaudited)</w:t>
              </w:r>
            </w:hyperlink>
          </w:p>
        </w:tc>
        <w:tc>
          <w:tcPr>
            <w:tcW w:w="146" w:type="dxa"/>
            <w:tcBorders/>
            <w:shd w:fill="auto" w:val="clear"/>
            <w:vAlign w:val="center"/>
          </w:tcPr>
          <w:p>
            <w:pPr>
              <w:pStyle w:val="TableContents"/>
              <w:spacing w:before="0" w:after="0"/>
              <w:ind w:left="0" w:right="0" w:hanging="0"/>
              <w:jc w:val="left"/>
              <w:rPr/>
            </w:pPr>
            <w:r>
              <w:rPr/>
              <w:t> </w:t>
            </w:r>
          </w:p>
        </w:tc>
        <w:tc>
          <w:tcPr>
            <w:tcW w:w="4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718" w:type="dxa"/>
            <w:tcBorders/>
            <w:shd w:fill="auto" w:val="clear"/>
            <w:vAlign w:val="center"/>
          </w:tcPr>
          <w:p>
            <w:pPr>
              <w:pStyle w:val="TableContents"/>
              <w:spacing w:before="0" w:after="0"/>
              <w:ind w:left="0" w:right="0" w:hanging="0"/>
              <w:jc w:val="left"/>
              <w:rPr/>
            </w:pPr>
            <w:r>
              <w:rPr/>
              <w:t> </w:t>
            </w:r>
          </w:p>
        </w:tc>
        <w:tc>
          <w:tcPr>
            <w:tcW w:w="9193" w:type="dxa"/>
            <w:tcBorders/>
            <w:shd w:fill="auto" w:val="clear"/>
            <w:vAlign w:val="center"/>
          </w:tcPr>
          <w:p>
            <w:pPr>
              <w:pStyle w:val="TableContents"/>
              <w:spacing w:before="0" w:after="0"/>
              <w:ind w:left="0" w:right="0" w:hanging="0"/>
              <w:jc w:val="left"/>
              <w:rPr/>
            </w:pPr>
            <w:hyperlink w:anchor="notes_to_condensed_consolidated_financia">
              <w:r>
                <w:rPr>
                  <w:rStyle w:val="InternetLink"/>
                  <w:rFonts w:ascii="Times New Roman;serif" w:hAnsi="Times New Roman;serif"/>
                  <w:b w:val="false"/>
                  <w:sz w:val="20"/>
                  <w:u w:val="single"/>
                </w:rPr>
                <w:t>Notes to the Condensed Consolidated Financial Statements (Unaudited)</w:t>
              </w:r>
            </w:hyperlink>
          </w:p>
        </w:tc>
        <w:tc>
          <w:tcPr>
            <w:tcW w:w="146" w:type="dxa"/>
            <w:tcBorders/>
            <w:shd w:fill="auto" w:val="clear"/>
            <w:vAlign w:val="center"/>
          </w:tcPr>
          <w:p>
            <w:pPr>
              <w:pStyle w:val="TableContents"/>
              <w:spacing w:before="0" w:after="0"/>
              <w:ind w:left="0" w:right="0" w:hanging="0"/>
              <w:jc w:val="left"/>
              <w:rPr/>
            </w:pPr>
            <w:r>
              <w:rPr/>
              <w:t> </w:t>
            </w:r>
          </w:p>
        </w:tc>
        <w:tc>
          <w:tcPr>
            <w:tcW w:w="4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7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9193" w:type="dxa"/>
            <w:tcBorders/>
            <w:shd w:fill="auto" w:val="clear"/>
            <w:vAlign w:val="center"/>
          </w:tcPr>
          <w:p>
            <w:pPr>
              <w:pStyle w:val="TableContents"/>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146" w:type="dxa"/>
            <w:tcBorders/>
            <w:shd w:fill="auto" w:val="clear"/>
            <w:vAlign w:val="center"/>
          </w:tcPr>
          <w:p>
            <w:pPr>
              <w:pStyle w:val="TableContents"/>
              <w:spacing w:before="0" w:after="0"/>
              <w:ind w:left="0" w:right="0" w:hanging="0"/>
              <w:jc w:val="left"/>
              <w:rPr/>
            </w:pPr>
            <w:r>
              <w:rPr/>
              <w:t> </w:t>
            </w:r>
          </w:p>
        </w:tc>
        <w:tc>
          <w:tcPr>
            <w:tcW w:w="4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7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9193" w:type="dxa"/>
            <w:tcBorders/>
            <w:shd w:fill="auto" w:val="clear"/>
            <w:vAlign w:val="center"/>
          </w:tcPr>
          <w:p>
            <w:pPr>
              <w:pStyle w:val="TableContents"/>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146" w:type="dxa"/>
            <w:tcBorders/>
            <w:shd w:fill="auto" w:val="clear"/>
            <w:vAlign w:val="center"/>
          </w:tcPr>
          <w:p>
            <w:pPr>
              <w:pStyle w:val="TableContents"/>
              <w:spacing w:before="0" w:after="0"/>
              <w:ind w:left="0" w:right="0" w:hanging="0"/>
              <w:jc w:val="left"/>
              <w:rPr/>
            </w:pPr>
            <w:r>
              <w:rPr/>
              <w:t> </w:t>
            </w:r>
          </w:p>
        </w:tc>
        <w:tc>
          <w:tcPr>
            <w:tcW w:w="4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7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9193" w:type="dxa"/>
            <w:tcBorders/>
            <w:shd w:fill="auto" w:val="clear"/>
            <w:vAlign w:val="center"/>
          </w:tcPr>
          <w:p>
            <w:pPr>
              <w:pStyle w:val="TableContents"/>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146" w:type="dxa"/>
            <w:tcBorders/>
            <w:shd w:fill="auto" w:val="clear"/>
            <w:vAlign w:val="center"/>
          </w:tcPr>
          <w:p>
            <w:pPr>
              <w:pStyle w:val="TableContents"/>
              <w:spacing w:before="0" w:after="0"/>
              <w:ind w:left="0" w:right="0" w:hanging="0"/>
              <w:jc w:val="left"/>
              <w:rPr/>
            </w:pPr>
            <w:r>
              <w:rPr/>
              <w:t> </w:t>
            </w:r>
          </w:p>
        </w:tc>
        <w:tc>
          <w:tcPr>
            <w:tcW w:w="4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718" w:type="dxa"/>
            <w:tcBorders/>
            <w:shd w:fill="auto" w:val="clear"/>
            <w:vAlign w:val="center"/>
          </w:tcPr>
          <w:p>
            <w:pPr>
              <w:pStyle w:val="TableContents"/>
              <w:spacing w:before="0" w:after="0"/>
              <w:ind w:left="0" w:right="0" w:hanging="0"/>
              <w:jc w:val="left"/>
              <w:rPr/>
            </w:pPr>
            <w:r>
              <w:rPr/>
              <w:t> </w:t>
            </w:r>
          </w:p>
        </w:tc>
        <w:tc>
          <w:tcPr>
            <w:tcW w:w="91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2" w:type="dxa"/>
            <w:tcBorders/>
            <w:shd w:fill="auto" w:val="clear"/>
            <w:vAlign w:val="center"/>
          </w:tcPr>
          <w:p>
            <w:pPr>
              <w:pStyle w:val="TableContents"/>
              <w:spacing w:before="0" w:after="0"/>
              <w:ind w:left="0" w:right="0" w:hanging="0"/>
              <w:jc w:val="right"/>
              <w:rPr/>
            </w:pPr>
            <w:r>
              <w:rPr/>
              <w:t> </w:t>
            </w:r>
          </w:p>
        </w:tc>
      </w:tr>
      <w:tr>
        <w:trPr/>
        <w:tc>
          <w:tcPr>
            <w:tcW w:w="9911" w:type="dxa"/>
            <w:gridSpan w:val="2"/>
            <w:tcBorders/>
            <w:shd w:fill="auto" w:val="clear"/>
            <w:vAlign w:val="center"/>
          </w:tcPr>
          <w:p>
            <w:pPr>
              <w:pStyle w:val="TableContents"/>
              <w:spacing w:before="0" w:after="0"/>
              <w:ind w:left="0" w:right="0" w:hanging="0"/>
              <w:jc w:val="center"/>
              <w:rPr/>
            </w:pPr>
            <w:hyperlink w:anchor="part_iior_information">
              <w:r>
                <w:rPr>
                  <w:rStyle w:val="InternetLink"/>
                  <w:rFonts w:ascii="Times New Roman;serif" w:hAnsi="Times New Roman;serif"/>
                  <w:b/>
                  <w:sz w:val="20"/>
                  <w:u w:val="single"/>
                </w:rPr>
                <w:t>PART II—OTHER INFORMATION</w:t>
              </w:r>
            </w:hyperlink>
          </w:p>
        </w:tc>
        <w:tc>
          <w:tcPr>
            <w:tcW w:w="146" w:type="dxa"/>
            <w:tcBorders/>
            <w:shd w:fill="auto" w:val="clear"/>
            <w:vAlign w:val="center"/>
          </w:tcPr>
          <w:p>
            <w:pPr>
              <w:pStyle w:val="TableContents"/>
              <w:spacing w:before="0" w:after="0"/>
              <w:ind w:left="0" w:right="0" w:hanging="0"/>
              <w:jc w:val="left"/>
              <w:rPr/>
            </w:pPr>
            <w:r>
              <w:rPr/>
              <w:t> </w:t>
            </w:r>
          </w:p>
        </w:tc>
        <w:tc>
          <w:tcPr>
            <w:tcW w:w="482" w:type="dxa"/>
            <w:tcBorders/>
            <w:shd w:fill="auto" w:val="clear"/>
            <w:vAlign w:val="center"/>
          </w:tcPr>
          <w:p>
            <w:pPr>
              <w:pStyle w:val="TableContents"/>
              <w:spacing w:before="0" w:after="0"/>
              <w:ind w:left="0" w:right="0" w:hanging="0"/>
              <w:jc w:val="right"/>
              <w:rPr/>
            </w:pPr>
            <w:r>
              <w:rPr/>
              <w:t> </w:t>
            </w:r>
          </w:p>
        </w:tc>
      </w:tr>
      <w:tr>
        <w:trPr/>
        <w:tc>
          <w:tcPr>
            <w:tcW w:w="718" w:type="dxa"/>
            <w:tcBorders/>
            <w:shd w:fill="auto" w:val="clear"/>
            <w:vAlign w:val="center"/>
          </w:tcPr>
          <w:p>
            <w:pPr>
              <w:pStyle w:val="TableContents"/>
              <w:spacing w:before="0" w:after="0"/>
              <w:ind w:left="0" w:right="0" w:hanging="0"/>
              <w:jc w:val="left"/>
              <w:rPr/>
            </w:pPr>
            <w:r>
              <w:rPr/>
              <w:t> </w:t>
            </w:r>
          </w:p>
        </w:tc>
        <w:tc>
          <w:tcPr>
            <w:tcW w:w="91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2" w:type="dxa"/>
            <w:tcBorders/>
            <w:shd w:fill="auto" w:val="clear"/>
            <w:vAlign w:val="center"/>
          </w:tcPr>
          <w:p>
            <w:pPr>
              <w:pStyle w:val="TableContents"/>
              <w:spacing w:before="0" w:after="0"/>
              <w:ind w:left="0" w:right="0" w:hanging="0"/>
              <w:jc w:val="right"/>
              <w:rPr/>
            </w:pPr>
            <w:r>
              <w:rPr/>
              <w:t> </w:t>
            </w:r>
          </w:p>
        </w:tc>
      </w:tr>
      <w:tr>
        <w:trPr/>
        <w:tc>
          <w:tcPr>
            <w:tcW w:w="7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9193" w:type="dxa"/>
            <w:tcBorders/>
            <w:shd w:fill="auto" w:val="cle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146" w:type="dxa"/>
            <w:tcBorders/>
            <w:shd w:fill="auto" w:val="clear"/>
            <w:vAlign w:val="center"/>
          </w:tcPr>
          <w:p>
            <w:pPr>
              <w:pStyle w:val="TableContents"/>
              <w:spacing w:before="0" w:after="0"/>
              <w:ind w:left="0" w:right="0" w:hanging="0"/>
              <w:jc w:val="left"/>
              <w:rPr/>
            </w:pPr>
            <w:r>
              <w:rPr/>
              <w:t> </w:t>
            </w:r>
          </w:p>
        </w:tc>
        <w:tc>
          <w:tcPr>
            <w:tcW w:w="4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7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9193" w:type="dxa"/>
            <w:tcBorders/>
            <w:shd w:fill="auto" w:val="cle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146" w:type="dxa"/>
            <w:tcBorders/>
            <w:shd w:fill="auto" w:val="clear"/>
            <w:vAlign w:val="center"/>
          </w:tcPr>
          <w:p>
            <w:pPr>
              <w:pStyle w:val="TableContents"/>
              <w:spacing w:before="0" w:after="0"/>
              <w:ind w:left="0" w:right="0" w:hanging="0"/>
              <w:jc w:val="left"/>
              <w:rPr/>
            </w:pPr>
            <w:r>
              <w:rPr/>
              <w:t> </w:t>
            </w:r>
          </w:p>
        </w:tc>
        <w:tc>
          <w:tcPr>
            <w:tcW w:w="4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7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9193" w:type="dxa"/>
            <w:tcBorders/>
            <w:shd w:fill="auto" w:val="clear"/>
            <w:vAlign w:val="center"/>
          </w:tcPr>
          <w:p>
            <w:pPr>
              <w:pStyle w:val="TableContents"/>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146" w:type="dxa"/>
            <w:tcBorders/>
            <w:shd w:fill="auto" w:val="clear"/>
            <w:vAlign w:val="center"/>
          </w:tcPr>
          <w:p>
            <w:pPr>
              <w:pStyle w:val="TableContents"/>
              <w:spacing w:before="0" w:after="0"/>
              <w:ind w:left="0" w:right="0" w:hanging="0"/>
              <w:jc w:val="left"/>
              <w:rPr/>
            </w:pPr>
            <w:r>
              <w:rPr/>
              <w:t> </w:t>
            </w:r>
          </w:p>
        </w:tc>
        <w:tc>
          <w:tcPr>
            <w:tcW w:w="4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r>
      <w:tr>
        <w:trPr/>
        <w:tc>
          <w:tcPr>
            <w:tcW w:w="7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9193" w:type="dxa"/>
            <w:tcBorders/>
            <w:shd w:fill="auto" w:val="clear"/>
            <w:vAlign w:val="center"/>
          </w:tcPr>
          <w:p>
            <w:pPr>
              <w:pStyle w:val="TableContents"/>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146" w:type="dxa"/>
            <w:tcBorders/>
            <w:shd w:fill="auto" w:val="clear"/>
            <w:vAlign w:val="center"/>
          </w:tcPr>
          <w:p>
            <w:pPr>
              <w:pStyle w:val="TableContents"/>
              <w:spacing w:before="0" w:after="0"/>
              <w:ind w:left="0" w:right="0" w:hanging="0"/>
              <w:jc w:val="left"/>
              <w:rPr/>
            </w:pPr>
            <w:r>
              <w:rPr/>
              <w:t> </w:t>
            </w:r>
          </w:p>
        </w:tc>
        <w:tc>
          <w:tcPr>
            <w:tcW w:w="4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r>
      <w:tr>
        <w:trPr/>
        <w:tc>
          <w:tcPr>
            <w:tcW w:w="7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9193" w:type="dxa"/>
            <w:tcBorders/>
            <w:shd w:fill="auto" w:val="cle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146" w:type="dxa"/>
            <w:tcBorders/>
            <w:shd w:fill="auto" w:val="clear"/>
            <w:vAlign w:val="center"/>
          </w:tcPr>
          <w:p>
            <w:pPr>
              <w:pStyle w:val="TableContents"/>
              <w:spacing w:before="0" w:after="0"/>
              <w:ind w:left="0" w:right="0" w:hanging="0"/>
              <w:jc w:val="left"/>
              <w:rPr/>
            </w:pPr>
            <w:r>
              <w:rPr/>
              <w:t> </w:t>
            </w:r>
          </w:p>
        </w:tc>
        <w:tc>
          <w:tcPr>
            <w:tcW w:w="4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r>
      <w:tr>
        <w:trPr/>
        <w:tc>
          <w:tcPr>
            <w:tcW w:w="7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9193" w:type="dxa"/>
            <w:tcBorders/>
            <w:shd w:fill="auto" w:val="clear"/>
            <w:vAlign w:val="center"/>
          </w:tcPr>
          <w:p>
            <w:pPr>
              <w:pStyle w:val="TableContents"/>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146" w:type="dxa"/>
            <w:tcBorders/>
            <w:shd w:fill="auto" w:val="clear"/>
            <w:vAlign w:val="center"/>
          </w:tcPr>
          <w:p>
            <w:pPr>
              <w:pStyle w:val="TableContents"/>
              <w:spacing w:before="0" w:after="0"/>
              <w:ind w:left="0" w:right="0" w:hanging="0"/>
              <w:jc w:val="left"/>
              <w:rPr/>
            </w:pPr>
            <w:r>
              <w:rPr/>
              <w:t> </w:t>
            </w:r>
          </w:p>
        </w:tc>
        <w:tc>
          <w:tcPr>
            <w:tcW w:w="4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r>
      <w:tr>
        <w:trPr/>
        <w:tc>
          <w:tcPr>
            <w:tcW w:w="7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9193" w:type="dxa"/>
            <w:tcBorders/>
            <w:shd w:fill="auto" w:val="cle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146" w:type="dxa"/>
            <w:tcBorders/>
            <w:shd w:fill="auto" w:val="clear"/>
            <w:vAlign w:val="center"/>
          </w:tcPr>
          <w:p>
            <w:pPr>
              <w:pStyle w:val="TableContents"/>
              <w:spacing w:before="0" w:after="0"/>
              <w:ind w:left="0" w:right="0" w:hanging="0"/>
              <w:jc w:val="left"/>
              <w:rPr/>
            </w:pPr>
            <w:r>
              <w:rPr/>
              <w:t> </w:t>
            </w:r>
          </w:p>
        </w:tc>
        <w:tc>
          <w:tcPr>
            <w:tcW w:w="4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r>
      <w:tr>
        <w:trPr/>
        <w:tc>
          <w:tcPr>
            <w:tcW w:w="718" w:type="dxa"/>
            <w:tcBorders/>
            <w:shd w:fill="auto" w:val="clear"/>
            <w:vAlign w:val="center"/>
          </w:tcPr>
          <w:p>
            <w:pPr>
              <w:pStyle w:val="TableContents"/>
              <w:spacing w:before="0" w:after="0"/>
              <w:ind w:left="0" w:right="0" w:hanging="0"/>
              <w:jc w:val="left"/>
              <w:rPr/>
            </w:pPr>
            <w:r>
              <w:rPr/>
              <w:t> </w:t>
            </w:r>
          </w:p>
        </w:tc>
        <w:tc>
          <w:tcPr>
            <w:tcW w:w="9193" w:type="dxa"/>
            <w:tcBorders/>
            <w:shd w:fill="auto" w:val="cle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146" w:type="dxa"/>
            <w:tcBorders/>
            <w:shd w:fill="auto" w:val="clear"/>
            <w:vAlign w:val="center"/>
          </w:tcPr>
          <w:p>
            <w:pPr>
              <w:pStyle w:val="TableContents"/>
              <w:spacing w:before="0" w:after="0"/>
              <w:ind w:left="0" w:right="0" w:hanging="0"/>
              <w:jc w:val="left"/>
              <w:rPr/>
            </w:pPr>
            <w:r>
              <w:rPr/>
              <w:t> </w:t>
            </w:r>
          </w:p>
        </w:tc>
        <w:tc>
          <w:tcPr>
            <w:tcW w:w="4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0" w:after="0"/>
        <w:jc w:val="center"/>
        <w:rPr>
          <w:rFonts w:ascii="Times New Roman;serif" w:hAnsi="Times New Roman;serif"/>
          <w:b/>
          <w:sz w:val="20"/>
        </w:rPr>
      </w:pPr>
      <w:r>
        <w:rPr>
          <w:rFonts w:ascii="Times New Roman;serif" w:hAnsi="Times New Roman;serif"/>
          <w:b/>
          <w:sz w:val="20"/>
        </w:rPr>
        <w:t>FIBROGEN, INC.</w:t>
      </w:r>
    </w:p>
    <w:p>
      <w:pPr>
        <w:pStyle w:val="TextBody"/>
        <w:spacing w:before="60" w:after="0"/>
        <w:jc w:val="center"/>
        <w:rPr>
          <w:rFonts w:ascii="Times New Roman;serif" w:hAnsi="Times New Roman;serif"/>
          <w:b/>
          <w:sz w:val="20"/>
        </w:rPr>
      </w:pPr>
      <w:bookmarkStart w:id="3" w:name="part_ifinancial_information"/>
      <w:bookmarkEnd w:id="3"/>
      <w:r>
        <w:rPr>
          <w:rFonts w:ascii="Times New Roman;serif" w:hAnsi="Times New Roman;serif"/>
          <w:b/>
          <w:sz w:val="20"/>
        </w:rPr>
        <w:t>PART I—FINANCIAL INFORMATION</w:t>
      </w:r>
    </w:p>
    <w:p>
      <w:pPr>
        <w:pStyle w:val="TextBody"/>
        <w:spacing w:before="60" w:after="0"/>
        <w:jc w:val="left"/>
        <w:rPr>
          <w:rFonts w:ascii="Times New Roman;serif" w:hAnsi="Times New Roman;serif"/>
          <w:b/>
          <w:sz w:val="20"/>
        </w:rPr>
      </w:pPr>
      <w:bookmarkStart w:id="4" w:name="item_1_condensed_consolidated_financial"/>
      <w:bookmarkEnd w:id="4"/>
      <w:r>
        <w:rPr>
          <w:rFonts w:ascii="Times New Roman;serif" w:hAnsi="Times New Roman;serif"/>
          <w:b/>
          <w:sz w:val="20"/>
        </w:rPr>
        <w:t>ITEM 1. FINANCIAL STATEMENTS</w:t>
      </w:r>
    </w:p>
    <w:p>
      <w:pPr>
        <w:pStyle w:val="TextBody"/>
        <w:spacing w:before="60" w:after="0"/>
        <w:jc w:val="center"/>
        <w:rPr>
          <w:rFonts w:ascii="Times New Roman;serif" w:hAnsi="Times New Roman;serif"/>
          <w:b/>
          <w:sz w:val="20"/>
        </w:rPr>
      </w:pPr>
      <w:bookmarkStart w:id="5" w:name="condensed_consolidated_balance_sheets"/>
      <w:bookmarkEnd w:id="5"/>
      <w:r>
        <w:rPr>
          <w:rFonts w:ascii="Times New Roman;serif" w:hAnsi="Times New Roman;serif"/>
          <w:b/>
          <w:sz w:val="20"/>
        </w:rPr>
        <w:t>CONDENSED CONSOLIDATED BALANCE SHEETS</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per share amounts)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left"/>
        <w:rPr/>
      </w:pPr>
      <w:r>
        <w:rPr/>
        <w:t> </w:t>
      </w:r>
    </w:p>
    <w:tbl>
      <w:tblPr>
        <w:tblW w:w="9700" w:type="dxa"/>
        <w:jc w:val="left"/>
        <w:tblInd w:w="0" w:type="dxa"/>
        <w:tblCellMar>
          <w:top w:w="28" w:type="dxa"/>
          <w:left w:w="28" w:type="dxa"/>
          <w:bottom w:w="28" w:type="dxa"/>
          <w:right w:w="28" w:type="dxa"/>
        </w:tblCellMar>
      </w:tblPr>
      <w:tblGrid>
        <w:gridCol w:w="5611"/>
        <w:gridCol w:w="246"/>
        <w:gridCol w:w="228"/>
        <w:gridCol w:w="1032"/>
        <w:gridCol w:w="246"/>
        <w:gridCol w:w="246"/>
        <w:gridCol w:w="271"/>
        <w:gridCol w:w="1229"/>
        <w:gridCol w:w="591"/>
      </w:tblGrid>
      <w:tr>
        <w:trPr/>
        <w:tc>
          <w:tcPr>
            <w:tcW w:w="561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5611" w:type="dxa"/>
            <w:tcBorders/>
            <w:shd w:fill="auto" w:val="clear"/>
            <w:vAlign w:val="center"/>
          </w:tcPr>
          <w:p>
            <w:pPr>
              <w:pStyle w:val="TableContents"/>
              <w:spacing w:before="0" w:after="0"/>
              <w:ind w:left="0" w:right="0" w:hanging="0"/>
              <w:jc w:val="center"/>
              <w:rPr/>
            </w:pPr>
            <w:r>
              <w:rPr/>
              <w:t> </w:t>
            </w:r>
          </w:p>
        </w:tc>
        <w:tc>
          <w:tcPr>
            <w:tcW w:w="246" w:type="dxa"/>
            <w:tcBorders/>
            <w:shd w:fill="auto" w:val="cle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1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Assets</w:t>
            </w:r>
          </w:p>
        </w:tc>
        <w:tc>
          <w:tcPr>
            <w:tcW w:w="2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5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Current assets:</w:t>
            </w:r>
          </w:p>
        </w:tc>
        <w:tc>
          <w:tcPr>
            <w:tcW w:w="2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56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Cash and cash equivalents</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188,550</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155,700</w:t>
            </w:r>
          </w:p>
        </w:tc>
        <w:tc>
          <w:tcPr>
            <w:tcW w:w="591" w:type="dxa"/>
            <w:tcBorders/>
            <w:shd w:fill="auto" w:val="clear"/>
            <w:vAlign w:val="center"/>
          </w:tcPr>
          <w:p>
            <w:pPr>
              <w:pStyle w:val="TableContents"/>
              <w:spacing w:before="0" w:after="0"/>
              <w:ind w:left="0" w:right="0" w:firstLine="200"/>
              <w:jc w:val="left"/>
              <w:rPr/>
            </w:pPr>
            <w:r>
              <w:rPr/>
              <w:t> </w:t>
            </w:r>
          </w:p>
        </w:tc>
      </w:tr>
      <w:tr>
        <w:trPr/>
        <w:tc>
          <w:tcPr>
            <w:tcW w:w="56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Short-term investments</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167,399</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2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266,308</w:t>
            </w:r>
          </w:p>
        </w:tc>
        <w:tc>
          <w:tcPr>
            <w:tcW w:w="591" w:type="dxa"/>
            <w:tcBorders/>
            <w:shd w:fill="auto" w:val="clear"/>
            <w:vAlign w:val="center"/>
          </w:tcPr>
          <w:p>
            <w:pPr>
              <w:pStyle w:val="TableContents"/>
              <w:spacing w:before="0" w:after="0"/>
              <w:ind w:left="0" w:right="0" w:firstLine="200"/>
              <w:jc w:val="left"/>
              <w:rPr/>
            </w:pPr>
            <w:r>
              <w:rPr/>
              <w:t> </w:t>
            </w:r>
          </w:p>
        </w:tc>
      </w:tr>
      <w:tr>
        <w:trPr/>
        <w:tc>
          <w:tcPr>
            <w:tcW w:w="561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6"/>
              </w:rPr>
              <w:t>Accounts receivable, net ($11,563</w:t>
            </w:r>
            <w:r>
              <w:rPr>
                <w:rFonts w:ascii="Times New Roman" w:hAnsi="Times New Roman"/>
                <w:sz w:val="20"/>
              </w:rPr>
              <w:t> </w:t>
            </w:r>
            <w:r>
              <w:rPr>
                <w:rFonts w:ascii="Times New Roman;serif" w:hAnsi="Times New Roman;serif"/>
                <w:b w:val="false"/>
                <w:sz w:val="16"/>
              </w:rPr>
              <w:t>and $12,088</w:t>
            </w:r>
            <w:r>
              <w:rPr>
                <w:rFonts w:ascii="Times New Roman" w:hAnsi="Times New Roman"/>
                <w:sz w:val="20"/>
              </w:rPr>
              <w:t> </w:t>
            </w:r>
            <w:r>
              <w:rPr>
                <w:rFonts w:ascii="Times New Roman;serif" w:hAnsi="Times New Roman;serif"/>
                <w:b w:val="false"/>
                <w:sz w:val="16"/>
              </w:rPr>
              <w:t>from related parties)</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17,654</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2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16,299</w:t>
            </w:r>
          </w:p>
        </w:tc>
        <w:tc>
          <w:tcPr>
            <w:tcW w:w="591" w:type="dxa"/>
            <w:tcBorders/>
            <w:shd w:fill="auto" w:val="clear"/>
            <w:vAlign w:val="center"/>
          </w:tcPr>
          <w:p>
            <w:pPr>
              <w:pStyle w:val="TableContents"/>
              <w:spacing w:before="0" w:after="0"/>
              <w:ind w:left="0" w:right="0" w:firstLine="200"/>
              <w:jc w:val="left"/>
              <w:rPr/>
            </w:pPr>
            <w:r>
              <w:rPr/>
              <w:t> </w:t>
            </w:r>
          </w:p>
        </w:tc>
      </w:tr>
      <w:tr>
        <w:trPr/>
        <w:tc>
          <w:tcPr>
            <w:tcW w:w="56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Inventories</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42,456</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2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40,436</w:t>
            </w:r>
          </w:p>
        </w:tc>
        <w:tc>
          <w:tcPr>
            <w:tcW w:w="591" w:type="dxa"/>
            <w:tcBorders/>
            <w:shd w:fill="auto" w:val="clear"/>
            <w:vAlign w:val="center"/>
          </w:tcPr>
          <w:p>
            <w:pPr>
              <w:pStyle w:val="TableContents"/>
              <w:spacing w:before="0" w:after="0"/>
              <w:ind w:left="0" w:right="0" w:firstLine="200"/>
              <w:jc w:val="left"/>
              <w:rPr/>
            </w:pPr>
            <w:r>
              <w:rPr/>
              <w:t> </w:t>
            </w:r>
          </w:p>
        </w:tc>
      </w:tr>
      <w:tr>
        <w:trPr/>
        <w:tc>
          <w:tcPr>
            <w:tcW w:w="56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Prepaid expenses and other current assets</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14,490</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14,083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611"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current assets</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430,549</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2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492,826</w:t>
            </w:r>
          </w:p>
        </w:tc>
        <w:tc>
          <w:tcPr>
            <w:tcW w:w="591" w:type="dxa"/>
            <w:tcBorders/>
            <w:shd w:fill="auto" w:val="clear"/>
            <w:vAlign w:val="center"/>
          </w:tcPr>
          <w:p>
            <w:pPr>
              <w:pStyle w:val="TableContents"/>
              <w:spacing w:before="0" w:after="0"/>
              <w:ind w:left="0" w:right="0" w:hanging="0"/>
              <w:jc w:val="left"/>
              <w:rPr/>
            </w:pPr>
            <w:r>
              <w:rPr/>
              <w:t> </w:t>
            </w:r>
          </w:p>
        </w:tc>
      </w:tr>
      <w:tr>
        <w:trPr/>
        <w:tc>
          <w:tcPr>
            <w:tcW w:w="5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Restricted time deposits</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2,072</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2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2,072</w:t>
            </w:r>
          </w:p>
        </w:tc>
        <w:tc>
          <w:tcPr>
            <w:tcW w:w="591" w:type="dxa"/>
            <w:tcBorders/>
            <w:shd w:fill="auto" w:val="clear"/>
            <w:vAlign w:val="center"/>
          </w:tcPr>
          <w:p>
            <w:pPr>
              <w:pStyle w:val="TableContents"/>
              <w:spacing w:before="0" w:after="0"/>
              <w:ind w:left="0" w:right="0" w:hanging="0"/>
              <w:jc w:val="left"/>
              <w:rPr/>
            </w:pPr>
            <w:r>
              <w:rPr/>
              <w:t> </w:t>
            </w:r>
          </w:p>
        </w:tc>
      </w:tr>
      <w:tr>
        <w:trPr/>
        <w:tc>
          <w:tcPr>
            <w:tcW w:w="5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Long-term investments</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2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4,348</w:t>
            </w:r>
          </w:p>
        </w:tc>
        <w:tc>
          <w:tcPr>
            <w:tcW w:w="591" w:type="dxa"/>
            <w:tcBorders/>
            <w:shd w:fill="auto" w:val="clear"/>
            <w:vAlign w:val="center"/>
          </w:tcPr>
          <w:p>
            <w:pPr>
              <w:pStyle w:val="TableContents"/>
              <w:spacing w:before="0" w:after="0"/>
              <w:ind w:left="0" w:right="0" w:hanging="0"/>
              <w:jc w:val="left"/>
              <w:rPr/>
            </w:pPr>
            <w:r>
              <w:rPr/>
              <w:t> </w:t>
            </w:r>
          </w:p>
        </w:tc>
      </w:tr>
      <w:tr>
        <w:trPr/>
        <w:tc>
          <w:tcPr>
            <w:tcW w:w="5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Property and equipment, net</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18,693</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2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20,605</w:t>
            </w:r>
          </w:p>
        </w:tc>
        <w:tc>
          <w:tcPr>
            <w:tcW w:w="591" w:type="dxa"/>
            <w:tcBorders/>
            <w:shd w:fill="auto" w:val="clear"/>
            <w:vAlign w:val="center"/>
          </w:tcPr>
          <w:p>
            <w:pPr>
              <w:pStyle w:val="TableContents"/>
              <w:spacing w:before="0" w:after="0"/>
              <w:ind w:left="0" w:right="0" w:hanging="0"/>
              <w:jc w:val="left"/>
              <w:rPr/>
            </w:pPr>
            <w:r>
              <w:rPr/>
              <w:t> </w:t>
            </w:r>
          </w:p>
        </w:tc>
      </w:tr>
      <w:tr>
        <w:trPr/>
        <w:tc>
          <w:tcPr>
            <w:tcW w:w="5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Equity method investment in unconsolidated variable interest entity</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5,884</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2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5,061</w:t>
            </w:r>
          </w:p>
        </w:tc>
        <w:tc>
          <w:tcPr>
            <w:tcW w:w="591" w:type="dxa"/>
            <w:tcBorders/>
            <w:shd w:fill="auto" w:val="clear"/>
            <w:vAlign w:val="center"/>
          </w:tcPr>
          <w:p>
            <w:pPr>
              <w:pStyle w:val="TableContents"/>
              <w:spacing w:before="0" w:after="0"/>
              <w:ind w:left="0" w:right="0" w:hanging="0"/>
              <w:jc w:val="left"/>
              <w:rPr/>
            </w:pPr>
            <w:r>
              <w:rPr/>
              <w:t> </w:t>
            </w:r>
          </w:p>
        </w:tc>
      </w:tr>
      <w:tr>
        <w:trPr/>
        <w:tc>
          <w:tcPr>
            <w:tcW w:w="5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Operating lease right-of-use assets</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76,674</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2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79,893</w:t>
            </w:r>
          </w:p>
        </w:tc>
        <w:tc>
          <w:tcPr>
            <w:tcW w:w="591" w:type="dxa"/>
            <w:tcBorders/>
            <w:shd w:fill="auto" w:val="clear"/>
            <w:vAlign w:val="center"/>
          </w:tcPr>
          <w:p>
            <w:pPr>
              <w:pStyle w:val="TableContents"/>
              <w:spacing w:before="0" w:after="0"/>
              <w:ind w:left="0" w:right="0" w:hanging="0"/>
              <w:jc w:val="left"/>
              <w:rPr/>
            </w:pPr>
            <w:r>
              <w:rPr/>
              <w:t> </w:t>
            </w:r>
          </w:p>
        </w:tc>
      </w:tr>
      <w:tr>
        <w:trPr/>
        <w:tc>
          <w:tcPr>
            <w:tcW w:w="5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Other assets</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4,672</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5,282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611" w:type="dxa"/>
            <w:tcBorders/>
            <w:shd w:fill="auto" w:val="clear"/>
            <w:vAlign w:val="center"/>
          </w:tcPr>
          <w:p>
            <w:pPr>
              <w:pStyle w:val="TableContents"/>
              <w:spacing w:before="0" w:after="0"/>
              <w:ind w:left="400" w:right="0" w:hanging="0"/>
              <w:jc w:val="left"/>
              <w:rPr>
                <w:rFonts w:ascii="Times New Roman;serif" w:hAnsi="Times New Roman;serif"/>
                <w:b/>
                <w:sz w:val="16"/>
              </w:rPr>
            </w:pPr>
            <w:r>
              <w:rPr>
                <w:rFonts w:ascii="Times New Roman;serif" w:hAnsi="Times New Roman;serif"/>
                <w:b/>
                <w:sz w:val="16"/>
              </w:rPr>
              <w:t>Total assets</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538,544</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610,087</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11" w:type="dxa"/>
            <w:tcBorders/>
            <w:shd w:fill="auto" w:val="clear"/>
            <w:vAlign w:val="center"/>
          </w:tcPr>
          <w:p>
            <w:pPr>
              <w:pStyle w:val="TableContents"/>
              <w:spacing w:before="0" w:after="283"/>
              <w:ind w:left="0" w:right="0" w:hanging="0"/>
              <w:rPr>
                <w:sz w:val="4"/>
                <w:szCs w:val="4"/>
              </w:rPr>
            </w:pPr>
            <w:r>
              <w:rPr>
                <w:sz w:val="4"/>
                <w:szCs w:val="4"/>
              </w:rPr>
            </w:r>
          </w:p>
        </w:tc>
        <w:tc>
          <w:tcPr>
            <w:tcW w:w="2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561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Liabilities, stockholders’ equity (deficit) and non-controlling interests</w:t>
            </w:r>
          </w:p>
        </w:tc>
        <w:tc>
          <w:tcPr>
            <w:tcW w:w="2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5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Current liabilities:</w:t>
            </w:r>
          </w:p>
        </w:tc>
        <w:tc>
          <w:tcPr>
            <w:tcW w:w="246" w:type="dxa"/>
            <w:tcBorders/>
            <w:shd w:fill="auto" w:val="clear"/>
            <w:vAlign w:val="center"/>
          </w:tcPr>
          <w:p>
            <w:pPr>
              <w:pStyle w:val="TableContents"/>
              <w:spacing w:before="0" w:after="0"/>
              <w:ind w:left="0" w:right="0" w:firstLine="100"/>
              <w:jc w:val="left"/>
              <w:rPr/>
            </w:pPr>
            <w:r>
              <w:rPr/>
              <w:t> </w:t>
            </w:r>
          </w:p>
        </w:tc>
        <w:tc>
          <w:tcPr>
            <w:tcW w:w="1260" w:type="dxa"/>
            <w:gridSpan w:val="2"/>
            <w:tcBorders/>
            <w:shd w:fill="auto" w:val="clear"/>
            <w:vAlign w:val="center"/>
          </w:tcPr>
          <w:p>
            <w:pPr>
              <w:pStyle w:val="TableContents"/>
              <w:spacing w:before="0" w:after="0"/>
              <w:ind w:left="100" w:right="0" w:hanging="0"/>
              <w:jc w:val="righ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500" w:type="dxa"/>
            <w:gridSpan w:val="2"/>
            <w:tcBorders/>
            <w:shd w:fill="auto" w:val="clear"/>
            <w:vAlign w:val="center"/>
          </w:tcPr>
          <w:p>
            <w:pPr>
              <w:pStyle w:val="TableContents"/>
              <w:spacing w:before="0" w:after="0"/>
              <w:ind w:left="10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561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6"/>
              </w:rPr>
              <w:t>Accounts payable ($57,499</w:t>
            </w:r>
            <w:r>
              <w:rPr>
                <w:rFonts w:ascii="Times New Roman" w:hAnsi="Times New Roman"/>
                <w:sz w:val="20"/>
              </w:rPr>
              <w:t> </w:t>
            </w:r>
            <w:r>
              <w:rPr>
                <w:rFonts w:ascii="Times New Roman;serif" w:hAnsi="Times New Roman;serif"/>
                <w:b w:val="false"/>
                <w:sz w:val="16"/>
              </w:rPr>
              <w:t>and $0</w:t>
            </w:r>
            <w:r>
              <w:rPr>
                <w:rFonts w:ascii="Times New Roman" w:hAnsi="Times New Roman"/>
                <w:sz w:val="20"/>
              </w:rPr>
              <w:t> </w:t>
            </w:r>
            <w:r>
              <w:rPr>
                <w:rFonts w:ascii="Times New Roman;serif" w:hAnsi="Times New Roman;serif"/>
                <w:b w:val="false"/>
                <w:sz w:val="16"/>
              </w:rPr>
              <w:t>to a related party)</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71,282</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30,758</w:t>
            </w:r>
          </w:p>
        </w:tc>
        <w:tc>
          <w:tcPr>
            <w:tcW w:w="591" w:type="dxa"/>
            <w:tcBorders/>
            <w:shd w:fill="auto" w:val="clear"/>
            <w:vAlign w:val="center"/>
          </w:tcPr>
          <w:p>
            <w:pPr>
              <w:pStyle w:val="TableContents"/>
              <w:spacing w:before="0" w:after="0"/>
              <w:ind w:left="0" w:right="0" w:firstLine="200"/>
              <w:jc w:val="left"/>
              <w:rPr/>
            </w:pPr>
            <w:r>
              <w:rPr/>
              <w:t> </w:t>
            </w:r>
          </w:p>
        </w:tc>
      </w:tr>
      <w:tr>
        <w:trPr/>
        <w:tc>
          <w:tcPr>
            <w:tcW w:w="561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6"/>
              </w:rPr>
              <w:t>Accrued and other current liabilities ($19,594</w:t>
            </w:r>
            <w:r>
              <w:rPr>
                <w:rFonts w:ascii="Times New Roman" w:hAnsi="Times New Roman"/>
                <w:sz w:val="20"/>
              </w:rPr>
              <w:t> </w:t>
            </w:r>
            <w:r>
              <w:rPr>
                <w:rFonts w:ascii="Times New Roman;serif" w:hAnsi="Times New Roman;serif"/>
                <w:b w:val="false"/>
                <w:sz w:val="16"/>
              </w:rPr>
              <w:t>and $63,886</w:t>
            </w:r>
            <w:r>
              <w:rPr>
                <w:rFonts w:ascii="Times New Roman" w:hAnsi="Times New Roman"/>
                <w:sz w:val="20"/>
              </w:rPr>
              <w:t> </w:t>
            </w:r>
            <w:r>
              <w:rPr>
                <w:rFonts w:ascii="Times New Roman;serif" w:hAnsi="Times New Roman;serif"/>
                <w:b w:val="false"/>
                <w:sz w:val="16"/>
              </w:rPr>
              <w:t>to a related party)</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157,042</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2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219,773</w:t>
            </w:r>
          </w:p>
        </w:tc>
        <w:tc>
          <w:tcPr>
            <w:tcW w:w="591" w:type="dxa"/>
            <w:tcBorders/>
            <w:shd w:fill="auto" w:val="clear"/>
            <w:vAlign w:val="center"/>
          </w:tcPr>
          <w:p>
            <w:pPr>
              <w:pStyle w:val="TableContents"/>
              <w:spacing w:before="0" w:after="0"/>
              <w:ind w:left="0" w:right="0" w:firstLine="200"/>
              <w:jc w:val="left"/>
              <w:rPr/>
            </w:pPr>
            <w:r>
              <w:rPr/>
              <w:t> </w:t>
            </w:r>
          </w:p>
        </w:tc>
      </w:tr>
      <w:tr>
        <w:trPr/>
        <w:tc>
          <w:tcPr>
            <w:tcW w:w="561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6"/>
              </w:rPr>
              <w:t>Deferred revenue ($13,129</w:t>
            </w:r>
            <w:r>
              <w:rPr>
                <w:rFonts w:ascii="Times New Roman" w:hAnsi="Times New Roman"/>
                <w:sz w:val="20"/>
              </w:rPr>
              <w:t> </w:t>
            </w:r>
            <w:r>
              <w:rPr>
                <w:rFonts w:ascii="Times New Roman;serif" w:hAnsi="Times New Roman;serif"/>
                <w:b w:val="false"/>
                <w:sz w:val="16"/>
              </w:rPr>
              <w:t>and $9,259</w:t>
            </w:r>
            <w:r>
              <w:rPr>
                <w:rFonts w:ascii="Times New Roman" w:hAnsi="Times New Roman"/>
                <w:sz w:val="20"/>
              </w:rPr>
              <w:t> </w:t>
            </w:r>
            <w:r>
              <w:rPr>
                <w:rFonts w:ascii="Times New Roman;serif" w:hAnsi="Times New Roman;serif"/>
                <w:b w:val="false"/>
                <w:sz w:val="16"/>
              </w:rPr>
              <w:t>to related parties)</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16,495</w:t>
            </w:r>
          </w:p>
        </w:tc>
        <w:tc>
          <w:tcPr>
            <w:tcW w:w="24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2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12,739</w:t>
            </w:r>
          </w:p>
        </w:tc>
        <w:tc>
          <w:tcPr>
            <w:tcW w:w="591" w:type="dxa"/>
            <w:tcBorders/>
            <w:shd w:fill="auto" w:val="clear"/>
            <w:vAlign w:val="center"/>
          </w:tcPr>
          <w:p>
            <w:pPr>
              <w:pStyle w:val="TableContents"/>
              <w:spacing w:before="0" w:after="0"/>
              <w:ind w:left="0" w:right="0" w:firstLine="200"/>
              <w:jc w:val="left"/>
              <w:rPr/>
            </w:pPr>
            <w:r>
              <w:rPr/>
              <w:t> </w:t>
            </w:r>
          </w:p>
        </w:tc>
      </w:tr>
      <w:tr>
        <w:trPr/>
        <w:tc>
          <w:tcPr>
            <w:tcW w:w="56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Operating lease liabilities, current</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9,927</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2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10,292</w:t>
            </w:r>
          </w:p>
        </w:tc>
        <w:tc>
          <w:tcPr>
            <w:tcW w:w="591" w:type="dxa"/>
            <w:tcBorders/>
            <w:shd w:fill="auto" w:val="clear"/>
            <w:vAlign w:val="center"/>
          </w:tcPr>
          <w:p>
            <w:pPr>
              <w:pStyle w:val="TableContents"/>
              <w:spacing w:before="0" w:after="0"/>
              <w:ind w:left="0" w:right="0" w:firstLine="400"/>
              <w:jc w:val="left"/>
              <w:rPr/>
            </w:pPr>
            <w:r>
              <w:rPr/>
              <w:t> </w:t>
            </w:r>
          </w:p>
        </w:tc>
      </w:tr>
      <w:tr>
        <w:trPr/>
        <w:tc>
          <w:tcPr>
            <w:tcW w:w="5611"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current liabilities</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032"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254,746</w:t>
            </w:r>
          </w:p>
        </w:tc>
        <w:tc>
          <w:tcPr>
            <w:tcW w:w="2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229"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273,562</w:t>
            </w:r>
          </w:p>
        </w:tc>
        <w:tc>
          <w:tcPr>
            <w:tcW w:w="5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r>
      <w:tr>
        <w:trPr/>
        <w:tc>
          <w:tcPr>
            <w:tcW w:w="5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Product development obligations</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17,276</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2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16,917</w:t>
            </w:r>
          </w:p>
        </w:tc>
        <w:tc>
          <w:tcPr>
            <w:tcW w:w="591" w:type="dxa"/>
            <w:tcBorders/>
            <w:shd w:fill="auto" w:val="clear"/>
            <w:vAlign w:val="center"/>
          </w:tcPr>
          <w:p>
            <w:pPr>
              <w:pStyle w:val="TableContents"/>
              <w:spacing w:before="0" w:after="0"/>
              <w:ind w:left="0" w:right="0" w:hanging="0"/>
              <w:jc w:val="left"/>
              <w:rPr/>
            </w:pPr>
            <w:r>
              <w:rPr/>
              <w:t> </w:t>
            </w:r>
          </w:p>
        </w:tc>
      </w:tr>
      <w:tr>
        <w:trPr/>
        <w:tc>
          <w:tcPr>
            <w:tcW w:w="56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6"/>
              </w:rPr>
              <w:t>Deferred revenue, net of current ($10,245</w:t>
            </w:r>
            <w:r>
              <w:rPr>
                <w:rFonts w:ascii="Times New Roman" w:hAnsi="Times New Roman"/>
                <w:sz w:val="20"/>
              </w:rPr>
              <w:t> </w:t>
            </w:r>
            <w:r>
              <w:rPr>
                <w:rFonts w:ascii="Times New Roman;serif" w:hAnsi="Times New Roman;serif"/>
                <w:b w:val="false"/>
                <w:sz w:val="16"/>
              </w:rPr>
              <w:t>and $31,044</w:t>
            </w:r>
            <w:r>
              <w:rPr>
                <w:rFonts w:ascii="Times New Roman" w:hAnsi="Times New Roman"/>
                <w:sz w:val="20"/>
              </w:rPr>
              <w:t> </w:t>
            </w:r>
            <w:r>
              <w:rPr>
                <w:rFonts w:ascii="Times New Roman;serif" w:hAnsi="Times New Roman;serif"/>
                <w:b w:val="false"/>
                <w:sz w:val="16"/>
              </w:rPr>
              <w:t>to a related party)</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163,089</w:t>
            </w:r>
          </w:p>
        </w:tc>
        <w:tc>
          <w:tcPr>
            <w:tcW w:w="24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2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185,722</w:t>
            </w:r>
          </w:p>
        </w:tc>
        <w:tc>
          <w:tcPr>
            <w:tcW w:w="591" w:type="dxa"/>
            <w:tcBorders/>
            <w:shd w:fill="auto" w:val="clear"/>
            <w:vAlign w:val="center"/>
          </w:tcPr>
          <w:p>
            <w:pPr>
              <w:pStyle w:val="TableContents"/>
              <w:spacing w:before="0" w:after="0"/>
              <w:ind w:left="0" w:right="0" w:hanging="0"/>
              <w:jc w:val="left"/>
              <w:rPr/>
            </w:pPr>
            <w:r>
              <w:rPr/>
              <w:t> </w:t>
            </w:r>
          </w:p>
        </w:tc>
      </w:tr>
      <w:tr>
        <w:trPr/>
        <w:tc>
          <w:tcPr>
            <w:tcW w:w="5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Operating lease liabilities, non-current</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76,885</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2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79,593</w:t>
            </w:r>
          </w:p>
        </w:tc>
        <w:tc>
          <w:tcPr>
            <w:tcW w:w="591" w:type="dxa"/>
            <w:tcBorders/>
            <w:shd w:fill="auto" w:val="clear"/>
            <w:vAlign w:val="center"/>
          </w:tcPr>
          <w:p>
            <w:pPr>
              <w:pStyle w:val="TableContents"/>
              <w:spacing w:before="0" w:after="0"/>
              <w:ind w:left="0" w:right="0" w:hanging="0"/>
              <w:jc w:val="left"/>
              <w:rPr/>
            </w:pPr>
            <w:r>
              <w:rPr/>
              <w:t> </w:t>
            </w:r>
          </w:p>
        </w:tc>
      </w:tr>
      <w:tr>
        <w:trPr/>
        <w:tc>
          <w:tcPr>
            <w:tcW w:w="5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Liability related to sale of future revenues, non-current</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48,370</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2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49,333</w:t>
            </w:r>
          </w:p>
        </w:tc>
        <w:tc>
          <w:tcPr>
            <w:tcW w:w="591" w:type="dxa"/>
            <w:tcBorders/>
            <w:shd w:fill="auto" w:val="clear"/>
            <w:vAlign w:val="center"/>
          </w:tcPr>
          <w:p>
            <w:pPr>
              <w:pStyle w:val="TableContents"/>
              <w:spacing w:before="0" w:after="0"/>
              <w:ind w:left="0" w:right="0" w:hanging="0"/>
              <w:jc w:val="left"/>
              <w:rPr/>
            </w:pPr>
            <w:r>
              <w:rPr/>
              <w:t> </w:t>
            </w:r>
          </w:p>
        </w:tc>
      </w:tr>
      <w:tr>
        <w:trPr/>
        <w:tc>
          <w:tcPr>
            <w:tcW w:w="56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6"/>
              </w:rPr>
              <w:t>Other long-term liabilities ($1,618</w:t>
            </w:r>
            <w:r>
              <w:rPr>
                <w:rFonts w:ascii="Times New Roman" w:hAnsi="Times New Roman"/>
                <w:sz w:val="20"/>
              </w:rPr>
              <w:t> </w:t>
            </w:r>
            <w:r>
              <w:rPr>
                <w:rFonts w:ascii="Times New Roman;serif" w:hAnsi="Times New Roman;serif"/>
                <w:b w:val="false"/>
                <w:sz w:val="16"/>
              </w:rPr>
              <w:t>and $0</w:t>
            </w:r>
            <w:r>
              <w:rPr>
                <w:rFonts w:ascii="Times New Roman" w:hAnsi="Times New Roman"/>
                <w:sz w:val="20"/>
              </w:rPr>
              <w:t> </w:t>
            </w:r>
            <w:r>
              <w:rPr>
                <w:rFonts w:ascii="Times New Roman;serif" w:hAnsi="Times New Roman;serif"/>
                <w:b w:val="false"/>
                <w:sz w:val="16"/>
              </w:rPr>
              <w:t>to a related party)</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7,063</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6,440</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611"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liabilities</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567,429</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2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611,567</w:t>
            </w:r>
          </w:p>
        </w:tc>
        <w:tc>
          <w:tcPr>
            <w:tcW w:w="591" w:type="dxa"/>
            <w:tcBorders/>
            <w:shd w:fill="auto" w:val="clear"/>
            <w:vAlign w:val="center"/>
          </w:tcPr>
          <w:p>
            <w:pPr>
              <w:pStyle w:val="TableContents"/>
              <w:spacing w:before="0" w:after="0"/>
              <w:ind w:left="0" w:right="0" w:firstLine="200"/>
              <w:jc w:val="left"/>
              <w:rPr/>
            </w:pPr>
            <w:r>
              <w:rPr/>
              <w:t> </w:t>
            </w:r>
          </w:p>
        </w:tc>
      </w:tr>
      <w:tr>
        <w:trPr/>
        <w:tc>
          <w:tcPr>
            <w:tcW w:w="5611" w:type="dxa"/>
            <w:tcBorders/>
            <w:shd w:fill="auto" w:val="clear"/>
            <w:vAlign w:val="center"/>
          </w:tcPr>
          <w:p>
            <w:pPr>
              <w:pStyle w:val="TableContents"/>
              <w:spacing w:before="0" w:after="283"/>
              <w:ind w:left="0" w:right="0" w:firstLine="200"/>
              <w:rPr>
                <w:sz w:val="4"/>
                <w:szCs w:val="4"/>
              </w:rPr>
            </w:pPr>
            <w:r>
              <w:rPr>
                <w:sz w:val="4"/>
                <w:szCs w:val="4"/>
              </w:rPr>
            </w:r>
          </w:p>
        </w:tc>
        <w:tc>
          <w:tcPr>
            <w:tcW w:w="2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56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6"/>
              </w:rPr>
              <w:t>Commitments</w:t>
            </w:r>
            <w:r>
              <w:rPr>
                <w:rFonts w:ascii="Times New Roman" w:hAnsi="Times New Roman"/>
                <w:sz w:val="20"/>
              </w:rPr>
              <w:t> </w:t>
            </w:r>
            <w:r>
              <w:rPr>
                <w:rFonts w:ascii="Times New Roman;serif" w:hAnsi="Times New Roman;serif"/>
                <w:b w:val="false"/>
                <w:sz w:val="16"/>
              </w:rPr>
              <w:t>and Contingencies (Note 10)</w:t>
            </w:r>
          </w:p>
        </w:tc>
        <w:tc>
          <w:tcPr>
            <w:tcW w:w="2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5611" w:type="dxa"/>
            <w:tcBorders/>
            <w:shd w:fill="auto" w:val="clear"/>
            <w:vAlign w:val="center"/>
          </w:tcPr>
          <w:p>
            <w:pPr>
              <w:pStyle w:val="TableContents"/>
              <w:spacing w:before="0" w:after="283"/>
              <w:ind w:left="0" w:right="0" w:hanging="0"/>
              <w:rPr>
                <w:sz w:val="4"/>
                <w:szCs w:val="4"/>
              </w:rPr>
            </w:pPr>
            <w:r>
              <w:rPr>
                <w:sz w:val="4"/>
                <w:szCs w:val="4"/>
              </w:rPr>
            </w:r>
          </w:p>
        </w:tc>
        <w:tc>
          <w:tcPr>
            <w:tcW w:w="2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5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Stockholders’ deficit:</w:t>
            </w:r>
          </w:p>
        </w:tc>
        <w:tc>
          <w:tcPr>
            <w:tcW w:w="2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561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6"/>
              </w:rPr>
              <w:t>Preferred stock, $0.01</w:t>
            </w:r>
            <w:r>
              <w:rPr>
                <w:rFonts w:ascii="Times New Roman" w:hAnsi="Times New Roman"/>
                <w:sz w:val="20"/>
              </w:rPr>
              <w:t> </w:t>
            </w:r>
            <w:r>
              <w:rPr>
                <w:rFonts w:ascii="Times New Roman;serif" w:hAnsi="Times New Roman;serif"/>
                <w:b w:val="false"/>
                <w:sz w:val="16"/>
              </w:rPr>
              <w:t>par value; 125,000</w:t>
            </w:r>
            <w:r>
              <w:rPr>
                <w:rFonts w:ascii="Times New Roman" w:hAnsi="Times New Roman"/>
                <w:sz w:val="20"/>
              </w:rPr>
              <w:t> </w:t>
            </w:r>
            <w:r>
              <w:rPr>
                <w:rFonts w:ascii="Times New Roman;serif" w:hAnsi="Times New Roman;serif"/>
                <w:b w:val="false"/>
                <w:sz w:val="16"/>
              </w:rPr>
              <w:t>shares authorized; no</w:t>
            </w:r>
            <w:r>
              <w:rPr>
                <w:rFonts w:ascii="Times New Roman" w:hAnsi="Times New Roman"/>
                <w:sz w:val="20"/>
              </w:rPr>
              <w:t> </w:t>
            </w:r>
            <w:r>
              <w:rPr>
                <w:rFonts w:ascii="Times New Roman;serif" w:hAnsi="Times New Roman;serif"/>
                <w:b w:val="false"/>
                <w:sz w:val="16"/>
              </w:rPr>
              <w:t xml:space="preserve">shares issued </w:t>
              <w:br/>
              <w:t>   and outstanding at March 31, 2023 and December 31, 2022</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229"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561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6"/>
              </w:rPr>
              <w:t>Common stock, $0.01</w:t>
            </w:r>
            <w:r>
              <w:rPr>
                <w:rFonts w:ascii="Times New Roman" w:hAnsi="Times New Roman"/>
                <w:sz w:val="20"/>
              </w:rPr>
              <w:t> </w:t>
            </w:r>
            <w:r>
              <w:rPr>
                <w:rFonts w:ascii="Times New Roman;serif" w:hAnsi="Times New Roman;serif"/>
                <w:b w:val="false"/>
                <w:sz w:val="16"/>
              </w:rPr>
              <w:t>par value; 225,000</w:t>
            </w:r>
            <w:r>
              <w:rPr>
                <w:rFonts w:ascii="Times New Roman" w:hAnsi="Times New Roman"/>
                <w:sz w:val="20"/>
              </w:rPr>
              <w:t> </w:t>
            </w:r>
            <w:r>
              <w:rPr>
                <w:rFonts w:ascii="Times New Roman;serif" w:hAnsi="Times New Roman;serif"/>
                <w:b w:val="false"/>
                <w:sz w:val="16"/>
              </w:rPr>
              <w:t>shares authorized at March 31, 2023</w:t>
              <w:br/>
              <w:t>  and December 31, 2022; 96,623</w:t>
            </w:r>
            <w:r>
              <w:rPr>
                <w:rFonts w:ascii="Times New Roman" w:hAnsi="Times New Roman"/>
                <w:sz w:val="20"/>
              </w:rPr>
              <w:t> </w:t>
            </w:r>
            <w:r>
              <w:rPr>
                <w:rFonts w:ascii="Times New Roman;serif" w:hAnsi="Times New Roman;serif"/>
                <w:b w:val="false"/>
                <w:sz w:val="16"/>
              </w:rPr>
              <w:t>and 94,166</w:t>
            </w:r>
            <w:r>
              <w:rPr>
                <w:rFonts w:ascii="Times New Roman" w:hAnsi="Times New Roman"/>
                <w:sz w:val="20"/>
              </w:rPr>
              <w:t> </w:t>
            </w:r>
            <w:r>
              <w:rPr>
                <w:rFonts w:ascii="Times New Roman;serif" w:hAnsi="Times New Roman;serif"/>
                <w:b w:val="false"/>
                <w:sz w:val="16"/>
              </w:rPr>
              <w:t xml:space="preserve">shares issued and outstanding at </w:t>
              <w:br/>
              <w:t>  March 31, 2023 and December 31, 2022</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966</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2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942</w:t>
            </w:r>
          </w:p>
        </w:tc>
        <w:tc>
          <w:tcPr>
            <w:tcW w:w="591" w:type="dxa"/>
            <w:tcBorders/>
            <w:shd w:fill="auto" w:val="clear"/>
            <w:vAlign w:val="center"/>
          </w:tcPr>
          <w:p>
            <w:pPr>
              <w:pStyle w:val="TableContents"/>
              <w:spacing w:before="0" w:after="0"/>
              <w:ind w:left="0" w:right="0" w:firstLine="200"/>
              <w:jc w:val="left"/>
              <w:rPr/>
            </w:pPr>
            <w:r>
              <w:rPr/>
              <w:t> </w:t>
            </w:r>
          </w:p>
        </w:tc>
      </w:tr>
      <w:tr>
        <w:trPr/>
        <w:tc>
          <w:tcPr>
            <w:tcW w:w="56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Additional paid-in capital</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1,589,145</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2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1,541,019</w:t>
            </w:r>
          </w:p>
        </w:tc>
        <w:tc>
          <w:tcPr>
            <w:tcW w:w="591" w:type="dxa"/>
            <w:tcBorders/>
            <w:shd w:fill="auto" w:val="clear"/>
            <w:vAlign w:val="center"/>
          </w:tcPr>
          <w:p>
            <w:pPr>
              <w:pStyle w:val="TableContents"/>
              <w:spacing w:before="0" w:after="0"/>
              <w:ind w:left="0" w:right="0" w:firstLine="200"/>
              <w:jc w:val="left"/>
              <w:rPr/>
            </w:pPr>
            <w:r>
              <w:rPr/>
              <w:t> </w:t>
            </w:r>
          </w:p>
        </w:tc>
      </w:tr>
      <w:tr>
        <w:trPr/>
        <w:tc>
          <w:tcPr>
            <w:tcW w:w="56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Accumulated other comprehensive loss</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(4,570</w:t>
            </w:r>
          </w:p>
        </w:tc>
        <w:tc>
          <w:tcPr>
            <w:tcW w:w="2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2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(5,720</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Accumulated deficit</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(1,634,393</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(1,557,688</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stockholders’ deficit</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(48,852</w:t>
            </w:r>
          </w:p>
        </w:tc>
        <w:tc>
          <w:tcPr>
            <w:tcW w:w="2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2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(21,447</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Non-controlling interests</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19,967</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19,967</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deficit</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(28,885</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(1,480</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Total liabilities, stockholders’ deficit and non-controlling interests</w:t>
            </w:r>
          </w:p>
        </w:tc>
        <w:tc>
          <w:tcPr>
            <w:tcW w:w="246" w:type="dxa"/>
            <w:tcBorders/>
            <w:shd w:fill="auto" w:val="cle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538,544</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610,087</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0" w:after="0"/>
        <w:jc w:val="center"/>
        <w:rPr>
          <w:rFonts w:ascii="Times New Roman;serif" w:hAnsi="Times New Roman;serif"/>
          <w:b/>
          <w:sz w:val="20"/>
        </w:rPr>
      </w:pPr>
      <w:r>
        <w:rPr>
          <w:rFonts w:ascii="Times New Roman;serif" w:hAnsi="Times New Roman;serif"/>
          <w:b/>
          <w:sz w:val="20"/>
        </w:rPr>
        <w:t>FIBROGEN, INC.</w:t>
      </w:r>
    </w:p>
    <w:p>
      <w:pPr>
        <w:pStyle w:val="TextBody"/>
        <w:spacing w:before="240" w:after="0"/>
        <w:jc w:val="center"/>
        <w:rPr>
          <w:rFonts w:ascii="Times New Roman;serif" w:hAnsi="Times New Roman;serif"/>
          <w:b/>
          <w:sz w:val="20"/>
        </w:rPr>
      </w:pPr>
      <w:bookmarkStart w:id="6" w:name="condensed_consolidated_statements_operat"/>
      <w:bookmarkEnd w:id="6"/>
      <w:r>
        <w:rPr>
          <w:rFonts w:ascii="Times New Roman;serif" w:hAnsi="Times New Roman;serif"/>
          <w:b/>
          <w:sz w:val="20"/>
        </w:rPr>
        <w:t>CONDENSED CONSOLIDATED STATEMENTS OF OPERATIONS</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per share amounts)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tbl>
      <w:tblPr>
        <w:tblW w:w="8317" w:type="dxa"/>
        <w:jc w:val="left"/>
        <w:tblInd w:w="0" w:type="dxa"/>
        <w:tblCellMar>
          <w:top w:w="28" w:type="dxa"/>
          <w:left w:w="28" w:type="dxa"/>
          <w:bottom w:w="28" w:type="dxa"/>
          <w:right w:w="28" w:type="dxa"/>
        </w:tblCellMar>
      </w:tblPr>
      <w:tblGrid>
        <w:gridCol w:w="5161"/>
        <w:gridCol w:w="146"/>
        <w:gridCol w:w="213"/>
        <w:gridCol w:w="789"/>
        <w:gridCol w:w="248"/>
        <w:gridCol w:w="147"/>
        <w:gridCol w:w="213"/>
        <w:gridCol w:w="789"/>
        <w:gridCol w:w="611"/>
      </w:tblGrid>
      <w:tr>
        <w:trPr/>
        <w:tc>
          <w:tcPr>
            <w:tcW w:w="5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51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7" w:type="dxa"/>
            <w:tcBorders/>
            <w:shd w:fill="auto" w:val="clear"/>
            <w:vAlign w:val="center"/>
          </w:tcPr>
          <w:p>
            <w:pPr>
              <w:pStyle w:val="TableContents"/>
              <w:spacing w:before="0" w:after="0"/>
              <w:ind w:left="0" w:right="0" w:hanging="0"/>
              <w:jc w:val="center"/>
              <w:rPr/>
            </w:pPr>
            <w:r>
              <w:rPr/>
              <w:t> </w:t>
            </w:r>
          </w:p>
        </w:tc>
        <w:tc>
          <w:tcPr>
            <w:tcW w:w="10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1002" w:type="dxa"/>
            <w:gridSpan w:val="2"/>
            <w:tcBorders/>
            <w:shd w:fill="auto" w:val="clear"/>
            <w:vAlign w:val="center"/>
          </w:tcPr>
          <w:p>
            <w:pPr>
              <w:pStyle w:val="TableContents"/>
              <w:spacing w:before="0" w:after="0"/>
              <w:ind w:left="0" w:right="0" w:hanging="0"/>
              <w:jc w:val="right"/>
              <w:rPr/>
            </w:pPr>
            <w:r>
              <w:rPr/>
              <w:t> </w:t>
            </w:r>
          </w:p>
        </w:tc>
        <w:tc>
          <w:tcPr>
            <w:tcW w:w="248" w:type="dxa"/>
            <w:tcBorders/>
            <w:shd w:fill="auto" w:val="clear"/>
            <w:vAlign w:val="center"/>
          </w:tcPr>
          <w:p>
            <w:pPr>
              <w:pStyle w:val="TableContents"/>
              <w:spacing w:before="0" w:after="0"/>
              <w:ind w:left="0" w:right="0" w:hanging="0"/>
              <w:jc w:val="righ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100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License revenue (includes $0</w:t>
            </w:r>
            <w:r>
              <w:rPr>
                <w:rFonts w:ascii="Times New Roman" w:hAnsi="Times New Roman"/>
                <w:sz w:val="20"/>
              </w:rPr>
              <w:t> </w:t>
            </w:r>
            <w:r>
              <w:rPr>
                <w:rFonts w:ascii="Times New Roman;serif" w:hAnsi="Times New Roman;serif"/>
                <w:b w:val="false"/>
                <w:sz w:val="20"/>
              </w:rPr>
              <w:t>and $22,590</w:t>
              <w:br/>
              <w:t>   from a related party)</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6,000</w:t>
            </w:r>
          </w:p>
        </w:tc>
        <w:tc>
          <w:tcPr>
            <w:tcW w:w="248" w:type="dxa"/>
            <w:tcBorders/>
            <w:shd w:fill="auto" w:val="clear"/>
            <w:vAlign w:val="center"/>
          </w:tcPr>
          <w:p>
            <w:pPr>
              <w:pStyle w:val="TableContents"/>
              <w:spacing w:before="0" w:after="0"/>
              <w:ind w:left="0" w:right="0" w:firstLine="100"/>
              <w:jc w:val="left"/>
              <w:rPr/>
            </w:pPr>
            <w:r>
              <w:rPr/>
              <w:t> </w:t>
            </w:r>
          </w:p>
        </w:tc>
        <w:tc>
          <w:tcPr>
            <w:tcW w:w="147" w:type="dxa"/>
            <w:tcBorders/>
            <w:shd w:fill="auto" w:val="clear"/>
            <w:vAlign w:val="center"/>
          </w:tcPr>
          <w:p>
            <w:pPr>
              <w:pStyle w:val="TableContents"/>
              <w:spacing w:before="0" w:after="0"/>
              <w:ind w:left="10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22,590</w:t>
            </w:r>
          </w:p>
        </w:tc>
        <w:tc>
          <w:tcPr>
            <w:tcW w:w="611" w:type="dxa"/>
            <w:tcBorders/>
            <w:shd w:fill="auto" w:val="cle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Development and other revenue (includes $1,624</w:t>
              <w:br/>
              <w:t>   and $5,180</w:t>
            </w:r>
            <w:r>
              <w:rPr>
                <w:rFonts w:ascii="Times New Roman" w:hAnsi="Times New Roman"/>
                <w:sz w:val="20"/>
              </w:rPr>
              <w:t> </w:t>
            </w:r>
            <w:r>
              <w:rPr>
                <w:rFonts w:ascii="Times New Roman;serif" w:hAnsi="Times New Roman;serif"/>
                <w:b w:val="false"/>
                <w:sz w:val="20"/>
              </w:rPr>
              <w:t>from a related party)</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3,891</w:t>
            </w:r>
          </w:p>
        </w:tc>
        <w:tc>
          <w:tcPr>
            <w:tcW w:w="248"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11,762</w:t>
            </w:r>
          </w:p>
        </w:tc>
        <w:tc>
          <w:tcPr>
            <w:tcW w:w="611" w:type="dxa"/>
            <w:tcBorders/>
            <w:shd w:fill="auto" w:val="cle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Product revenue, net (includes $21,372</w:t>
            </w:r>
            <w:r>
              <w:rPr>
                <w:rFonts w:ascii="Times New Roman" w:hAnsi="Times New Roman"/>
                <w:sz w:val="20"/>
              </w:rPr>
              <w:t> </w:t>
            </w:r>
            <w:r>
              <w:rPr>
                <w:rFonts w:ascii="Times New Roman;serif" w:hAnsi="Times New Roman;serif"/>
                <w:b w:val="false"/>
                <w:sz w:val="20"/>
              </w:rPr>
              <w:t>and $16,223</w:t>
              <w:br/>
              <w:t>   from a related party)</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24,161</w:t>
            </w:r>
          </w:p>
        </w:tc>
        <w:tc>
          <w:tcPr>
            <w:tcW w:w="248"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18,881</w:t>
            </w:r>
          </w:p>
        </w:tc>
        <w:tc>
          <w:tcPr>
            <w:tcW w:w="611" w:type="dxa"/>
            <w:tcBorders/>
            <w:shd w:fill="auto" w:val="cle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Drug product revenue (includes $2,109</w:t>
            </w:r>
            <w:r>
              <w:rPr>
                <w:rFonts w:ascii="Times New Roman" w:hAnsi="Times New Roman"/>
                <w:sz w:val="20"/>
              </w:rPr>
              <w:t> </w:t>
            </w:r>
            <w:r>
              <w:rPr>
                <w:rFonts w:ascii="Times New Roman;serif" w:hAnsi="Times New Roman;serif"/>
                <w:b w:val="false"/>
                <w:sz w:val="20"/>
              </w:rPr>
              <w:t>and $7,594</w:t>
              <w:br/>
              <w:t>   from a related party)</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2,109</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7,594</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16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36,161</w:t>
            </w:r>
          </w:p>
        </w:tc>
        <w:tc>
          <w:tcPr>
            <w:tcW w:w="248"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60,827</w:t>
            </w:r>
          </w:p>
        </w:tc>
        <w:tc>
          <w:tcPr>
            <w:tcW w:w="611" w:type="dxa"/>
            <w:tcBorders/>
            <w:shd w:fill="auto" w:val="clear"/>
            <w:vAlign w:val="center"/>
          </w:tcPr>
          <w:p>
            <w:pPr>
              <w:pStyle w:val="TableContents"/>
              <w:spacing w:before="0" w:after="0"/>
              <w:ind w:left="0" w:right="0" w:firstLine="400"/>
              <w:jc w:val="left"/>
              <w:rPr/>
            </w:pPr>
            <w:r>
              <w:rPr/>
              <w:t> </w:t>
            </w:r>
          </w:p>
        </w:tc>
      </w:tr>
      <w:tr>
        <w:trPr/>
        <w:tc>
          <w:tcPr>
            <w:tcW w:w="5161" w:type="dxa"/>
            <w:tcBorders/>
            <w:shd w:fill="auto" w:val="clear"/>
            <w:vAlign w:val="center"/>
          </w:tcPr>
          <w:p>
            <w:pPr>
              <w:pStyle w:val="TableContents"/>
              <w:spacing w:before="0" w:after="0"/>
              <w:ind w:left="4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2" w:type="dxa"/>
            <w:gridSpan w:val="2"/>
            <w:tcBorders/>
            <w:shd w:fill="auto" w:val="clear"/>
            <w:vAlign w:val="center"/>
          </w:tcPr>
          <w:p>
            <w:pPr>
              <w:pStyle w:val="TableContents"/>
              <w:spacing w:before="0" w:after="0"/>
              <w:ind w:left="0" w:right="0" w:hanging="0"/>
              <w:jc w:val="right"/>
              <w:rPr/>
            </w:pPr>
            <w:r>
              <w:rPr/>
              <w:t> </w:t>
            </w:r>
          </w:p>
        </w:tc>
        <w:tc>
          <w:tcPr>
            <w:tcW w:w="248" w:type="dxa"/>
            <w:tcBorders/>
            <w:shd w:fill="auto" w:val="clear"/>
            <w:vAlign w:val="center"/>
          </w:tcPr>
          <w:p>
            <w:pPr>
              <w:pStyle w:val="TableContents"/>
              <w:spacing w:before="0" w:after="0"/>
              <w:ind w:left="0" w:right="0" w:hanging="0"/>
              <w:jc w:val="righ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100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costs and expenses:</w:t>
            </w:r>
          </w:p>
        </w:tc>
        <w:tc>
          <w:tcPr>
            <w:tcW w:w="146" w:type="dxa"/>
            <w:tcBorders/>
            <w:shd w:fill="auto" w:val="clear"/>
            <w:vAlign w:val="center"/>
          </w:tcPr>
          <w:p>
            <w:pPr>
              <w:pStyle w:val="TableContents"/>
              <w:spacing w:before="0" w:after="0"/>
              <w:ind w:left="0" w:right="0" w:hanging="0"/>
              <w:jc w:val="left"/>
              <w:rPr/>
            </w:pPr>
            <w:r>
              <w:rPr/>
              <w:t> </w:t>
            </w:r>
          </w:p>
        </w:tc>
        <w:tc>
          <w:tcPr>
            <w:tcW w:w="1002" w:type="dxa"/>
            <w:gridSpan w:val="2"/>
            <w:tcBorders/>
            <w:shd w:fill="auto" w:val="clear"/>
            <w:vAlign w:val="center"/>
          </w:tcPr>
          <w:p>
            <w:pPr>
              <w:pStyle w:val="TableContents"/>
              <w:spacing w:before="0" w:after="0"/>
              <w:ind w:left="0" w:right="0" w:hanging="0"/>
              <w:jc w:val="right"/>
              <w:rPr/>
            </w:pPr>
            <w:r>
              <w:rPr/>
              <w:t> </w:t>
            </w:r>
          </w:p>
        </w:tc>
        <w:tc>
          <w:tcPr>
            <w:tcW w:w="248" w:type="dxa"/>
            <w:tcBorders/>
            <w:shd w:fill="auto" w:val="clear"/>
            <w:vAlign w:val="center"/>
          </w:tcPr>
          <w:p>
            <w:pPr>
              <w:pStyle w:val="TableContents"/>
              <w:spacing w:before="0" w:after="0"/>
              <w:ind w:left="0" w:right="0" w:hanging="0"/>
              <w:jc w:val="righ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100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goods sold</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3,491</w:t>
            </w:r>
          </w:p>
        </w:tc>
        <w:tc>
          <w:tcPr>
            <w:tcW w:w="248"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4,238</w:t>
            </w:r>
          </w:p>
        </w:tc>
        <w:tc>
          <w:tcPr>
            <w:tcW w:w="611" w:type="dxa"/>
            <w:tcBorders/>
            <w:shd w:fill="auto" w:val="cle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74,486</w:t>
            </w:r>
          </w:p>
        </w:tc>
        <w:tc>
          <w:tcPr>
            <w:tcW w:w="248"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89,018</w:t>
            </w:r>
          </w:p>
        </w:tc>
        <w:tc>
          <w:tcPr>
            <w:tcW w:w="611" w:type="dxa"/>
            <w:tcBorders/>
            <w:shd w:fill="auto" w:val="cle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34,275</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30,564</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16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costs and expenses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112,252</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123,820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(76,091</w:t>
            </w:r>
          </w:p>
        </w:tc>
        <w:tc>
          <w:tcPr>
            <w:tcW w:w="2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(62,993</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2" w:type="dxa"/>
            <w:gridSpan w:val="2"/>
            <w:tcBorders/>
            <w:shd w:fill="auto" w:val="clear"/>
            <w:vAlign w:val="center"/>
          </w:tcPr>
          <w:p>
            <w:pPr>
              <w:pStyle w:val="TableContents"/>
              <w:spacing w:before="0" w:after="0"/>
              <w:ind w:left="0" w:right="0" w:hanging="0"/>
              <w:jc w:val="right"/>
              <w:rPr/>
            </w:pPr>
            <w:r>
              <w:rPr/>
              <w:t> </w:t>
            </w:r>
          </w:p>
        </w:tc>
        <w:tc>
          <w:tcPr>
            <w:tcW w:w="248" w:type="dxa"/>
            <w:tcBorders/>
            <w:shd w:fill="auto" w:val="clear"/>
            <w:vAlign w:val="center"/>
          </w:tcPr>
          <w:p>
            <w:pPr>
              <w:pStyle w:val="TableContents"/>
              <w:spacing w:before="0" w:after="0"/>
              <w:ind w:left="0" w:right="0" w:hanging="0"/>
              <w:jc w:val="righ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100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Interest and other, net</w:t>
            </w:r>
          </w:p>
        </w:tc>
        <w:tc>
          <w:tcPr>
            <w:tcW w:w="146" w:type="dxa"/>
            <w:tcBorders/>
            <w:shd w:fill="auto" w:val="clear"/>
            <w:vAlign w:val="center"/>
          </w:tcPr>
          <w:p>
            <w:pPr>
              <w:pStyle w:val="TableContents"/>
              <w:spacing w:before="0" w:after="0"/>
              <w:ind w:left="0" w:right="0" w:hanging="0"/>
              <w:jc w:val="left"/>
              <w:rPr/>
            </w:pPr>
            <w:r>
              <w:rPr/>
              <w:t> </w:t>
            </w:r>
          </w:p>
        </w:tc>
        <w:tc>
          <w:tcPr>
            <w:tcW w:w="1002" w:type="dxa"/>
            <w:gridSpan w:val="2"/>
            <w:tcBorders/>
            <w:shd w:fill="auto" w:val="clear"/>
            <w:vAlign w:val="center"/>
          </w:tcPr>
          <w:p>
            <w:pPr>
              <w:pStyle w:val="TableContents"/>
              <w:spacing w:before="0" w:after="0"/>
              <w:ind w:left="0" w:right="0" w:hanging="0"/>
              <w:jc w:val="right"/>
              <w:rPr/>
            </w:pPr>
            <w:r>
              <w:rPr/>
              <w:t> </w:t>
            </w:r>
          </w:p>
        </w:tc>
        <w:tc>
          <w:tcPr>
            <w:tcW w:w="248" w:type="dxa"/>
            <w:tcBorders/>
            <w:shd w:fill="auto" w:val="clear"/>
            <w:vAlign w:val="center"/>
          </w:tcPr>
          <w:p>
            <w:pPr>
              <w:pStyle w:val="TableContents"/>
              <w:spacing w:before="0" w:after="0"/>
              <w:ind w:left="0" w:right="0" w:hanging="0"/>
              <w:jc w:val="righ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100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(2,372</w:t>
            </w:r>
          </w:p>
        </w:tc>
        <w:tc>
          <w:tcPr>
            <w:tcW w:w="2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 and other income (expenses), net</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1,036</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516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interest and other, net</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(1,336</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(419</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2" w:type="dxa"/>
            <w:gridSpan w:val="2"/>
            <w:tcBorders/>
            <w:shd w:fill="auto" w:val="clear"/>
            <w:vAlign w:val="center"/>
          </w:tcPr>
          <w:p>
            <w:pPr>
              <w:pStyle w:val="TableContents"/>
              <w:spacing w:before="0" w:after="0"/>
              <w:ind w:left="0" w:right="0" w:hanging="0"/>
              <w:jc w:val="right"/>
              <w:rPr/>
            </w:pPr>
            <w:r>
              <w:rPr/>
              <w:t> </w:t>
            </w:r>
          </w:p>
        </w:tc>
        <w:tc>
          <w:tcPr>
            <w:tcW w:w="248" w:type="dxa"/>
            <w:tcBorders/>
            <w:shd w:fill="auto" w:val="clear"/>
            <w:vAlign w:val="center"/>
          </w:tcPr>
          <w:p>
            <w:pPr>
              <w:pStyle w:val="TableContents"/>
              <w:spacing w:before="0" w:after="0"/>
              <w:ind w:left="0" w:right="0" w:hanging="0"/>
              <w:jc w:val="righ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100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(77,427</w:t>
            </w:r>
          </w:p>
        </w:tc>
        <w:tc>
          <w:tcPr>
            <w:tcW w:w="2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(63,412</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248"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611" w:type="dxa"/>
            <w:tcBorders/>
            <w:shd w:fill="auto" w:val="cle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Investment income in unconsolidated variable </w:t>
              <w:br/>
              <w:t>   interest entity</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796</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(76,705</w:t>
            </w:r>
          </w:p>
        </w:tc>
        <w:tc>
          <w:tcPr>
            <w:tcW w:w="2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(63,205</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161"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2" w:type="dxa"/>
            <w:gridSpan w:val="2"/>
            <w:tcBorders/>
            <w:shd w:fill="auto" w:val="clear"/>
            <w:vAlign w:val="center"/>
          </w:tcPr>
          <w:p>
            <w:pPr>
              <w:pStyle w:val="TableContents"/>
              <w:spacing w:before="0" w:after="0"/>
              <w:ind w:left="0" w:right="0" w:hanging="0"/>
              <w:jc w:val="right"/>
              <w:rPr/>
            </w:pPr>
            <w:r>
              <w:rPr/>
              <w:t> </w:t>
            </w:r>
          </w:p>
        </w:tc>
        <w:tc>
          <w:tcPr>
            <w:tcW w:w="248" w:type="dxa"/>
            <w:tcBorders/>
            <w:shd w:fill="auto" w:val="clear"/>
            <w:vAlign w:val="center"/>
          </w:tcPr>
          <w:p>
            <w:pPr>
              <w:pStyle w:val="TableContents"/>
              <w:spacing w:before="0" w:after="0"/>
              <w:ind w:left="0" w:right="0" w:hanging="0"/>
              <w:jc w:val="righ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100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 basic and diluted</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(0.81</w:t>
            </w:r>
          </w:p>
        </w:tc>
        <w:tc>
          <w:tcPr>
            <w:tcW w:w="2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(0.68</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2" w:type="dxa"/>
            <w:gridSpan w:val="2"/>
            <w:tcBorders/>
            <w:shd w:fill="auto" w:val="clear"/>
            <w:vAlign w:val="center"/>
          </w:tcPr>
          <w:p>
            <w:pPr>
              <w:pStyle w:val="TableContents"/>
              <w:spacing w:before="0" w:after="0"/>
              <w:ind w:left="0" w:right="0" w:hanging="0"/>
              <w:jc w:val="right"/>
              <w:rPr/>
            </w:pPr>
            <w:r>
              <w:rPr/>
              <w:t> </w:t>
            </w:r>
          </w:p>
        </w:tc>
        <w:tc>
          <w:tcPr>
            <w:tcW w:w="248" w:type="dxa"/>
            <w:tcBorders/>
            <w:shd w:fill="auto" w:val="clear"/>
            <w:vAlign w:val="center"/>
          </w:tcPr>
          <w:p>
            <w:pPr>
              <w:pStyle w:val="TableContents"/>
              <w:spacing w:before="0" w:after="0"/>
              <w:ind w:left="0" w:right="0" w:hanging="0"/>
              <w:jc w:val="righ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100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common shares used to calculate</w:t>
              <w:br/>
              <w:t>   net loss per share - basic and diluted</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94,691</w:t>
            </w:r>
          </w:p>
        </w:tc>
        <w:tc>
          <w:tcPr>
            <w:tcW w:w="248"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93,043</w:t>
            </w:r>
          </w:p>
        </w:tc>
        <w:tc>
          <w:tcPr>
            <w:tcW w:w="611" w:type="dxa"/>
            <w:tcBorders/>
            <w:shd w:fill="auto" w:val="clear"/>
            <w:vAlign w:val="center"/>
          </w:tcPr>
          <w:p>
            <w:pPr>
              <w:pStyle w:val="TableContents"/>
              <w:spacing w:before="0" w:after="0"/>
              <w:ind w:left="0" w:right="0" w:hanging="0"/>
              <w:jc w:val="left"/>
              <w:rPr/>
            </w:pPr>
            <w:r>
              <w:rPr/>
              <w:t> </w:t>
            </w:r>
          </w:p>
        </w:tc>
      </w:tr>
    </w:tbl>
    <w:p>
      <w:pPr>
        <w:pStyle w:val="TextBody"/>
        <w:spacing w:before="40" w:after="0"/>
        <w:jc w:val="center"/>
        <w:rPr/>
      </w:pPr>
      <w:r>
        <w:rPr/>
        <w:t> </w:t>
      </w:r>
    </w:p>
    <w:p>
      <w:pPr>
        <w:pStyle w:val="TextBody"/>
        <w:spacing w:before="4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0" w:after="0"/>
        <w:jc w:val="center"/>
        <w:rPr>
          <w:rFonts w:ascii="Times New Roman;serif" w:hAnsi="Times New Roman;serif"/>
          <w:b/>
          <w:sz w:val="20"/>
        </w:rPr>
      </w:pPr>
      <w:r>
        <w:rPr>
          <w:rFonts w:ascii="Times New Roman;serif" w:hAnsi="Times New Roman;serif"/>
          <w:b/>
          <w:sz w:val="20"/>
        </w:rPr>
        <w:t>FIBROGEN, INC.</w:t>
      </w:r>
    </w:p>
    <w:p>
      <w:pPr>
        <w:pStyle w:val="TextBody"/>
        <w:spacing w:before="240" w:after="0"/>
        <w:jc w:val="center"/>
        <w:rPr>
          <w:rFonts w:ascii="Times New Roman;serif" w:hAnsi="Times New Roman;serif"/>
          <w:b/>
          <w:sz w:val="20"/>
        </w:rPr>
      </w:pPr>
      <w:bookmarkStart w:id="7" w:name="condensed_consolidated_statements_compre"/>
      <w:bookmarkEnd w:id="7"/>
      <w:r>
        <w:rPr>
          <w:rFonts w:ascii="Times New Roman;serif" w:hAnsi="Times New Roman;serif"/>
          <w:b/>
          <w:sz w:val="20"/>
        </w:rPr>
        <w:t>CONDENSED CONSOLIDATED STATEMENTS OF COMPREHENSIVE LOSS</w:t>
      </w:r>
    </w:p>
    <w:p>
      <w:pPr>
        <w:pStyle w:val="TextBody"/>
        <w:spacing w:before="0" w:after="0"/>
        <w:jc w:val="center"/>
        <w:rPr>
          <w:rFonts w:ascii="Times New Roman;serif" w:hAnsi="Times New Roman;serif"/>
          <w:b/>
          <w:sz w:val="20"/>
        </w:rPr>
      </w:pPr>
      <w:r>
        <w:rPr>
          <w:rFonts w:ascii="Times New Roman;serif" w:hAnsi="Times New Roman;serif"/>
          <w:b/>
          <w:sz w:val="20"/>
        </w:rPr>
        <w:t>(In thousands)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tbl>
      <w:tblPr>
        <w:tblW w:w="7651" w:type="dxa"/>
        <w:jc w:val="left"/>
        <w:tblInd w:w="0" w:type="dxa"/>
        <w:tblCellMar>
          <w:top w:w="28" w:type="dxa"/>
          <w:left w:w="28" w:type="dxa"/>
          <w:bottom w:w="28" w:type="dxa"/>
          <w:right w:w="28" w:type="dxa"/>
        </w:tblCellMar>
      </w:tblPr>
      <w:tblGrid>
        <w:gridCol w:w="4516"/>
        <w:gridCol w:w="146"/>
        <w:gridCol w:w="229"/>
        <w:gridCol w:w="801"/>
        <w:gridCol w:w="180"/>
        <w:gridCol w:w="158"/>
        <w:gridCol w:w="229"/>
        <w:gridCol w:w="801"/>
        <w:gridCol w:w="591"/>
      </w:tblGrid>
      <w:tr>
        <w:trPr/>
        <w:tc>
          <w:tcPr>
            <w:tcW w:w="45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45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8" w:type="dxa"/>
            <w:tcBorders/>
            <w:shd w:fill="auto" w:val="clear"/>
            <w:vAlign w:val="center"/>
          </w:tcPr>
          <w:p>
            <w:pPr>
              <w:pStyle w:val="TableContents"/>
              <w:spacing w:before="0" w:after="0"/>
              <w:ind w:left="0" w:right="0" w:hanging="0"/>
              <w:jc w:val="center"/>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(76,705</w:t>
            </w:r>
          </w:p>
        </w:tc>
        <w:tc>
          <w:tcPr>
            <w:tcW w:w="1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(63,205</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righ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45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adjustments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w:t>
            </w:r>
          </w:p>
        </w:tc>
        <w:tc>
          <w:tcPr>
            <w:tcW w:w="1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w:t>
            </w:r>
          </w:p>
        </w:tc>
        <w:tc>
          <w:tcPr>
            <w:tcW w:w="591" w:type="dxa"/>
            <w:tcBorders/>
            <w:shd w:fill="auto" w:val="clear"/>
            <w:vAlign w:val="center"/>
          </w:tcPr>
          <w:p>
            <w:pPr>
              <w:pStyle w:val="TableContents"/>
              <w:spacing w:before="0" w:after="0"/>
              <w:ind w:left="0" w:right="0" w:firstLine="200"/>
              <w:jc w:val="left"/>
              <w:rPr/>
            </w:pPr>
            <w:r>
              <w:rPr/>
              <w:t> </w:t>
            </w:r>
          </w:p>
        </w:tc>
      </w:tr>
      <w:tr>
        <w:trPr/>
        <w:tc>
          <w:tcPr>
            <w:tcW w:w="45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Available-for-sale investments:</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righ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45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Unrealized gain (loss) on investments, net of tax effect</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1,398</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gain (loss), net of taxes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1,150</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Comprehensive loss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(75,555</w:t>
            </w:r>
          </w:p>
        </w:tc>
        <w:tc>
          <w:tcPr>
            <w:tcW w:w="1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(65,547</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40" w:after="0"/>
        <w:jc w:val="center"/>
        <w:rPr/>
      </w:pPr>
      <w:r>
        <w:rPr/>
        <w:t> </w:t>
      </w:r>
    </w:p>
    <w:p>
      <w:pPr>
        <w:pStyle w:val="TextBody"/>
        <w:spacing w:before="4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consolidated financial statements</w:t>
      </w:r>
    </w:p>
    <w:p>
      <w:pPr>
        <w:pStyle w:val="TextBody"/>
        <w:spacing w:before="40" w:after="0"/>
        <w:jc w:val="center"/>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0" w:after="0"/>
        <w:jc w:val="center"/>
        <w:rPr>
          <w:rFonts w:ascii="Times New Roman;serif" w:hAnsi="Times New Roman;serif"/>
          <w:b/>
          <w:sz w:val="20"/>
        </w:rPr>
      </w:pPr>
      <w:r>
        <w:rPr>
          <w:rFonts w:ascii="Times New Roman;serif" w:hAnsi="Times New Roman;serif"/>
          <w:b/>
          <w:sz w:val="20"/>
        </w:rPr>
        <w:t>FIBROGEN, INC.</w:t>
      </w:r>
    </w:p>
    <w:p>
      <w:pPr>
        <w:pStyle w:val="TextBody"/>
        <w:spacing w:before="240" w:after="0"/>
        <w:jc w:val="center"/>
        <w:rPr>
          <w:rFonts w:ascii="Times New Roman;serif" w:hAnsi="Times New Roman;serif"/>
          <w:b/>
          <w:sz w:val="20"/>
        </w:rPr>
      </w:pPr>
      <w:bookmarkStart w:id="8" w:name="condensed_consolidated_statements_equity"/>
      <w:bookmarkEnd w:id="8"/>
      <w:r>
        <w:rPr>
          <w:rFonts w:ascii="Times New Roman;serif" w:hAnsi="Times New Roman;serif"/>
          <w:b/>
          <w:sz w:val="20"/>
        </w:rPr>
        <w:t>CONDENSED CONSOLIDATED STATEMENTS OF CHANGES IN STOCKHOLDERS’ EQUITY (DEFICIT)</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 data)</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pPr>
      <w:r>
        <w:rPr/>
        <w:t> </w:t>
      </w:r>
    </w:p>
    <w:tbl>
      <w:tblPr>
        <w:tblW w:w="10539" w:type="dxa"/>
        <w:jc w:val="left"/>
        <w:tblInd w:w="0" w:type="dxa"/>
        <w:tblCellMar>
          <w:top w:w="28" w:type="dxa"/>
          <w:left w:w="28" w:type="dxa"/>
          <w:bottom w:w="28" w:type="dxa"/>
          <w:right w:w="28" w:type="dxa"/>
        </w:tblCellMar>
      </w:tblPr>
      <w:tblGrid>
        <w:gridCol w:w="1913"/>
        <w:gridCol w:w="146"/>
        <w:gridCol w:w="146"/>
        <w:gridCol w:w="916"/>
        <w:gridCol w:w="146"/>
        <w:gridCol w:w="146"/>
        <w:gridCol w:w="196"/>
        <w:gridCol w:w="376"/>
        <w:gridCol w:w="146"/>
        <w:gridCol w:w="146"/>
        <w:gridCol w:w="196"/>
        <w:gridCol w:w="826"/>
        <w:gridCol w:w="166"/>
        <w:gridCol w:w="146"/>
        <w:gridCol w:w="260"/>
        <w:gridCol w:w="761"/>
        <w:gridCol w:w="166"/>
        <w:gridCol w:w="146"/>
        <w:gridCol w:w="196"/>
        <w:gridCol w:w="886"/>
        <w:gridCol w:w="166"/>
        <w:gridCol w:w="146"/>
        <w:gridCol w:w="199"/>
        <w:gridCol w:w="612"/>
        <w:gridCol w:w="146"/>
        <w:gridCol w:w="146"/>
        <w:gridCol w:w="196"/>
        <w:gridCol w:w="691"/>
        <w:gridCol w:w="211"/>
      </w:tblGrid>
      <w:tr>
        <w:trPr/>
        <w:tc>
          <w:tcPr>
            <w:tcW w:w="19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91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9" w:type="dxa"/>
            <w:gridSpan w:val="2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 Period</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1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2" w:type="dxa"/>
            <w:gridSpan w:val="2"/>
            <w:tcBorders/>
            <w:shd w:fill="auto" w:val="cle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 xml:space="preserve">Additional </w:t>
              <w:br/>
              <w:t>Paid-in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Accumulated</w:t>
              <w:br/>
              <w:t>Other</w:t>
              <w:b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2" w:type="dxa"/>
            <w:gridSpan w:val="2"/>
            <w:tcBorders/>
            <w:shd w:fill="auto" w:val="cle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11" w:type="dxa"/>
            <w:gridSpan w:val="2"/>
            <w:tcBorders/>
            <w:shd w:fill="auto" w:val="cle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Non</w:t>
              <w:br/>
              <w:t>Controlling</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191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Income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Interests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13"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Balance at December 31,</w:t>
              <w:br/>
              <w:t>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94,166,086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1,541,019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(5,720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(1,557,688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19,967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(1,480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91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76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(76,705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(76,705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91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Change in unrealized gain or </w:t>
              <w:br/>
              <w:t>   loss on investments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7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1,398</w:t>
            </w:r>
          </w:p>
        </w:tc>
        <w:tc>
          <w:tcPr>
            <w:tcW w:w="211" w:type="dxa"/>
            <w:tcBorders/>
            <w:shd w:fill="auto" w:val="clear"/>
            <w:vAlign w:val="center"/>
          </w:tcPr>
          <w:p>
            <w:pPr>
              <w:pStyle w:val="TableContents"/>
              <w:spacing w:before="0" w:after="0"/>
              <w:ind w:left="0" w:right="0" w:hanging="0"/>
              <w:jc w:val="left"/>
              <w:rPr/>
            </w:pPr>
            <w:r>
              <w:rPr/>
              <w:t> </w:t>
            </w:r>
          </w:p>
        </w:tc>
      </w:tr>
      <w:tr>
        <w:trPr/>
        <w:tc>
          <w:tcPr>
            <w:tcW w:w="191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Foreign currency translation </w:t>
              <w:br/>
              <w:t>   adjustments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7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91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Issuance of common stock </w:t>
              <w:br/>
              <w:t>   under ATM Program</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1,541,579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31,116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76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31,131</w:t>
            </w:r>
          </w:p>
        </w:tc>
        <w:tc>
          <w:tcPr>
            <w:tcW w:w="211" w:type="dxa"/>
            <w:tcBorders/>
            <w:shd w:fill="auto" w:val="clear"/>
            <w:vAlign w:val="center"/>
          </w:tcPr>
          <w:p>
            <w:pPr>
              <w:pStyle w:val="TableContents"/>
              <w:spacing w:before="0" w:after="0"/>
              <w:ind w:left="0" w:right="0" w:hanging="0"/>
              <w:jc w:val="left"/>
              <w:rPr/>
            </w:pPr>
            <w:r>
              <w:rPr/>
              <w:t> </w:t>
            </w:r>
          </w:p>
        </w:tc>
      </w:tr>
      <w:tr>
        <w:trPr/>
        <w:tc>
          <w:tcPr>
            <w:tcW w:w="191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Shares issued from stock</w:t>
              <w:br/>
              <w:t>   plans, net of payroll taxes</w:t>
              <w:br/>
              <w:t>   paid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915,644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76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907</w:t>
            </w:r>
          </w:p>
        </w:tc>
        <w:tc>
          <w:tcPr>
            <w:tcW w:w="211" w:type="dxa"/>
            <w:tcBorders/>
            <w:shd w:fill="auto" w:val="clear"/>
            <w:vAlign w:val="center"/>
          </w:tcPr>
          <w:p>
            <w:pPr>
              <w:pStyle w:val="TableContents"/>
              <w:spacing w:before="0" w:after="0"/>
              <w:ind w:left="0" w:right="0" w:hanging="0"/>
              <w:jc w:val="left"/>
              <w:rPr/>
            </w:pPr>
            <w:r>
              <w:rPr/>
              <w:t> </w:t>
            </w:r>
          </w:p>
        </w:tc>
      </w:tr>
      <w:tr>
        <w:trPr/>
        <w:tc>
          <w:tcPr>
            <w:tcW w:w="191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16,112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16,112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913"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Balance at March 31,</w:t>
              <w:br/>
              <w:t>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96,623,309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966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1,589,145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(4,570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(1,634,393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19,967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(28,885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91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1913"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Balance at December 31,</w:t>
              <w:br/>
              <w:t>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92,880,533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1,476,414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(4,163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(1,264,034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19,967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229,113</w:t>
            </w:r>
          </w:p>
        </w:tc>
        <w:tc>
          <w:tcPr>
            <w:tcW w:w="211" w:type="dxa"/>
            <w:tcBorders/>
            <w:shd w:fill="auto" w:val="clear"/>
            <w:vAlign w:val="center"/>
          </w:tcPr>
          <w:p>
            <w:pPr>
              <w:pStyle w:val="TableContents"/>
              <w:spacing w:before="0" w:after="0"/>
              <w:ind w:left="0" w:right="0" w:hanging="0"/>
              <w:jc w:val="left"/>
              <w:rPr/>
            </w:pPr>
            <w:r>
              <w:rPr/>
              <w:t> </w:t>
            </w:r>
          </w:p>
        </w:tc>
      </w:tr>
      <w:tr>
        <w:trPr/>
        <w:tc>
          <w:tcPr>
            <w:tcW w:w="191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76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(63,205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(63,205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91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Change in unrealized gain or </w:t>
              <w:br/>
              <w:t>   loss on investments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7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(2,591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(2,591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91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Foreign currency translation </w:t>
              <w:br/>
              <w:t>   adjustments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7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249</w:t>
            </w:r>
          </w:p>
        </w:tc>
        <w:tc>
          <w:tcPr>
            <w:tcW w:w="211" w:type="dxa"/>
            <w:tcBorders/>
            <w:shd w:fill="auto" w:val="clear"/>
            <w:vAlign w:val="center"/>
          </w:tcPr>
          <w:p>
            <w:pPr>
              <w:pStyle w:val="TableContents"/>
              <w:spacing w:before="0" w:after="0"/>
              <w:ind w:left="0" w:right="0" w:hanging="0"/>
              <w:jc w:val="left"/>
              <w:rPr/>
            </w:pPr>
            <w:r>
              <w:rPr/>
              <w:t> </w:t>
            </w:r>
          </w:p>
        </w:tc>
      </w:tr>
      <w:tr>
        <w:trPr/>
        <w:tc>
          <w:tcPr>
            <w:tcW w:w="191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Shares issued from stock</w:t>
              <w:br/>
              <w:t>   plans, net of payroll taxes</w:t>
              <w:br/>
              <w:t>   paid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408,051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(2,707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76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(2,703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91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17,152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17,152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913"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Balance at March 31,</w:t>
              <w:br/>
              <w:t>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93,288,584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1,490,859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(6,505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(1,327,239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19,967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178,015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91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bl>
    <w:p>
      <w:pPr>
        <w:pStyle w:val="TextBody"/>
        <w:spacing w:before="40" w:after="0"/>
        <w:jc w:val="center"/>
        <w:rPr/>
      </w:pPr>
      <w:r>
        <w:rPr/>
        <w:t> </w:t>
      </w:r>
    </w:p>
    <w:p>
      <w:pPr>
        <w:pStyle w:val="TextBody"/>
        <w:spacing w:before="4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0" w:after="0"/>
        <w:jc w:val="center"/>
        <w:rPr>
          <w:rFonts w:ascii="Times New Roman;serif" w:hAnsi="Times New Roman;serif"/>
          <w:b/>
          <w:sz w:val="20"/>
        </w:rPr>
      </w:pPr>
      <w:r>
        <w:rPr>
          <w:rFonts w:ascii="Times New Roman;serif" w:hAnsi="Times New Roman;serif"/>
          <w:b/>
          <w:sz w:val="20"/>
        </w:rPr>
        <w:t>FIBROGEN, INC.</w:t>
      </w:r>
    </w:p>
    <w:p>
      <w:pPr>
        <w:pStyle w:val="TextBody"/>
        <w:spacing w:before="240" w:after="0"/>
        <w:jc w:val="center"/>
        <w:rPr>
          <w:rFonts w:ascii="Times New Roman;serif" w:hAnsi="Times New Roman;serif"/>
          <w:b/>
          <w:sz w:val="20"/>
        </w:rPr>
      </w:pPr>
      <w:bookmarkStart w:id="9" w:name="condensed_consolidated_statements_cash_f"/>
      <w:bookmarkEnd w:id="9"/>
      <w:r>
        <w:rPr>
          <w:rFonts w:ascii="Times New Roman;serif" w:hAnsi="Times New Roman;serif"/>
          <w:b/>
          <w:sz w:val="20"/>
        </w:rPr>
        <w:t>CONDENSED CONSOLIDATED STATEMENTS OF CASH FLOWS</w:t>
      </w:r>
    </w:p>
    <w:p>
      <w:pPr>
        <w:pStyle w:val="TextBody"/>
        <w:spacing w:before="0" w:after="0"/>
        <w:jc w:val="center"/>
        <w:rPr>
          <w:rFonts w:ascii="Times New Roman;serif" w:hAnsi="Times New Roman;serif"/>
          <w:b/>
          <w:sz w:val="20"/>
        </w:rPr>
      </w:pPr>
      <w:r>
        <w:rPr>
          <w:rFonts w:ascii="Times New Roman;serif" w:hAnsi="Times New Roman;serif"/>
          <w:b/>
          <w:sz w:val="20"/>
        </w:rPr>
        <w:t>(In thousands)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tbl>
      <w:tblPr>
        <w:tblW w:w="8844" w:type="dxa"/>
        <w:jc w:val="left"/>
        <w:tblInd w:w="0" w:type="dxa"/>
        <w:tblCellMar>
          <w:top w:w="28" w:type="dxa"/>
          <w:left w:w="28" w:type="dxa"/>
          <w:bottom w:w="28" w:type="dxa"/>
          <w:right w:w="28" w:type="dxa"/>
        </w:tblCellMar>
      </w:tblPr>
      <w:tblGrid>
        <w:gridCol w:w="5941"/>
        <w:gridCol w:w="146"/>
        <w:gridCol w:w="196"/>
        <w:gridCol w:w="751"/>
        <w:gridCol w:w="166"/>
        <w:gridCol w:w="146"/>
        <w:gridCol w:w="196"/>
        <w:gridCol w:w="691"/>
        <w:gridCol w:w="611"/>
      </w:tblGrid>
      <w:tr>
        <w:trPr/>
        <w:tc>
          <w:tcPr>
            <w:tcW w:w="59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59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Three Months Ended 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9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94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Operating activities</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59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(76,705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(63,205</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9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Adjustments to reconcile net loss to net cash used in operating activities:</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9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Depreciation</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2,542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2,450</w:t>
            </w:r>
          </w:p>
        </w:tc>
        <w:tc>
          <w:tcPr>
            <w:tcW w:w="611" w:type="dxa"/>
            <w:tcBorders/>
            <w:shd w:fill="auto" w:val="clear"/>
            <w:vAlign w:val="center"/>
          </w:tcPr>
          <w:p>
            <w:pPr>
              <w:pStyle w:val="TableContents"/>
              <w:spacing w:before="0" w:after="0"/>
              <w:ind w:left="0" w:right="0" w:firstLine="200"/>
              <w:jc w:val="left"/>
              <w:rPr/>
            </w:pPr>
            <w:r>
              <w:rPr/>
              <w:t> </w:t>
            </w:r>
          </w:p>
        </w:tc>
      </w:tr>
      <w:tr>
        <w:trPr/>
        <w:tc>
          <w:tcPr>
            <w:tcW w:w="59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Amortization of finance lease right-of-use assets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134</w:t>
            </w:r>
          </w:p>
        </w:tc>
        <w:tc>
          <w:tcPr>
            <w:tcW w:w="611" w:type="dxa"/>
            <w:tcBorders/>
            <w:shd w:fill="auto" w:val="clear"/>
            <w:vAlign w:val="center"/>
          </w:tcPr>
          <w:p>
            <w:pPr>
              <w:pStyle w:val="TableContents"/>
              <w:spacing w:before="0" w:after="0"/>
              <w:ind w:left="0" w:right="0" w:firstLine="200"/>
              <w:jc w:val="left"/>
              <w:rPr/>
            </w:pPr>
            <w:r>
              <w:rPr/>
              <w:t> </w:t>
            </w:r>
          </w:p>
        </w:tc>
      </w:tr>
      <w:tr>
        <w:trPr/>
        <w:tc>
          <w:tcPr>
            <w:tcW w:w="59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Net accretion of premium and discount on investments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928</w:t>
            </w:r>
          </w:p>
        </w:tc>
        <w:tc>
          <w:tcPr>
            <w:tcW w:w="611" w:type="dxa"/>
            <w:tcBorders/>
            <w:shd w:fill="auto" w:val="clear"/>
            <w:vAlign w:val="center"/>
          </w:tcPr>
          <w:p>
            <w:pPr>
              <w:pStyle w:val="TableContents"/>
              <w:spacing w:before="0" w:after="0"/>
              <w:ind w:left="0" w:right="0" w:firstLine="200"/>
              <w:jc w:val="left"/>
              <w:rPr/>
            </w:pPr>
            <w:r>
              <w:rPr/>
              <w:t> </w:t>
            </w:r>
          </w:p>
        </w:tc>
      </w:tr>
      <w:tr>
        <w:trPr/>
        <w:tc>
          <w:tcPr>
            <w:tcW w:w="59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Investment income in unconsolidated variable interest entity</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(796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(320</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9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Loss on disposal of property and equipment</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611" w:type="dxa"/>
            <w:tcBorders/>
            <w:shd w:fill="auto" w:val="clear"/>
            <w:vAlign w:val="center"/>
          </w:tcPr>
          <w:p>
            <w:pPr>
              <w:pStyle w:val="TableContents"/>
              <w:spacing w:before="0" w:after="0"/>
              <w:ind w:left="0" w:right="0" w:firstLine="200"/>
              <w:jc w:val="left"/>
              <w:rPr/>
            </w:pPr>
            <w:r>
              <w:rPr/>
              <w:t> </w:t>
            </w:r>
          </w:p>
        </w:tc>
      </w:tr>
      <w:tr>
        <w:trPr/>
        <w:tc>
          <w:tcPr>
            <w:tcW w:w="59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16,112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17,152</w:t>
            </w:r>
          </w:p>
        </w:tc>
        <w:tc>
          <w:tcPr>
            <w:tcW w:w="611" w:type="dxa"/>
            <w:tcBorders/>
            <w:shd w:fill="auto" w:val="clear"/>
            <w:vAlign w:val="center"/>
          </w:tcPr>
          <w:p>
            <w:pPr>
              <w:pStyle w:val="TableContents"/>
              <w:spacing w:before="0" w:after="0"/>
              <w:ind w:left="0" w:right="0" w:firstLine="200"/>
              <w:jc w:val="left"/>
              <w:rPr/>
            </w:pPr>
            <w:r>
              <w:rPr/>
              <w:t> </w:t>
            </w:r>
          </w:p>
        </w:tc>
      </w:tr>
      <w:tr>
        <w:trPr/>
        <w:tc>
          <w:tcPr>
            <w:tcW w:w="59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Non-cash interest expense related to sale of future revenues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firstLine="200"/>
              <w:jc w:val="left"/>
              <w:rPr/>
            </w:pPr>
            <w:r>
              <w:rPr/>
              <w:t> </w:t>
            </w:r>
          </w:p>
        </w:tc>
      </w:tr>
      <w:tr>
        <w:trPr/>
        <w:tc>
          <w:tcPr>
            <w:tcW w:w="59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Impairment of investment</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firstLine="200"/>
              <w:jc w:val="left"/>
              <w:rPr/>
            </w:pPr>
            <w:r>
              <w:rPr/>
              <w:t> </w:t>
            </w:r>
          </w:p>
        </w:tc>
      </w:tr>
      <w:tr>
        <w:trPr/>
        <w:tc>
          <w:tcPr>
            <w:tcW w:w="59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Realized loss on sales of available-for-sale securities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611" w:type="dxa"/>
            <w:tcBorders/>
            <w:shd w:fill="auto" w:val="clear"/>
            <w:vAlign w:val="center"/>
          </w:tcPr>
          <w:p>
            <w:pPr>
              <w:pStyle w:val="TableContents"/>
              <w:spacing w:before="0" w:after="0"/>
              <w:ind w:left="0" w:right="0" w:hanging="0"/>
              <w:jc w:val="left"/>
              <w:rPr/>
            </w:pPr>
            <w:r>
              <w:rPr/>
              <w:t> </w:t>
            </w:r>
          </w:p>
        </w:tc>
      </w:tr>
      <w:tr>
        <w:trPr/>
        <w:tc>
          <w:tcPr>
            <w:tcW w:w="59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Changes in operating assets and liabilities:</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9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Accounts receivable, net</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(1,299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(26,481</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9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Inventories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(1,940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(12,000</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9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Prepaid expenses and other current assets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11,382</w:t>
            </w:r>
          </w:p>
        </w:tc>
        <w:tc>
          <w:tcPr>
            <w:tcW w:w="611" w:type="dxa"/>
            <w:tcBorders/>
            <w:shd w:fill="auto" w:val="clear"/>
            <w:vAlign w:val="center"/>
          </w:tcPr>
          <w:p>
            <w:pPr>
              <w:pStyle w:val="TableContents"/>
              <w:spacing w:before="0" w:after="0"/>
              <w:ind w:left="0" w:right="0" w:firstLine="200"/>
              <w:jc w:val="left"/>
              <w:rPr/>
            </w:pPr>
            <w:r>
              <w:rPr/>
              <w:t> </w:t>
            </w:r>
          </w:p>
        </w:tc>
      </w:tr>
      <w:tr>
        <w:trPr/>
        <w:tc>
          <w:tcPr>
            <w:tcW w:w="59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Operating lease right-of-use assets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3,132</w:t>
            </w:r>
          </w:p>
        </w:tc>
        <w:tc>
          <w:tcPr>
            <w:tcW w:w="611" w:type="dxa"/>
            <w:tcBorders/>
            <w:shd w:fill="auto" w:val="clear"/>
            <w:vAlign w:val="center"/>
          </w:tcPr>
          <w:p>
            <w:pPr>
              <w:pStyle w:val="TableContents"/>
              <w:spacing w:before="0" w:after="0"/>
              <w:ind w:left="0" w:right="0" w:firstLine="200"/>
              <w:jc w:val="left"/>
              <w:rPr/>
            </w:pPr>
            <w:r>
              <w:rPr/>
              <w:t> </w:t>
            </w:r>
          </w:p>
        </w:tc>
      </w:tr>
      <w:tr>
        <w:trPr/>
        <w:tc>
          <w:tcPr>
            <w:tcW w:w="59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assets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(459</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9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Accounts payable</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40,473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10,207</w:t>
            </w:r>
          </w:p>
        </w:tc>
        <w:tc>
          <w:tcPr>
            <w:tcW w:w="611" w:type="dxa"/>
            <w:tcBorders/>
            <w:shd w:fill="auto" w:val="clear"/>
            <w:vAlign w:val="center"/>
          </w:tcPr>
          <w:p>
            <w:pPr>
              <w:pStyle w:val="TableContents"/>
              <w:spacing w:before="0" w:after="0"/>
              <w:ind w:left="0" w:right="0" w:firstLine="200"/>
              <w:jc w:val="left"/>
              <w:rPr/>
            </w:pPr>
            <w:r>
              <w:rPr/>
              <w:t> </w:t>
            </w:r>
          </w:p>
        </w:tc>
      </w:tr>
      <w:tr>
        <w:trPr/>
        <w:tc>
          <w:tcPr>
            <w:tcW w:w="59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Accrued and other liabilities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(66,266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65,993</w:t>
            </w:r>
          </w:p>
        </w:tc>
        <w:tc>
          <w:tcPr>
            <w:tcW w:w="611" w:type="dxa"/>
            <w:tcBorders/>
            <w:shd w:fill="auto" w:val="clear"/>
            <w:vAlign w:val="center"/>
          </w:tcPr>
          <w:p>
            <w:pPr>
              <w:pStyle w:val="TableContents"/>
              <w:spacing w:before="0" w:after="0"/>
              <w:ind w:left="0" w:right="0" w:firstLine="200"/>
              <w:jc w:val="left"/>
              <w:rPr/>
            </w:pPr>
            <w:r>
              <w:rPr/>
              <w:t> </w:t>
            </w:r>
          </w:p>
        </w:tc>
      </w:tr>
      <w:tr>
        <w:trPr/>
        <w:tc>
          <w:tcPr>
            <w:tcW w:w="59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Operating lease liabilities, current</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w:t>
            </w:r>
          </w:p>
        </w:tc>
        <w:tc>
          <w:tcPr>
            <w:tcW w:w="611" w:type="dxa"/>
            <w:tcBorders/>
            <w:shd w:fill="auto" w:val="clear"/>
            <w:vAlign w:val="center"/>
          </w:tcPr>
          <w:p>
            <w:pPr>
              <w:pStyle w:val="TableContents"/>
              <w:spacing w:before="0" w:after="0"/>
              <w:ind w:left="0" w:right="0" w:firstLine="200"/>
              <w:jc w:val="left"/>
              <w:rPr/>
            </w:pPr>
            <w:r>
              <w:rPr/>
              <w:t> </w:t>
            </w:r>
          </w:p>
        </w:tc>
      </w:tr>
      <w:tr>
        <w:trPr/>
        <w:tc>
          <w:tcPr>
            <w:tcW w:w="59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Deferred revenue</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(18,877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(13,024</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9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Accrued interest for finance lease liabilities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9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Operating lease liabilities, non-current</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(2,835</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94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long-term liabilities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(1,550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941"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Net cash used in operating activities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(101,591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(8,476</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9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594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Investing activities</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59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Purchases of property and equipment</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(591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(1,638</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9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Payment made for acquired in-process research and development asset</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(35,000</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9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Purchases of available-for-sale securities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(2,472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(20,912</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9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Proceeds from sales of available-for-sale securities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7,382</w:t>
            </w:r>
          </w:p>
        </w:tc>
        <w:tc>
          <w:tcPr>
            <w:tcW w:w="611" w:type="dxa"/>
            <w:tcBorders/>
            <w:shd w:fill="auto" w:val="clear"/>
            <w:vAlign w:val="center"/>
          </w:tcPr>
          <w:p>
            <w:pPr>
              <w:pStyle w:val="TableContents"/>
              <w:spacing w:before="0" w:after="0"/>
              <w:ind w:left="0" w:right="0" w:hanging="0"/>
              <w:jc w:val="left"/>
              <w:rPr/>
            </w:pPr>
            <w:r>
              <w:rPr/>
              <w:t> </w:t>
            </w:r>
          </w:p>
        </w:tc>
      </w:tr>
      <w:tr>
        <w:trPr/>
        <w:tc>
          <w:tcPr>
            <w:tcW w:w="59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Proceeds from maturities of investments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104,815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76,103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941"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Net cash provided by investing activities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103,482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25,935</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9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594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Financing activities</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59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Repayments of finance lease liabilities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9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Repayments of lease obligations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9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Cash paid for payroll taxes on restricted stock unit releases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(2,974</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9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Proceeds from issuance of common stock under ATM Program, net of commissions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30,750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hanging="0"/>
              <w:jc w:val="left"/>
              <w:rPr/>
            </w:pPr>
            <w:r>
              <w:rPr/>
              <w:t> </w:t>
            </w:r>
          </w:p>
        </w:tc>
      </w:tr>
      <w:tr>
        <w:trPr/>
        <w:tc>
          <w:tcPr>
            <w:tcW w:w="59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Proceeds from issuance of common stock under employee stock plans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183</w:t>
            </w:r>
          </w:p>
        </w:tc>
        <w:tc>
          <w:tcPr>
            <w:tcW w:w="611" w:type="dxa"/>
            <w:tcBorders/>
            <w:shd w:fill="auto" w:val="clear"/>
            <w:vAlign w:val="center"/>
          </w:tcPr>
          <w:p>
            <w:pPr>
              <w:pStyle w:val="TableContents"/>
              <w:spacing w:before="0" w:after="0"/>
              <w:ind w:left="0" w:right="0" w:firstLine="400"/>
              <w:jc w:val="left"/>
              <w:rPr/>
            </w:pPr>
            <w:r>
              <w:rPr/>
              <w:t> </w:t>
            </w:r>
          </w:p>
        </w:tc>
      </w:tr>
      <w:tr>
        <w:trPr/>
        <w:tc>
          <w:tcPr>
            <w:tcW w:w="5941"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Net cash provided by (used in) financing activities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5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31,485</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(2,893</w:t>
            </w:r>
          </w:p>
        </w:tc>
        <w:tc>
          <w:tcPr>
            <w:tcW w:w="6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9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Effect of exchange rate change on cash and cash equivalents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107</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9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increase in cash and cash equivalents</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32,850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14,673</w:t>
            </w:r>
          </w:p>
        </w:tc>
        <w:tc>
          <w:tcPr>
            <w:tcW w:w="611" w:type="dxa"/>
            <w:tcBorders/>
            <w:shd w:fill="auto" w:val="clear"/>
            <w:vAlign w:val="center"/>
          </w:tcPr>
          <w:p>
            <w:pPr>
              <w:pStyle w:val="TableContents"/>
              <w:spacing w:before="0" w:after="0"/>
              <w:ind w:left="0" w:right="0" w:hanging="0"/>
              <w:jc w:val="left"/>
              <w:rPr/>
            </w:pPr>
            <w:r>
              <w:rPr/>
              <w:t> </w:t>
            </w:r>
          </w:p>
        </w:tc>
      </w:tr>
      <w:tr>
        <w:trPr/>
        <w:tc>
          <w:tcPr>
            <w:tcW w:w="59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cash and cash equivalents at beginning of period</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155,700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171,223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9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cash and cash equivalents at end of period</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188,550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185,896</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0" w:after="0"/>
        <w:jc w:val="center"/>
        <w:rPr>
          <w:rFonts w:ascii="Times New Roman;serif" w:hAnsi="Times New Roman;serif"/>
          <w:b/>
          <w:sz w:val="20"/>
        </w:rPr>
      </w:pPr>
      <w:r>
        <w:rPr>
          <w:rFonts w:ascii="Times New Roman;serif" w:hAnsi="Times New Roman;serif"/>
          <w:b/>
          <w:sz w:val="20"/>
        </w:rPr>
        <w:t>FIBROGEN, INC.</w:t>
      </w:r>
    </w:p>
    <w:p>
      <w:pPr>
        <w:pStyle w:val="TextBody"/>
        <w:spacing w:before="240" w:after="0"/>
        <w:jc w:val="center"/>
        <w:rPr>
          <w:rFonts w:ascii="Times New Roman;serif" w:hAnsi="Times New Roman;serif"/>
          <w:b/>
          <w:sz w:val="20"/>
        </w:rPr>
      </w:pPr>
      <w:bookmarkStart w:id="10" w:name="notes_to_condensed_consolidated_financia"/>
      <w:bookmarkEnd w:id="10"/>
      <w:r>
        <w:rPr>
          <w:rFonts w:ascii="Times New Roman;serif" w:hAnsi="Times New Roman;serif"/>
          <w:b/>
          <w:sz w:val="20"/>
        </w:rPr>
        <w:t>NOTES TO THE CONDENSED CONSOLIDATED 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120" w:after="0"/>
        <w:jc w:val="left"/>
        <w:rPr>
          <w:rFonts w:ascii="Times New Roman;serif" w:hAnsi="Times New Roman;serif"/>
          <w:b/>
          <w:sz w:val="20"/>
        </w:rPr>
      </w:pPr>
      <w:r>
        <w:rPr>
          <w:rFonts w:ascii="Times New Roman;serif" w:hAnsi="Times New Roman;serif"/>
          <w:b/>
          <w:sz w:val="20"/>
        </w:rPr>
        <w:t>1. Significant Accounting Policies</w:t>
      </w:r>
    </w:p>
    <w:p>
      <w:pPr>
        <w:pStyle w:val="TextBody"/>
        <w:spacing w:before="120" w:after="0"/>
        <w:jc w:val="left"/>
        <w:rPr>
          <w:rFonts w:ascii="Times New Roman;serif" w:hAnsi="Times New Roman;serif"/>
          <w:b/>
          <w:sz w:val="20"/>
        </w:rPr>
      </w:pPr>
      <w:r>
        <w:rPr>
          <w:rFonts w:ascii="Times New Roman;serif" w:hAnsi="Times New Roman;serif"/>
          <w:b/>
          <w:sz w:val="20"/>
        </w:rPr>
        <w:t>Description of Operations</w:t>
      </w:r>
    </w:p>
    <w:p>
      <w:pPr>
        <w:pStyle w:val="TextBody"/>
        <w:spacing w:before="120" w:after="0"/>
        <w:jc w:val="left"/>
        <w:rPr>
          <w:rFonts w:ascii="Times New Roman" w:hAnsi="Times New Roman"/>
          <w:sz w:val="20"/>
        </w:rPr>
      </w:pPr>
      <w:r>
        <w:rPr>
          <w:rFonts w:ascii="Times New Roman;serif" w:hAnsi="Times New Roman;serif"/>
          <w:b w:val="false"/>
          <w:sz w:val="20"/>
        </w:rPr>
        <w:t>FibroGen, Inc. (“FibroGen” or the “Company”) is headquartered in San Francisco, California, with subsidiary offices in Beijing and Shanghai, People’s Republic of China (“China”). FibroGen is a leading biopharmaceutical company discovering, developing and commercializing a pipeline of first-in-class therapeutics. The Company applies its pioneering expertise in hypoxia-inducible factor (“HIF”) biology, 2-oxoglutarate enzymology, and connective tissue growth factor to advance innovative medicines for the treatment of anemia, fibrotic disease, and cancer.</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Pamrevlumab, a human monoclonal antibody targeting connective tissue growth factor, is in Phase 3 clinical development for the treatment of idiopathic pulmonary fibrosis, locally advanced unresectable pancreatic cancer and Duchenne muscular dystrophy. To date, the Company has retained exclusive worldwide rights for pamrevlumab.</w:t>
      </w:r>
    </w:p>
    <w:p>
      <w:pPr>
        <w:pStyle w:val="TextBody"/>
        <w:spacing w:before="240" w:after="0"/>
        <w:jc w:val="left"/>
        <w:rPr/>
      </w:pPr>
      <w:r>
        <w:rPr>
          <w:rFonts w:ascii="Times New Roman;serif" w:hAnsi="Times New Roman;serif"/>
          <w:b w:val="false"/>
          <w:sz w:val="20"/>
        </w:rPr>
        <w:t>Roxadustat is an oral small molecule inhibitor of HIF prolyl hydroxylase activity. Roxadustat (</w:t>
      </w:r>
      <w:r>
        <w:rPr>
          <w:rFonts w:eastAsia="Times New Roman;serif"/>
          <w:b w:val="false"/>
          <w:sz w:val="20"/>
        </w:rPr>
        <w:t>爱瑞卓</w:t>
      </w:r>
      <w:r>
        <w:rPr>
          <w:rFonts w:ascii="Times New Roman;serif" w:hAnsi="Times New Roman;serif"/>
          <w:b w:val="false"/>
          <w:sz w:val="13"/>
        </w:rPr>
        <w:t>®</w:t>
      </w:r>
      <w:r>
        <w:rPr>
          <w:rFonts w:ascii="Times New Roman;serif" w:hAnsi="Times New Roman;serif"/>
          <w:b w:val="false"/>
          <w:sz w:val="20"/>
        </w:rPr>
        <w:t>, EVRENZO</w:t>
      </w:r>
      <w:r>
        <w:rPr>
          <w:rFonts w:ascii="Times New Roman;serif" w:hAnsi="Times New Roman;serif"/>
          <w:b w:val="false"/>
          <w:sz w:val="13"/>
        </w:rPr>
        <w:t>TM</w:t>
      </w:r>
      <w:r>
        <w:rPr>
          <w:rFonts w:ascii="Times New Roman;serif" w:hAnsi="Times New Roman;serif"/>
          <w:b w:val="false"/>
          <w:sz w:val="20"/>
        </w:rPr>
        <w:t>) is approved in China, Europe, Japan, and numerous other countries for the treatment of anemia in chronic kidney disease for patients who are on dialysis and not on dialysis.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Roxadustat is in Phase 3 clinical development for anemia associated with myelodysplastic syndromes, in the United States (“U.S.”) and Europe, and chemotherapy-induced anemia in China.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has a pipeline of late-stage clinical programs as well as preclinical drug candidates at various stages of development that include both small molecules and biologics. FibroGen’s goal is to build a diversified pipeline with novel drugs that will address unmet patient needs in oncology, immunology, and fibrosis.</w:t>
      </w:r>
    </w:p>
    <w:p>
      <w:pPr>
        <w:pStyle w:val="TextBody"/>
        <w:spacing w:before="360" w:after="0"/>
        <w:jc w:val="left"/>
        <w:rPr>
          <w:rFonts w:ascii="Times New Roman;serif" w:hAnsi="Times New Roman;serif"/>
          <w:b/>
          <w:sz w:val="20"/>
        </w:rPr>
      </w:pPr>
      <w:r>
        <w:rPr>
          <w:rFonts w:ascii="Times New Roman;serif" w:hAnsi="Times New Roman;serif"/>
          <w:b/>
          <w:sz w:val="20"/>
        </w:rPr>
        <w:t>Basis of Presentation and Principles of Consolidation</w:t>
      </w:r>
    </w:p>
    <w:p>
      <w:pPr>
        <w:pStyle w:val="TextBody"/>
        <w:spacing w:before="120" w:after="0"/>
        <w:jc w:val="left"/>
        <w:rPr>
          <w:rFonts w:ascii="Times New Roman" w:hAnsi="Times New Roman"/>
          <w:sz w:val="20"/>
        </w:rPr>
      </w:pPr>
      <w:r>
        <w:rPr>
          <w:rFonts w:ascii="Times New Roman;serif" w:hAnsi="Times New Roman;serif"/>
          <w:b w:val="false"/>
          <w:sz w:val="20"/>
        </w:rPr>
        <w:t>The condensed consolidated financial statements include the accounts of FibroGen, its wholly-owned subsidiaries and its majority-owned subsidiaries, FibroGen Europe Oy and FibroGen China Anemia Holdings, Ltd. All inter-company transactions and balances have been eliminated in consolidation. For any variable interest entity (“VIE”) for which FibroGen is not the primary beneficiary, the Company uses the equity method of accounting.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operates as one</w:t>
      </w:r>
      <w:r>
        <w:rPr>
          <w:rFonts w:ascii="Times New Roman" w:hAnsi="Times New Roman"/>
          <w:sz w:val="20"/>
        </w:rPr>
        <w:t xml:space="preserve"> </w:t>
      </w:r>
      <w:r>
        <w:rPr>
          <w:rFonts w:ascii="Times New Roman;serif" w:hAnsi="Times New Roman;serif"/>
          <w:b w:val="false"/>
          <w:sz w:val="20"/>
        </w:rPr>
        <w:t>reportable segment — the discovery, development and commercialization of novel therapeutics to treat serious unmet medical needs.</w:t>
      </w:r>
    </w:p>
    <w:p>
      <w:pPr>
        <w:pStyle w:val="TextBody"/>
        <w:spacing w:before="240" w:after="0"/>
        <w:jc w:val="left"/>
        <w:rPr>
          <w:rFonts w:ascii="Times New Roman" w:hAnsi="Times New Roman"/>
          <w:sz w:val="20"/>
        </w:rPr>
      </w:pPr>
      <w:r>
        <w:rPr>
          <w:rFonts w:ascii="Times New Roman;serif" w:hAnsi="Times New Roman;serif"/>
          <w:b w:val="false"/>
          <w:sz w:val="20"/>
        </w:rPr>
        <w:t>The unaudited condensed consolidated financial statements and related disclosures have been prepared in accordance with accounting principles generally accepted in the U.S. (“U.S. GAAP”) applicable to interim financial reporting and with the instructions to Form 10-Q and Rule 10-01 of Regulation S-X of the U.S.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for the year ended December 31, 2022, filed on February 27, 2023 (“2022 Form 10-K”).</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Use of Estimates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and deferred revenue, specifically, estimates in variable consideration for drug product sales, and estimates in transaction price per unit for the China performance obligation.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sz w:val="20"/>
        </w:rPr>
      </w:pPr>
      <w:r>
        <w:rPr>
          <w:rFonts w:ascii="Times New Roman;serif" w:hAnsi="Times New Roman;serif"/>
          <w:b/>
          <w:sz w:val="20"/>
        </w:rPr>
        <w:t>Significant Accounting Policies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accounting policies used by the Company in its presentation of interim financial results are consistent with those presented in Note 2 to the consolidated financial statements included in the 2022 Form 10-K.</w:t>
      </w:r>
    </w:p>
    <w:p>
      <w:pPr>
        <w:pStyle w:val="TextBody"/>
        <w:spacing w:before="360" w:after="0"/>
        <w:jc w:val="left"/>
        <w:rPr>
          <w:rFonts w:ascii="Times New Roman;serif" w:hAnsi="Times New Roman;serif"/>
          <w:b/>
          <w:sz w:val="20"/>
        </w:rPr>
      </w:pPr>
      <w:r>
        <w:rPr>
          <w:rFonts w:ascii="Times New Roman;serif" w:hAnsi="Times New Roman;serif"/>
          <w:b/>
          <w:sz w:val="20"/>
        </w:rPr>
        <w:t>Net Loss per Share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Potential common shares that would have the effect of increasing diluted earnings per share are considered to be anti-dilutive and as such, these shares are not included in the calculation of diluted earnings per share. The Company reported a net loss for the three months ended March 31, 2023 and 2022. Therefore, dilutive common shares are not assumed to have been issued since their effect is anti-dilutive for these periods.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Diluted weighted average shares excluded the following potential common shares related to stock options, service-based restricted stock units (“RSUs”), performance-based RSUs (“PRSUs”), total shareholder return (“TSR”) awards and shares to be purchased under the 2014 Employee Stock Purchase Plan (“ESPP”) for the periods presented as they were anti-dilutive (in thousands):</w:t>
      </w:r>
    </w:p>
    <w:p>
      <w:pPr>
        <w:pStyle w:val="TextBody"/>
        <w:spacing w:before="0" w:after="0"/>
        <w:jc w:val="left"/>
        <w:rPr/>
      </w:pPr>
      <w:r>
        <w:rPr/>
        <w:t> </w:t>
      </w:r>
    </w:p>
    <w:tbl>
      <w:tblPr>
        <w:tblW w:w="5303" w:type="dxa"/>
        <w:jc w:val="left"/>
        <w:tblInd w:w="0" w:type="dxa"/>
        <w:tblCellMar>
          <w:top w:w="28" w:type="dxa"/>
          <w:left w:w="28" w:type="dxa"/>
          <w:bottom w:w="28" w:type="dxa"/>
          <w:right w:w="28" w:type="dxa"/>
        </w:tblCellMar>
      </w:tblPr>
      <w:tblGrid>
        <w:gridCol w:w="2566"/>
        <w:gridCol w:w="146"/>
        <w:gridCol w:w="181"/>
        <w:gridCol w:w="838"/>
        <w:gridCol w:w="181"/>
        <w:gridCol w:w="181"/>
        <w:gridCol w:w="181"/>
        <w:gridCol w:w="838"/>
        <w:gridCol w:w="191"/>
      </w:tblGrid>
      <w:tr>
        <w:trPr/>
        <w:tc>
          <w:tcPr>
            <w:tcW w:w="25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0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1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1" w:type="dxa"/>
            <w:tcBorders/>
            <w:shd w:fill="auto" w:val="clear"/>
            <w:vAlign w:val="center"/>
          </w:tcPr>
          <w:p>
            <w:pPr>
              <w:pStyle w:val="TableContents"/>
              <w:spacing w:before="0" w:after="0"/>
              <w:ind w:left="0" w:right="0" w:hanging="0"/>
              <w:jc w:val="center"/>
              <w:rPr/>
            </w:pPr>
            <w:r>
              <w:rPr/>
              <w:t> </w:t>
            </w:r>
          </w:p>
        </w:tc>
        <w:tc>
          <w:tcPr>
            <w:tcW w:w="101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stock options</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7,578</w:t>
            </w:r>
          </w:p>
        </w:tc>
        <w:tc>
          <w:tcPr>
            <w:tcW w:w="181"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9,484</w:t>
            </w:r>
          </w:p>
        </w:tc>
        <w:tc>
          <w:tcPr>
            <w:tcW w:w="191" w:type="dxa"/>
            <w:tcBorders/>
            <w:shd w:fill="auto" w:val="clear"/>
            <w:vAlign w:val="center"/>
          </w:tcPr>
          <w:p>
            <w:pPr>
              <w:pStyle w:val="TableContents"/>
              <w:spacing w:before="0" w:after="0"/>
              <w:ind w:left="0" w:right="0" w:hanging="0"/>
              <w:jc w:val="left"/>
              <w:rPr/>
            </w:pPr>
            <w:r>
              <w:rPr/>
              <w:t> </w:t>
            </w:r>
          </w:p>
        </w:tc>
      </w:tr>
      <w:tr>
        <w:trPr/>
        <w:tc>
          <w:tcPr>
            <w:tcW w:w="25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RSUs, PRSUs and TSR awards</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2,762</w:t>
            </w:r>
          </w:p>
        </w:tc>
        <w:tc>
          <w:tcPr>
            <w:tcW w:w="181"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2,196</w:t>
            </w:r>
          </w:p>
        </w:tc>
        <w:tc>
          <w:tcPr>
            <w:tcW w:w="191" w:type="dxa"/>
            <w:tcBorders/>
            <w:shd w:fill="auto" w:val="clear"/>
            <w:vAlign w:val="center"/>
          </w:tcPr>
          <w:p>
            <w:pPr>
              <w:pStyle w:val="TableContents"/>
              <w:spacing w:before="0" w:after="0"/>
              <w:ind w:left="0" w:right="0" w:hanging="0"/>
              <w:jc w:val="left"/>
              <w:rPr/>
            </w:pPr>
            <w:r>
              <w:rPr/>
              <w:t> </w:t>
            </w:r>
          </w:p>
        </w:tc>
      </w:tr>
      <w:tr>
        <w:trPr/>
        <w:tc>
          <w:tcPr>
            <w:tcW w:w="25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ESPP</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w:t>
            </w:r>
          </w:p>
        </w:tc>
        <w:tc>
          <w:tcPr>
            <w:tcW w:w="181"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473</w:t>
            </w:r>
          </w:p>
        </w:tc>
        <w:tc>
          <w:tcPr>
            <w:tcW w:w="191" w:type="dxa"/>
            <w:tcBorders/>
            <w:shd w:fill="auto" w:val="clear"/>
            <w:vAlign w:val="center"/>
          </w:tcPr>
          <w:p>
            <w:pPr>
              <w:pStyle w:val="TableContents"/>
              <w:spacing w:before="0" w:after="0"/>
              <w:ind w:left="0" w:right="0" w:hanging="0"/>
              <w:jc w:val="left"/>
              <w:rPr/>
            </w:pPr>
            <w:r>
              <w:rPr/>
              <w:t> </w:t>
            </w:r>
          </w:p>
        </w:tc>
      </w:tr>
      <w:tr>
        <w:trPr/>
        <w:tc>
          <w:tcPr>
            <w:tcW w:w="25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3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10,702</w:t>
            </w:r>
          </w:p>
        </w:tc>
        <w:tc>
          <w:tcPr>
            <w:tcW w:w="1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3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12,153</w:t>
            </w:r>
          </w:p>
        </w:tc>
        <w:tc>
          <w:tcPr>
            <w:tcW w:w="1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360" w:after="0"/>
        <w:jc w:val="left"/>
        <w:rPr>
          <w:rFonts w:ascii="Times New Roman;serif" w:hAnsi="Times New Roman;serif"/>
          <w:b/>
          <w:sz w:val="20"/>
        </w:rPr>
      </w:pPr>
      <w:r>
        <w:rPr>
          <w:rFonts w:ascii="Times New Roman;serif" w:hAnsi="Times New Roman;serif"/>
          <w:b/>
          <w:sz w:val="20"/>
        </w:rPr>
        <w:t>Risks and Uncertainties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Company’s future results of operations involve a number of risks and uncertainties. Factors that could affect the Company’s future operating results and cause actual results to vary materially from expectations include, but are not limited to, the results of clinical trials and the achievement of milestones, research developments, actions by regulatory authorities, market acceptance of the Company’s product candidates, competition from other products and larger companies, the liquidity and capital resources of the Company, intellectual property protection for the Company’s proprietary technology, strategic relationships, and dependence on key individuals, suppliers, clinical organization, and other third parties.</w:t>
      </w:r>
    </w:p>
    <w:p>
      <w:pPr>
        <w:pStyle w:val="TextBody"/>
        <w:spacing w:before="360" w:after="0"/>
        <w:jc w:val="left"/>
        <w:rPr>
          <w:rFonts w:ascii="Times New Roman;serif" w:hAnsi="Times New Roman;serif"/>
          <w:b/>
          <w:sz w:val="20"/>
        </w:rPr>
      </w:pPr>
      <w:r>
        <w:rPr>
          <w:rFonts w:ascii="Times New Roman;serif" w:hAnsi="Times New Roman;serif"/>
          <w:b/>
          <w:sz w:val="20"/>
        </w:rPr>
        <w:t>2. Collaboration Agreements, License Agreement and Revenues</w:t>
      </w:r>
    </w:p>
    <w:p>
      <w:pPr>
        <w:pStyle w:val="TextBody"/>
        <w:spacing w:before="120" w:after="0"/>
        <w:jc w:val="left"/>
        <w:rPr>
          <w:rFonts w:ascii="Times New Roman;serif" w:hAnsi="Times New Roman;serif"/>
          <w:b/>
          <w:sz w:val="20"/>
        </w:rPr>
      </w:pPr>
      <w:r>
        <w:rPr>
          <w:rFonts w:ascii="Times New Roman;serif" w:hAnsi="Times New Roman;serif"/>
          <w:b/>
          <w:sz w:val="20"/>
        </w:rPr>
        <w:t>Astellas Agreements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Astellas Japan Agreement</w:t>
      </w:r>
    </w:p>
    <w:p>
      <w:pPr>
        <w:pStyle w:val="TextBody"/>
        <w:spacing w:before="120" w:after="0"/>
        <w:jc w:val="left"/>
        <w:rPr>
          <w:rFonts w:ascii="Times New Roman" w:hAnsi="Times New Roman"/>
          <w:sz w:val="20"/>
        </w:rPr>
      </w:pPr>
      <w:r>
        <w:rPr>
          <w:rFonts w:ascii="Times New Roman;serif" w:hAnsi="Times New Roman;serif"/>
          <w:b w:val="false"/>
          <w:sz w:val="20"/>
        </w:rPr>
        <w:t>In June 2005, the Company entered into a collaboration agreement with Astellas for the development and commercialization (but not manufacture) of roxadustat for the treatment of anemia in Japan (“Astellas Japan Agreement”). Under this agreement, Astellas agreed to pay license fees, other upfront consideration and various milestone payments, totaling $172.6</w:t>
      </w:r>
      <w:r>
        <w:rPr>
          <w:rFonts w:ascii="Times New Roman" w:hAnsi="Times New Roman"/>
          <w:sz w:val="20"/>
        </w:rPr>
        <w:t xml:space="preserve"> </w:t>
      </w:r>
      <w:r>
        <w:rPr>
          <w:rFonts w:ascii="Times New Roman;serif" w:hAnsi="Times New Roman;serif"/>
          <w:b w:val="false"/>
          <w:sz w:val="20"/>
        </w:rPr>
        <w:t>million. The</w:t>
      </w:r>
      <w:r>
        <w:rPr>
          <w:rFonts w:ascii="Times New Roman" w:hAnsi="Times New Roman"/>
          <w:sz w:val="20"/>
        </w:rPr>
        <w:t xml:space="preserve"> </w:t>
      </w:r>
      <w:r>
        <w:rPr>
          <w:rFonts w:ascii="Times New Roman;serif" w:hAnsi="Times New Roman;serif"/>
          <w:b w:val="false"/>
          <w:sz w:val="20"/>
        </w:rPr>
        <w:t>Astellas Japan Agreement also provides for tiered payments based on net sales of product (as defined) in the low 20% range of the list price</w:t>
      </w:r>
      <w:r>
        <w:rPr>
          <w:rFonts w:ascii="Times New Roman" w:hAnsi="Times New Roman"/>
          <w:sz w:val="20"/>
        </w:rPr>
        <w:t xml:space="preserve"> </w:t>
      </w:r>
      <w:r>
        <w:rPr>
          <w:rFonts w:ascii="Times New Roman;serif" w:hAnsi="Times New Roman;serif"/>
          <w:b w:val="false"/>
          <w:sz w:val="20"/>
        </w:rPr>
        <w:t>published by Japan’s Ministry of Health, Labour and Welfare, adjusted for certain elements, after commercial launch.</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aggregate amount of consideration received through March 31, 2023 totaled $105.1</w:t>
      </w:r>
      <w:r>
        <w:rPr>
          <w:rFonts w:ascii="Times New Roman" w:hAnsi="Times New Roman"/>
          <w:sz w:val="20"/>
        </w:rPr>
        <w:t xml:space="preserve"> </w:t>
      </w:r>
      <w:r>
        <w:rPr>
          <w:rFonts w:ascii="Times New Roman;serif" w:hAnsi="Times New Roman;serif"/>
          <w:b w:val="false"/>
          <w:sz w:val="20"/>
        </w:rPr>
        <w:t xml:space="preserve">million, excluding drug product revenue that is discussed under the </w:t>
      </w:r>
      <w:r>
        <w:rPr>
          <w:rFonts w:ascii="Times New Roman;serif" w:hAnsi="Times New Roman;serif"/>
          <w:b w:val="false"/>
          <w:i/>
          <w:sz w:val="20"/>
        </w:rPr>
        <w:t>Drug Product Revenue</w:t>
      </w:r>
      <w:r>
        <w:rPr>
          <w:rFonts w:ascii="Times New Roman" w:hAnsi="Times New Roman"/>
          <w:sz w:val="20"/>
        </w:rPr>
        <w:t xml:space="preserve"> </w:t>
      </w:r>
      <w:r>
        <w:rPr>
          <w:rFonts w:ascii="Times New Roman;serif" w:hAnsi="Times New Roman;serif"/>
          <w:b w:val="false"/>
          <w:sz w:val="20"/>
        </w:rPr>
        <w:t>section below.</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Amounts recognized as license revenue and development revenue under the Astellas Japan Agreement were as follows for the three months ended March 31, 2023 and 2022 (in thousands):</w:t>
      </w:r>
      <w:r>
        <w:rPr>
          <w:rFonts w:ascii="Times New Roman" w:hAnsi="Times New Roman"/>
          <w:sz w:val="20"/>
        </w:rPr>
        <w:t xml:space="preserve"> </w:t>
      </w:r>
    </w:p>
    <w:tbl>
      <w:tblPr>
        <w:tblW w:w="6978" w:type="dxa"/>
        <w:jc w:val="left"/>
        <w:tblInd w:w="0" w:type="dxa"/>
        <w:tblCellMar>
          <w:top w:w="28" w:type="dxa"/>
          <w:left w:w="28" w:type="dxa"/>
          <w:bottom w:w="28" w:type="dxa"/>
          <w:right w:w="28" w:type="dxa"/>
        </w:tblCellMar>
      </w:tblPr>
      <w:tblGrid>
        <w:gridCol w:w="2206"/>
        <w:gridCol w:w="146"/>
        <w:gridCol w:w="1891"/>
        <w:gridCol w:w="146"/>
        <w:gridCol w:w="360"/>
        <w:gridCol w:w="590"/>
        <w:gridCol w:w="249"/>
        <w:gridCol w:w="249"/>
        <w:gridCol w:w="360"/>
        <w:gridCol w:w="590"/>
        <w:gridCol w:w="191"/>
      </w:tblGrid>
      <w:tr>
        <w:trPr/>
        <w:tc>
          <w:tcPr>
            <w:tcW w:w="22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2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Agreement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Performance Obligation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9" w:type="dxa"/>
            <w:tcBorders/>
            <w:shd w:fill="auto" w:val="clear"/>
            <w:vAlign w:val="center"/>
          </w:tcPr>
          <w:p>
            <w:pPr>
              <w:pStyle w:val="TableContents"/>
              <w:spacing w:before="0" w:after="0"/>
              <w:ind w:left="0" w:right="0" w:hanging="0"/>
              <w:jc w:val="center"/>
              <w:rPr/>
            </w:pPr>
            <w:r>
              <w:rPr/>
              <w:t> </w:t>
            </w:r>
          </w:p>
        </w:tc>
        <w:tc>
          <w:tcPr>
            <w:tcW w:w="9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Astellas Japan Agreement</w:t>
            </w:r>
          </w:p>
        </w:tc>
        <w:tc>
          <w:tcPr>
            <w:tcW w:w="146" w:type="dxa"/>
            <w:tcBorders/>
            <w:shd w:fill="auto" w:val="clear"/>
            <w:vAlign w:val="center"/>
          </w:tcPr>
          <w:p>
            <w:pPr>
              <w:pStyle w:val="TableContents"/>
              <w:spacing w:before="0" w:after="0"/>
              <w:ind w:left="0" w:right="0" w:hanging="0"/>
              <w:jc w:val="left"/>
              <w:rPr/>
            </w:pPr>
            <w:r>
              <w:rPr/>
              <w:t> </w:t>
            </w:r>
          </w:p>
        </w:tc>
        <w:tc>
          <w:tcPr>
            <w:tcW w:w="18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License revenue</w:t>
            </w:r>
          </w:p>
        </w:tc>
        <w:tc>
          <w:tcPr>
            <w:tcW w:w="146" w:type="dxa"/>
            <w:tcBorders/>
            <w:shd w:fill="auto" w:val="clear"/>
            <w:vAlign w:val="center"/>
          </w:tcPr>
          <w:p>
            <w:pPr>
              <w:pStyle w:val="TableContents"/>
              <w:spacing w:before="0" w:after="0"/>
              <w:ind w:left="0" w:right="0" w:hanging="0"/>
              <w:jc w:val="left"/>
              <w:rPr/>
            </w:pPr>
            <w:r>
              <w:rPr/>
              <w:t> </w:t>
            </w:r>
          </w:p>
        </w:tc>
        <w:tc>
          <w:tcPr>
            <w:tcW w:w="3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pPr>
            <w:r>
              <w:rPr/>
              <w:t>—</w:t>
            </w:r>
          </w:p>
        </w:tc>
        <w:tc>
          <w:tcPr>
            <w:tcW w:w="249"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3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2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Development revenue</w:t>
            </w:r>
          </w:p>
        </w:tc>
        <w:tc>
          <w:tcPr>
            <w:tcW w:w="146" w:type="dxa"/>
            <w:tcBorders/>
            <w:shd w:fill="auto" w:val="clear"/>
            <w:vAlign w:val="center"/>
          </w:tcPr>
          <w:p>
            <w:pPr>
              <w:pStyle w:val="TableContents"/>
              <w:spacing w:before="0" w:after="0"/>
              <w:ind w:left="0" w:right="0" w:hanging="0"/>
              <w:jc w:val="left"/>
              <w:rPr/>
            </w:pPr>
            <w:r>
              <w:rPr/>
              <w:t> </w:t>
            </w:r>
          </w:p>
        </w:tc>
        <w:tc>
          <w:tcPr>
            <w:tcW w:w="3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249"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3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transaction price related to consideration received through March 31, 2023 and accounts receivable has been allocated to each of the following performance obligations under the Astellas Japan Agreement (in thousands):</w:t>
      </w:r>
    </w:p>
    <w:tbl>
      <w:tblPr>
        <w:tblW w:w="5833" w:type="dxa"/>
        <w:jc w:val="left"/>
        <w:tblInd w:w="0" w:type="dxa"/>
        <w:tblCellMar>
          <w:top w:w="28" w:type="dxa"/>
          <w:left w:w="28" w:type="dxa"/>
          <w:bottom w:w="28" w:type="dxa"/>
          <w:right w:w="28" w:type="dxa"/>
        </w:tblCellMar>
      </w:tblPr>
      <w:tblGrid>
        <w:gridCol w:w="3316"/>
        <w:gridCol w:w="146"/>
        <w:gridCol w:w="420"/>
        <w:gridCol w:w="1560"/>
        <w:gridCol w:w="391"/>
      </w:tblGrid>
      <w:tr>
        <w:trPr/>
        <w:tc>
          <w:tcPr>
            <w:tcW w:w="3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56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Astellas Japan Agreement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Consideration</w:t>
              <w:br/>
              <w:t> Through 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License</w:t>
            </w:r>
          </w:p>
        </w:tc>
        <w:tc>
          <w:tcPr>
            <w:tcW w:w="146" w:type="dxa"/>
            <w:tcBorders/>
            <w:shd w:fill="auto" w:val="clear"/>
            <w:vAlign w:val="center"/>
          </w:tcPr>
          <w:p>
            <w:pPr>
              <w:pStyle w:val="TableContents"/>
              <w:spacing w:before="0" w:after="0"/>
              <w:ind w:left="0" w:right="0" w:hanging="0"/>
              <w:jc w:val="center"/>
              <w:rPr/>
            </w:pPr>
            <w:r>
              <w:rPr/>
              <w:t> </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100,347</w:t>
            </w:r>
          </w:p>
        </w:tc>
        <w:tc>
          <w:tcPr>
            <w:tcW w:w="391" w:type="dxa"/>
            <w:tcBorders/>
            <w:shd w:fill="auto" w:val="cle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Development revenue</w:t>
            </w:r>
          </w:p>
        </w:tc>
        <w:tc>
          <w:tcPr>
            <w:tcW w:w="146" w:type="dxa"/>
            <w:tcBorders/>
            <w:shd w:fill="auto" w:val="clear"/>
            <w:vAlign w:val="center"/>
          </w:tcPr>
          <w:p>
            <w:pPr>
              <w:pStyle w:val="TableContents"/>
              <w:spacing w:before="0" w:after="0"/>
              <w:ind w:left="0" w:right="0" w:hanging="0"/>
              <w:jc w:val="center"/>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16,977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3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license and development revenue</w:t>
            </w:r>
          </w:p>
        </w:tc>
        <w:tc>
          <w:tcPr>
            <w:tcW w:w="146" w:type="dxa"/>
            <w:tcBorders/>
            <w:shd w:fill="auto" w:val="clear"/>
            <w:vAlign w:val="center"/>
          </w:tcPr>
          <w:p>
            <w:pPr>
              <w:pStyle w:val="TableContents"/>
              <w:spacing w:before="0" w:after="0"/>
              <w:ind w:left="0" w:right="0" w:hanging="0"/>
              <w:jc w:val="left"/>
              <w:rPr/>
            </w:pPr>
            <w:r>
              <w:rPr/>
              <w:t> </w:t>
            </w:r>
          </w:p>
        </w:tc>
        <w:tc>
          <w:tcPr>
            <w:tcW w:w="4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117,324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There was no</w:t>
      </w:r>
      <w:r>
        <w:rPr>
          <w:rFonts w:ascii="Times New Roman" w:hAnsi="Times New Roman"/>
          <w:sz w:val="20"/>
        </w:rPr>
        <w:t xml:space="preserve"> </w:t>
      </w:r>
      <w:r>
        <w:rPr>
          <w:rFonts w:ascii="Times New Roman;serif" w:hAnsi="Times New Roman;serif"/>
          <w:b w:val="false"/>
          <w:sz w:val="20"/>
        </w:rPr>
        <w:t>license revenue or development revenue resulting from changes to estimated variable consideration in the current period relating to performance obligations satisfied or partially satisfied in previous periods for the three months ended March 31, 2023</w:t>
      </w:r>
      <w:r>
        <w:rPr>
          <w:rFonts w:ascii="Times New Roman" w:hAnsi="Times New Roman"/>
          <w:sz w:val="20"/>
        </w:rPr>
        <w:t xml:space="preserve"> </w:t>
      </w:r>
      <w:r>
        <w:rPr>
          <w:rFonts w:ascii="Times New Roman;serif" w:hAnsi="Times New Roman;serif"/>
          <w:b w:val="false"/>
          <w:sz w:val="20"/>
        </w:rPr>
        <w:t>under the Astellas Japan Agreement. The Company does not expect material variable consideration from estimated future co-development billing beyond the development period in the transaction price related to the Astellas Japan Agreement.</w:t>
      </w:r>
    </w:p>
    <w:p>
      <w:pPr>
        <w:pStyle w:val="TextBody"/>
        <w:spacing w:before="240" w:after="0"/>
        <w:jc w:val="left"/>
        <w:rPr>
          <w:rFonts w:ascii="Times New Roman" w:hAnsi="Times New Roman"/>
          <w:sz w:val="20"/>
        </w:rPr>
      </w:pPr>
      <w:r>
        <w:rPr>
          <w:rFonts w:ascii="Times New Roman;serif" w:hAnsi="Times New Roman;serif"/>
          <w:b w:val="false"/>
          <w:sz w:val="20"/>
        </w:rPr>
        <w:t xml:space="preserve">In 2018, FibroGen and Astellas entered into an amendment to the Astellas Japan Agreement that allows Astellas to manufacture roxadustat drug product for commercialization in Japan (the “Astellas Japan Amendment”). The related drug product revenue is described under the </w:t>
      </w:r>
      <w:r>
        <w:rPr>
          <w:rFonts w:ascii="Times New Roman;serif" w:hAnsi="Times New Roman;serif"/>
          <w:b w:val="false"/>
          <w:i/>
          <w:sz w:val="20"/>
        </w:rPr>
        <w:t>Drug Product Revenue</w:t>
      </w:r>
      <w:r>
        <w:rPr>
          <w:rFonts w:ascii="Times New Roman" w:hAnsi="Times New Roman"/>
          <w:sz w:val="20"/>
        </w:rPr>
        <w:t xml:space="preserve"> </w:t>
      </w:r>
      <w:r>
        <w:rPr>
          <w:rFonts w:ascii="Times New Roman;serif" w:hAnsi="Times New Roman;serif"/>
          <w:b w:val="false"/>
          <w:sz w:val="20"/>
        </w:rPr>
        <w:t>section below.</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Astellas Europe Agreement</w:t>
      </w:r>
    </w:p>
    <w:p>
      <w:pPr>
        <w:pStyle w:val="TextBody"/>
        <w:spacing w:before="120" w:after="0"/>
        <w:jc w:val="left"/>
        <w:rPr>
          <w:rFonts w:ascii="Times New Roman" w:hAnsi="Times New Roman"/>
          <w:sz w:val="20"/>
        </w:rPr>
      </w:pPr>
      <w:r>
        <w:rPr>
          <w:rFonts w:ascii="Times New Roman;serif" w:hAnsi="Times New Roman;serif"/>
          <w:b w:val="false"/>
          <w:sz w:val="20"/>
        </w:rPr>
        <w:t>In April 2006, the Company entered into a separate collaboration agreement with Astellas for the development and commercialization of roxadustat for the treatment of anemia in Europe, the Middle East, the Commonwealth of Independent States and South Africa (“Astellas Europe Agreement”). Under the terms of the Astellas Europe Agreement, Astellas agreed to pay license fees, other upfront consideration and various milestone payments, totaling $745.0</w:t>
      </w:r>
      <w:r>
        <w:rPr>
          <w:rFonts w:ascii="Times New Roman" w:hAnsi="Times New Roman"/>
          <w:sz w:val="20"/>
        </w:rPr>
        <w:t xml:space="preserve"> </w:t>
      </w:r>
      <w:r>
        <w:rPr>
          <w:rFonts w:ascii="Times New Roman;serif" w:hAnsi="Times New Roman;serif"/>
          <w:b w:val="false"/>
          <w:sz w:val="20"/>
        </w:rPr>
        <w:t>million. Under the Astellas Europe Agreement, Astellas committed to fund 50% of joint development costs for Europe and North America, and all territory-specific costs. The Astellas Europe Agreement also provides for tiered payments based on net sales of product (as defined) in the low 20% range.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On March 21, 2022, EVRENZO</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(roxadustat) was registered with the Russian Ministry of Health. The Company evaluated the regulatory milestone payment associated with the approval in Russia under the Astellas Europe Agreement and concluded that this milestone was achieved in the first quarter of 2022. Accordingly, the consideration of $25.0</w:t>
      </w:r>
      <w:r>
        <w:rPr>
          <w:rFonts w:ascii="Times New Roman" w:hAnsi="Times New Roman"/>
          <w:sz w:val="20"/>
        </w:rPr>
        <w:t xml:space="preserve"> </w:t>
      </w:r>
      <w:r>
        <w:rPr>
          <w:rFonts w:ascii="Times New Roman;serif" w:hAnsi="Times New Roman;serif"/>
          <w:b w:val="false"/>
          <w:sz w:val="20"/>
        </w:rPr>
        <w:t>million associated with this milestone was included in the transaction price and allocated to performance obligations under the Astellas Europe Agreement, all of which was recognized as revenue during the first quarter of 2022 from performance obligations satisfied.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aggregate amount of consideration received under the Astellas Europe Agreement through March 31, 2023 totaled $685.0</w:t>
      </w:r>
      <w:r>
        <w:rPr>
          <w:rFonts w:ascii="Times New Roman" w:hAnsi="Times New Roman"/>
          <w:sz w:val="20"/>
        </w:rPr>
        <w:t xml:space="preserve"> </w:t>
      </w:r>
      <w:r>
        <w:rPr>
          <w:rFonts w:ascii="Times New Roman;serif" w:hAnsi="Times New Roman;serif"/>
          <w:b w:val="false"/>
          <w:sz w:val="20"/>
        </w:rPr>
        <w:t xml:space="preserve">million, excluding drug product revenue that is discussed under the </w:t>
      </w:r>
      <w:r>
        <w:rPr>
          <w:rFonts w:ascii="Times New Roman;serif" w:hAnsi="Times New Roman;serif"/>
          <w:b w:val="false"/>
          <w:i/>
          <w:sz w:val="20"/>
        </w:rPr>
        <w:t>Drug Product Revenue</w:t>
      </w:r>
      <w:r>
        <w:rPr>
          <w:rFonts w:ascii="Times New Roman" w:hAnsi="Times New Roman"/>
          <w:sz w:val="20"/>
        </w:rPr>
        <w:t xml:space="preserve"> </w:t>
      </w:r>
      <w:r>
        <w:rPr>
          <w:rFonts w:ascii="Times New Roman;serif" w:hAnsi="Times New Roman;serif"/>
          <w:b w:val="false"/>
          <w:sz w:val="20"/>
        </w:rPr>
        <w:t>section below.</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Amounts recognized as license revenue and development revenue under the Astellas Europe Agreement were as follows for the three months ended March 31, 2023 and 2022 (in thousands):</w:t>
      </w:r>
    </w:p>
    <w:tbl>
      <w:tblPr>
        <w:tblW w:w="7098" w:type="dxa"/>
        <w:jc w:val="left"/>
        <w:tblInd w:w="0" w:type="dxa"/>
        <w:tblCellMar>
          <w:top w:w="28" w:type="dxa"/>
          <w:left w:w="28" w:type="dxa"/>
          <w:bottom w:w="28" w:type="dxa"/>
          <w:right w:w="28" w:type="dxa"/>
        </w:tblCellMar>
      </w:tblPr>
      <w:tblGrid>
        <w:gridCol w:w="2326"/>
        <w:gridCol w:w="146"/>
        <w:gridCol w:w="1891"/>
        <w:gridCol w:w="146"/>
        <w:gridCol w:w="258"/>
        <w:gridCol w:w="699"/>
        <w:gridCol w:w="178"/>
        <w:gridCol w:w="178"/>
        <w:gridCol w:w="258"/>
        <w:gridCol w:w="827"/>
        <w:gridCol w:w="191"/>
      </w:tblGrid>
      <w:tr>
        <w:trPr/>
        <w:tc>
          <w:tcPr>
            <w:tcW w:w="2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Agreement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Performance Obligation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8" w:type="dxa"/>
            <w:tcBorders/>
            <w:shd w:fill="auto" w:val="clear"/>
            <w:vAlign w:val="center"/>
          </w:tcPr>
          <w:p>
            <w:pPr>
              <w:pStyle w:val="TableContents"/>
              <w:spacing w:before="0" w:after="0"/>
              <w:ind w:left="0" w:right="0" w:hanging="0"/>
              <w:jc w:val="center"/>
              <w:rPr/>
            </w:pPr>
            <w:r>
              <w:rPr/>
              <w:t> </w:t>
            </w:r>
          </w:p>
        </w:tc>
        <w:tc>
          <w:tcPr>
            <w:tcW w:w="10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Astellas Europe Agreement</w:t>
            </w:r>
          </w:p>
        </w:tc>
        <w:tc>
          <w:tcPr>
            <w:tcW w:w="146" w:type="dxa"/>
            <w:tcBorders/>
            <w:shd w:fill="auto" w:val="clear"/>
            <w:vAlign w:val="center"/>
          </w:tcPr>
          <w:p>
            <w:pPr>
              <w:pStyle w:val="TableContents"/>
              <w:spacing w:before="0" w:after="0"/>
              <w:ind w:left="0" w:right="0" w:hanging="0"/>
              <w:jc w:val="left"/>
              <w:rPr/>
            </w:pPr>
            <w:r>
              <w:rPr/>
              <w:t> </w:t>
            </w:r>
          </w:p>
        </w:tc>
        <w:tc>
          <w:tcPr>
            <w:tcW w:w="18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License revenue</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9" w:type="dxa"/>
            <w:tcBorders/>
            <w:shd w:fill="auto" w:val="clear"/>
            <w:vAlign w:val="center"/>
          </w:tcPr>
          <w:p>
            <w:pPr>
              <w:pStyle w:val="TableContents"/>
              <w:spacing w:before="0" w:after="0"/>
              <w:ind w:left="0" w:right="0" w:hanging="0"/>
              <w:jc w:val="right"/>
              <w:rPr/>
            </w:pPr>
            <w:r>
              <w:rPr/>
              <w:t>—</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22,590</w:t>
            </w:r>
          </w:p>
        </w:tc>
        <w:tc>
          <w:tcPr>
            <w:tcW w:w="191" w:type="dxa"/>
            <w:tcBorders/>
            <w:shd w:fill="auto" w:val="cle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Development revenue</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1,529</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5,148</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transaction price related to consideration received through March 31, 2023 and accounts receivable has been allocated to each of the following performance obligations under the Astellas Europe Agreement as follows (in thousands):</w:t>
      </w:r>
    </w:p>
    <w:tbl>
      <w:tblPr>
        <w:tblW w:w="5833" w:type="dxa"/>
        <w:jc w:val="left"/>
        <w:tblInd w:w="0" w:type="dxa"/>
        <w:tblCellMar>
          <w:top w:w="28" w:type="dxa"/>
          <w:left w:w="28" w:type="dxa"/>
          <w:bottom w:w="28" w:type="dxa"/>
          <w:right w:w="28" w:type="dxa"/>
        </w:tblCellMar>
      </w:tblPr>
      <w:tblGrid>
        <w:gridCol w:w="3316"/>
        <w:gridCol w:w="146"/>
        <w:gridCol w:w="420"/>
        <w:gridCol w:w="1560"/>
        <w:gridCol w:w="391"/>
      </w:tblGrid>
      <w:tr>
        <w:trPr/>
        <w:tc>
          <w:tcPr>
            <w:tcW w:w="3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56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Astellas Europe Agreement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Consideration</w:t>
              <w:br/>
              <w:t> Through 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License</w:t>
            </w:r>
          </w:p>
        </w:tc>
        <w:tc>
          <w:tcPr>
            <w:tcW w:w="146" w:type="dxa"/>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618,975</w:t>
            </w:r>
          </w:p>
        </w:tc>
        <w:tc>
          <w:tcPr>
            <w:tcW w:w="391" w:type="dxa"/>
            <w:tcBorders/>
            <w:shd w:fill="auto" w:val="cle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Development revenue</w:t>
            </w:r>
          </w:p>
        </w:tc>
        <w:tc>
          <w:tcPr>
            <w:tcW w:w="146" w:type="dxa"/>
            <w:tcBorders/>
            <w:shd w:fill="auto" w:val="clear"/>
            <w:vAlign w:val="center"/>
          </w:tcPr>
          <w:p>
            <w:pPr>
              <w:pStyle w:val="TableContents"/>
              <w:spacing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281,794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3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license and development revenue</w:t>
            </w:r>
          </w:p>
        </w:tc>
        <w:tc>
          <w:tcPr>
            <w:tcW w:w="146" w:type="dxa"/>
            <w:tcBorders/>
            <w:shd w:fill="auto" w:val="clear"/>
            <w:vAlign w:val="center"/>
          </w:tcPr>
          <w:p>
            <w:pPr>
              <w:pStyle w:val="TableContents"/>
              <w:spacing w:before="0" w:after="0"/>
              <w:ind w:left="0" w:right="0" w:hanging="0"/>
              <w:jc w:val="left"/>
              <w:rPr/>
            </w:pPr>
            <w:r>
              <w:rPr/>
              <w:t> </w:t>
            </w:r>
          </w:p>
        </w:tc>
        <w:tc>
          <w:tcPr>
            <w:tcW w:w="4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900,769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0" w:after="0"/>
        <w:jc w:val="left"/>
        <w:rPr>
          <w:rFonts w:ascii="Times New Roman" w:hAnsi="Times New Roman"/>
          <w:sz w:val="20"/>
        </w:rPr>
      </w:pPr>
      <w:r>
        <w:rPr>
          <w:rFonts w:ascii="Times New Roman;serif" w:hAnsi="Times New Roman;serif"/>
          <w:b w:val="false"/>
          <w:sz w:val="20"/>
        </w:rPr>
        <w:t>There was no</w:t>
      </w:r>
      <w:r>
        <w:rPr>
          <w:rFonts w:ascii="Times New Roman" w:hAnsi="Times New Roman"/>
          <w:sz w:val="20"/>
        </w:rPr>
        <w:t xml:space="preserve"> </w:t>
      </w:r>
      <w:r>
        <w:rPr>
          <w:rFonts w:ascii="Times New Roman;serif" w:hAnsi="Times New Roman;serif"/>
          <w:b w:val="false"/>
          <w:sz w:val="20"/>
        </w:rPr>
        <w:t>license revenue or development revenue resulting from changes to estimated variable consideration in the current period relating to performance obligations satisfied or partially satisfied in previous periods for three months ended March 31, 2023</w:t>
      </w:r>
      <w:r>
        <w:rPr>
          <w:rFonts w:ascii="Times New Roman" w:hAnsi="Times New Roman"/>
          <w:sz w:val="20"/>
        </w:rPr>
        <w:t xml:space="preserve"> </w:t>
      </w:r>
      <w:r>
        <w:rPr>
          <w:rFonts w:ascii="Times New Roman;serif" w:hAnsi="Times New Roman;serif"/>
          <w:b w:val="false"/>
          <w:sz w:val="20"/>
        </w:rPr>
        <w:t>under the Astellas Europe Agreement. The remainder of the transaction price related to the Astellas Europe Agreement includes $5.8</w:t>
      </w:r>
      <w:r>
        <w:rPr>
          <w:rFonts w:ascii="Times New Roman" w:hAnsi="Times New Roman"/>
          <w:sz w:val="20"/>
        </w:rPr>
        <w:t xml:space="preserve"> </w:t>
      </w:r>
      <w:r>
        <w:rPr>
          <w:rFonts w:ascii="Times New Roman;serif" w:hAnsi="Times New Roman;serif"/>
          <w:b w:val="false"/>
          <w:sz w:val="20"/>
        </w:rPr>
        <w:t>million of variable consideration from estimated future co-development billing and is expected to be recognized over the remaining development service period.</w:t>
      </w:r>
    </w:p>
    <w:p>
      <w:pPr>
        <w:pStyle w:val="TextBody"/>
        <w:spacing w:before="240" w:after="0"/>
        <w:jc w:val="left"/>
        <w:rPr>
          <w:rFonts w:ascii="Times New Roman" w:hAnsi="Times New Roman"/>
          <w:sz w:val="20"/>
        </w:rPr>
      </w:pPr>
      <w:r>
        <w:rPr>
          <w:rFonts w:ascii="Times New Roman;serif" w:hAnsi="Times New Roman;serif"/>
          <w:b w:val="false"/>
          <w:sz w:val="20"/>
        </w:rPr>
        <w:t xml:space="preserve">Under the Astellas Europe Agreement, Astellas has an option to purchase roxadustat bulk drug product in support of commercial supplies. During the first quarter of 2021, the Company entered into an EU Supply Agreement with Astellas under the Astellas Europe Agreement (“Astellas EU Supply Agreement”) to define general forecast, order, supply and payment terms for Astellas to purchase roxadustat bulk drug product from FibroGen in support of commercial supplies. The related drug product revenue is described under the </w:t>
      </w:r>
      <w:r>
        <w:rPr>
          <w:rFonts w:ascii="Times New Roman;serif" w:hAnsi="Times New Roman;serif"/>
          <w:b w:val="false"/>
          <w:i/>
          <w:sz w:val="20"/>
        </w:rPr>
        <w:t>Drug Product Revenue</w:t>
      </w:r>
      <w:r>
        <w:rPr>
          <w:rFonts w:ascii="Times New Roman" w:hAnsi="Times New Roman"/>
          <w:sz w:val="20"/>
        </w:rPr>
        <w:t xml:space="preserve"> </w:t>
      </w:r>
      <w:r>
        <w:rPr>
          <w:rFonts w:ascii="Times New Roman;serif" w:hAnsi="Times New Roman;serif"/>
          <w:b w:val="false"/>
          <w:sz w:val="20"/>
        </w:rPr>
        <w:t>section below.</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AstraZeneca Agreements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AstraZeneca U.S./Rest of World (“RoW”) Agreement</w:t>
      </w:r>
    </w:p>
    <w:p>
      <w:pPr>
        <w:pStyle w:val="TextBody"/>
        <w:spacing w:before="120" w:after="0"/>
        <w:jc w:val="left"/>
        <w:rPr>
          <w:rFonts w:ascii="Times New Roman" w:hAnsi="Times New Roman"/>
          <w:sz w:val="20"/>
        </w:rPr>
      </w:pPr>
      <w:r>
        <w:rPr>
          <w:rFonts w:ascii="Times New Roman;serif" w:hAnsi="Times New Roman;serif"/>
          <w:b w:val="false"/>
          <w:sz w:val="20"/>
        </w:rPr>
        <w:t>Effective July 30, 2013, the Company entered into a collaboration agreement with AstraZeneca AB (“AstraZeneca”) for the development and commercialization of roxadustat for the treatment of anemia in the U.S. and all other countries in the world, other than China, not previously licensed under the Astellas Europe and Astellas Japan Agreements (“AstraZeneca U.S./RoW Agreement”). It also excludes China, which is covered by a separate agreement with AstraZeneca described below. Under the terms of the AstraZeneca U.S./RoW Agreement, AstraZeneca agreed to pay upfront, non-contingent, non-refundable and time-based payments, and potential milestone payments, totaling $1.2</w:t>
      </w:r>
      <w:r>
        <w:rPr>
          <w:rFonts w:ascii="Times New Roman" w:hAnsi="Times New Roman"/>
          <w:sz w:val="20"/>
        </w:rPr>
        <w:t xml:space="preserve"> </w:t>
      </w:r>
      <w:r>
        <w:rPr>
          <w:rFonts w:ascii="Times New Roman;serif" w:hAnsi="Times New Roman;serif"/>
          <w:b w:val="false"/>
          <w:sz w:val="20"/>
        </w:rPr>
        <w:t>billion. AstraZeneca commits to pay the Company tiered royalty payments on AstraZeneca’s future net sales (as defined in the agreement) of roxadustat in the low 20% range. In addition, the Company is entitled to receive a transfer price for shipment of commercial product based on a percentage of AstraZeneca’s net sales (as defined in the agreement) in the low- to mid-single digit range.</w:t>
      </w:r>
    </w:p>
    <w:p>
      <w:pPr>
        <w:pStyle w:val="TextBody"/>
        <w:spacing w:before="220" w:after="0"/>
        <w:jc w:val="left"/>
        <w:rPr>
          <w:rFonts w:ascii="Times New Roman" w:hAnsi="Times New Roman"/>
          <w:sz w:val="20"/>
        </w:rPr>
      </w:pPr>
      <w:r>
        <w:rPr>
          <w:rFonts w:ascii="Times New Roman;serif" w:hAnsi="Times New Roman;serif"/>
          <w:b w:val="false"/>
          <w:sz w:val="20"/>
        </w:rPr>
        <w:t>The aggregate amount of consideration received under the AstraZeneca U.S./RoW Agreement through March 31, 2023 totaled $439.0</w:t>
      </w:r>
      <w:r>
        <w:rPr>
          <w:rFonts w:ascii="Times New Roman" w:hAnsi="Times New Roman"/>
          <w:sz w:val="20"/>
        </w:rPr>
        <w:t xml:space="preserve"> </w:t>
      </w:r>
      <w:r>
        <w:rPr>
          <w:rFonts w:ascii="Times New Roman;serif" w:hAnsi="Times New Roman;serif"/>
          <w:b w:val="false"/>
          <w:sz w:val="20"/>
        </w:rPr>
        <w:t>million, excluding drug product revenue that is discussed separately below. While FibroGen and AstraZeneca continue to develop roxadustat in the U.S. for the treatment of anemia in patients with myelodysplastic syndromes, the Company has not been able to agree on a path forward for AstraZeneca to fund further roxadustat development for chronic kidney disease anemia in the U.S. Therefore, the Company does not expect to receive most or all of the remaining AstraZeneca U.S./RoW Agreement milestones from AstraZeneca.</w:t>
      </w:r>
    </w:p>
    <w:p>
      <w:pPr>
        <w:pStyle w:val="TextBody"/>
        <w:spacing w:before="240" w:after="0"/>
        <w:jc w:val="left"/>
        <w:rPr>
          <w:rFonts w:ascii="Times New Roman" w:hAnsi="Times New Roman"/>
          <w:sz w:val="20"/>
        </w:rPr>
      </w:pPr>
      <w:r>
        <w:rPr>
          <w:rFonts w:ascii="Times New Roman;serif" w:hAnsi="Times New Roman;serif"/>
          <w:b w:val="false"/>
          <w:sz w:val="20"/>
        </w:rPr>
        <w:t xml:space="preserve">In 2020, the Company entered into a Master Supply Agreement with AstraZeneca under the AstraZeneca U.S./RoW Agreement (“AstraZeneca Master Supply Agreement”) to define general forecast, order, supply and payment terms for AstraZeneca to purchase roxadustat bulk drug product from FibroGen in support of commercial supplies. The related drug product revenue is described under the </w:t>
      </w:r>
      <w:r>
        <w:rPr>
          <w:rFonts w:ascii="Times New Roman;serif" w:hAnsi="Times New Roman;serif"/>
          <w:b w:val="false"/>
          <w:i/>
          <w:sz w:val="20"/>
        </w:rPr>
        <w:t>Drug Product Revenue</w:t>
      </w:r>
      <w:r>
        <w:rPr>
          <w:rFonts w:ascii="Times New Roman" w:hAnsi="Times New Roman"/>
          <w:sz w:val="20"/>
        </w:rPr>
        <w:t xml:space="preserve"> </w:t>
      </w:r>
      <w:r>
        <w:rPr>
          <w:rFonts w:ascii="Times New Roman;serif" w:hAnsi="Times New Roman;serif"/>
          <w:b w:val="false"/>
          <w:sz w:val="20"/>
        </w:rPr>
        <w:t>section below.</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AstraZeneca China Agreement</w:t>
      </w:r>
    </w:p>
    <w:p>
      <w:pPr>
        <w:pStyle w:val="TextBody"/>
        <w:spacing w:before="120" w:after="0"/>
        <w:jc w:val="left"/>
        <w:rPr>
          <w:rFonts w:ascii="Times New Roman" w:hAnsi="Times New Roman"/>
          <w:sz w:val="20"/>
        </w:rPr>
      </w:pPr>
      <w:r>
        <w:rPr>
          <w:rFonts w:ascii="Times New Roman;serif" w:hAnsi="Times New Roman;serif"/>
          <w:b w:val="false"/>
          <w:sz w:val="20"/>
        </w:rPr>
        <w:t>Effective July 30, 2013, the Company (through its subsidiaries affiliated with China) entered into a collaboration agreement with AztraZeneca for roxadustat for the treatment of anemia in China (“AstraZeneca China Agreement”). Under the terms of the AstraZeneca China Agreement, AstraZeneca agreed to pay upfront consideration and potential milestone payments, totaling $376.7</w:t>
      </w:r>
      <w:r>
        <w:rPr>
          <w:rFonts w:ascii="Times New Roman" w:hAnsi="Times New Roman"/>
          <w:sz w:val="20"/>
        </w:rPr>
        <w:t xml:space="preserve"> </w:t>
      </w:r>
      <w:r>
        <w:rPr>
          <w:rFonts w:ascii="Times New Roman;serif" w:hAnsi="Times New Roman;serif"/>
          <w:b w:val="false"/>
          <w:sz w:val="20"/>
        </w:rPr>
        <w:t>million. The AstraZeneca China Agreement is structured as a 50/50 profit or loss share (as defined), which was amended under the AstraZeneca China Amendment in 2020 as discussed below, and provides for joint development costs (including capital and equipment costs for construction of the manufacturing plant in China), to be shared equally during the development period.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aggregate amount of such consideration received for milestone and upfront payments through March 31, 2023 totaled $77.2</w:t>
      </w:r>
      <w:r>
        <w:rPr>
          <w:rFonts w:ascii="Times New Roman" w:hAnsi="Times New Roman"/>
          <w:sz w:val="20"/>
        </w:rPr>
        <w:t xml:space="preserve"> </w:t>
      </w:r>
      <w:r>
        <w:rPr>
          <w:rFonts w:ascii="Times New Roman;serif" w:hAnsi="Times New Roman;serif"/>
          <w:b w:val="false"/>
          <w:sz w:val="20"/>
        </w:rPr>
        <w:t>million.</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AstraZeneca China Amendment</w:t>
      </w:r>
    </w:p>
    <w:p>
      <w:pPr>
        <w:pStyle w:val="TextBody"/>
        <w:spacing w:before="120" w:after="0"/>
        <w:jc w:val="left"/>
        <w:rPr>
          <w:rFonts w:ascii="Times New Roman" w:hAnsi="Times New Roman"/>
          <w:sz w:val="20"/>
        </w:rPr>
      </w:pPr>
      <w:r>
        <w:rPr>
          <w:rFonts w:ascii="Times New Roman;serif" w:hAnsi="Times New Roman;serif"/>
          <w:b w:val="false"/>
          <w:sz w:val="20"/>
        </w:rPr>
        <w:t>In July 2020, FibroGen China Anemia Holdings, Ltd., FibroGen (China) Medical Technology Development Co., Ltd. (“FibroGen Beijing”), and FibroGen International (Hong Kong) Limited and AstraZeneca entered into an amendment to the AstraZeneca China Amendment, relating to the development and commercialization of roxadustat in China (the “AstraZeneca China Amendment”). Under the AstraZeneca China Amendment, in 2020, FibroGen Beijing and AstraZeneca completed the establishment of a jointly owned entity, Beijing Falikang Pharmaceutical Co., Ltd. (“Falikang”), which performs roxadustat distribution, as well as conducts sales and marketing through AstraZeneca.</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 w:hAnsi="Times New Roman"/>
          <w:sz w:val="20"/>
        </w:rPr>
      </w:pPr>
      <w:r>
        <w:rPr>
          <w:rFonts w:ascii="Times New Roman;serif" w:hAnsi="Times New Roman;serif"/>
          <w:b w:val="false"/>
          <w:sz w:val="20"/>
        </w:rPr>
        <w:t>Substantially all direct roxadustat product sales to distributors in China are made by Falikang, while FibroGen Beijing continues to sell roxadustat product directly in one province in China. FibroGen Beijing manufactures and supplies commercial product to Falikang based on a gross transfer price, which is adjusted for the estimated profit share.</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Amounts recognized as license revenue and development revenue under the AstraZeneca U.S./RoW Agreement and AstraZeneca China Agreement were as follows for the three months ended March 31, 2023 and 2022 (in thousands):</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5770"/>
        <w:gridCol w:w="146"/>
        <w:gridCol w:w="1890"/>
        <w:gridCol w:w="146"/>
        <w:gridCol w:w="271"/>
        <w:gridCol w:w="737"/>
        <w:gridCol w:w="187"/>
        <w:gridCol w:w="187"/>
        <w:gridCol w:w="271"/>
        <w:gridCol w:w="737"/>
        <w:gridCol w:w="197"/>
      </w:tblGrid>
      <w:tr>
        <w:trPr/>
        <w:tc>
          <w:tcPr>
            <w:tcW w:w="577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57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9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Agreement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Performance Obligation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7" w:type="dxa"/>
            <w:tcBorders/>
            <w:shd w:fill="auto" w:val="clear"/>
            <w:vAlign w:val="center"/>
          </w:tcPr>
          <w:p>
            <w:pPr>
              <w:pStyle w:val="TableContents"/>
              <w:spacing w:before="0" w:after="0"/>
              <w:ind w:left="0" w:right="0" w:hanging="0"/>
              <w:jc w:val="center"/>
              <w:rPr/>
            </w:pPr>
            <w:r>
              <w:rPr/>
              <w:t> </w:t>
            </w:r>
          </w:p>
        </w:tc>
        <w:tc>
          <w:tcPr>
            <w:tcW w:w="10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AstraZeneca U.S./RoW Agreement and AstraZeneca China Agreement</w:t>
            </w:r>
          </w:p>
        </w:tc>
        <w:tc>
          <w:tcPr>
            <w:tcW w:w="146" w:type="dxa"/>
            <w:tcBorders/>
            <w:shd w:fill="auto" w:val="clear"/>
            <w:vAlign w:val="center"/>
          </w:tcPr>
          <w:p>
            <w:pPr>
              <w:pStyle w:val="TableContents"/>
              <w:spacing w:before="0" w:after="0"/>
              <w:ind w:left="0" w:right="0" w:hanging="0"/>
              <w:jc w:val="left"/>
              <w:rPr/>
            </w:pPr>
            <w:r>
              <w:rPr/>
              <w:t> </w:t>
            </w:r>
          </w:p>
        </w:tc>
        <w:tc>
          <w:tcPr>
            <w:tcW w:w="18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License revenue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7" w:type="dxa"/>
            <w:tcBorders/>
            <w:shd w:fill="auto" w:val="clear"/>
            <w:vAlign w:val="center"/>
          </w:tcPr>
          <w:p>
            <w:pPr>
              <w:pStyle w:val="TableContents"/>
              <w:spacing w:before="0" w:after="0"/>
              <w:ind w:left="0" w:right="0" w:hanging="0"/>
              <w:jc w:val="right"/>
              <w:rPr/>
            </w:pPr>
            <w:r>
              <w:rPr/>
              <w:t>—</w:t>
            </w:r>
          </w:p>
        </w:tc>
        <w:tc>
          <w:tcPr>
            <w:tcW w:w="187"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7" w:type="dxa"/>
            <w:tcBorders/>
            <w:shd w:fill="auto" w:val="clear"/>
            <w:vAlign w:val="center"/>
          </w:tcPr>
          <w:p>
            <w:pPr>
              <w:pStyle w:val="TableContents"/>
              <w:spacing w:before="0" w:after="0"/>
              <w:ind w:left="0" w:right="0" w:hanging="0"/>
              <w:jc w:val="right"/>
              <w:rPr/>
            </w:pPr>
            <w:r>
              <w:rPr/>
              <w:t>—</w:t>
            </w:r>
          </w:p>
        </w:tc>
        <w:tc>
          <w:tcPr>
            <w:tcW w:w="197" w:type="dxa"/>
            <w:tcBorders/>
            <w:shd w:fill="auto" w:val="clear"/>
            <w:vAlign w:val="center"/>
          </w:tcPr>
          <w:p>
            <w:pPr>
              <w:pStyle w:val="TableContents"/>
              <w:spacing w:before="0" w:after="0"/>
              <w:ind w:left="0" w:right="0" w:hanging="0"/>
              <w:jc w:val="left"/>
              <w:rPr/>
            </w:pPr>
            <w:r>
              <w:rPr/>
              <w:t> </w:t>
            </w:r>
          </w:p>
        </w:tc>
      </w:tr>
      <w:tr>
        <w:trPr/>
        <w:tc>
          <w:tcPr>
            <w:tcW w:w="577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Development revenue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2,032</w:t>
            </w:r>
          </w:p>
        </w:tc>
        <w:tc>
          <w:tcPr>
            <w:tcW w:w="187"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5,819</w:t>
            </w:r>
          </w:p>
        </w:tc>
        <w:tc>
          <w:tcPr>
            <w:tcW w:w="197"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transaction price related to consideration received through March 31, 2023 and accounts receivable has been allocated to each of the following performance obligations under the AstraZeneca U.S./RoW Agreement and AstraZeneca China Agreement, along with any associated deferred revenue as follows (in thousands):</w:t>
      </w:r>
    </w:p>
    <w:p>
      <w:pPr>
        <w:pStyle w:val="TextBody"/>
        <w:spacing w:before="0" w:after="0"/>
        <w:jc w:val="left"/>
        <w:rPr/>
      </w:pPr>
      <w:r>
        <w:rPr/>
        <w:t> </w:t>
      </w:r>
    </w:p>
    <w:tbl>
      <w:tblPr>
        <w:tblW w:w="10232" w:type="dxa"/>
        <w:jc w:val="left"/>
        <w:tblInd w:w="0" w:type="dxa"/>
        <w:tblCellMar>
          <w:top w:w="28" w:type="dxa"/>
          <w:left w:w="28" w:type="dxa"/>
          <w:bottom w:w="28" w:type="dxa"/>
          <w:right w:w="28" w:type="dxa"/>
        </w:tblCellMar>
      </w:tblPr>
      <w:tblGrid>
        <w:gridCol w:w="3421"/>
        <w:gridCol w:w="146"/>
        <w:gridCol w:w="357"/>
        <w:gridCol w:w="1578"/>
        <w:gridCol w:w="146"/>
        <w:gridCol w:w="146"/>
        <w:gridCol w:w="341"/>
        <w:gridCol w:w="1264"/>
        <w:gridCol w:w="146"/>
        <w:gridCol w:w="316"/>
        <w:gridCol w:w="366"/>
        <w:gridCol w:w="1614"/>
        <w:gridCol w:w="391"/>
      </w:tblGrid>
      <w:tr>
        <w:trPr/>
        <w:tc>
          <w:tcPr>
            <w:tcW w:w="3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57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61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 xml:space="preserve">AstraZeneca U.S./RoW Agreement and </w:t>
              <w:br/>
              <w:t>AstraZeneca China Agreement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Cumulative Revenue </w:t>
              <w:br/>
              <w:t>Through 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Deferred Revenue at</w:t>
              <w:b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c>
          <w:tcPr>
            <w:tcW w:w="19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Consideration</w:t>
              <w:br/>
              <w:t> Through 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License</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341,844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341,844</w:t>
            </w:r>
          </w:p>
        </w:tc>
        <w:tc>
          <w:tcPr>
            <w:tcW w:w="391"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Co-development, information sharing &amp; </w:t>
              <w:br/>
              <w:t>  committee services</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5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617,670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left"/>
              <w:rPr/>
            </w:pPr>
            <w:r>
              <w:rPr/>
              <w:t> </w:t>
            </w:r>
          </w:p>
        </w:tc>
        <w:tc>
          <w:tcPr>
            <w:tcW w:w="16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617,670</w:t>
            </w:r>
          </w:p>
        </w:tc>
        <w:tc>
          <w:tcPr>
            <w:tcW w:w="391"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China performance obligation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128,106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175,326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3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303,432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4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license and development revenue</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1,087,620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175,326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1,262,946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8" w:space="1" w:color="000000"/>
        </w:pBdr>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 xml:space="preserve">* China performance obligation revenue is recognized as product revenue, as described under </w:t>
      </w:r>
      <w:r>
        <w:rPr>
          <w:rFonts w:ascii="Times New Roman;serif" w:hAnsi="Times New Roman;serif"/>
          <w:b w:val="false"/>
          <w:i/>
          <w:sz w:val="20"/>
        </w:rPr>
        <w:t>Product Revenue, Net</w:t>
      </w:r>
      <w:r>
        <w:rPr>
          <w:rFonts w:ascii="Times New Roman" w:hAnsi="Times New Roman"/>
          <w:sz w:val="20"/>
        </w:rPr>
        <w:t xml:space="preserve"> </w:t>
      </w:r>
      <w:r>
        <w:rPr>
          <w:rFonts w:ascii="Times New Roman;serif" w:hAnsi="Times New Roman;serif"/>
          <w:b w:val="false"/>
          <w:sz w:val="20"/>
        </w:rPr>
        <w:t>section below.</w:t>
      </w:r>
    </w:p>
    <w:p>
      <w:pPr>
        <w:pStyle w:val="TextBody"/>
        <w:spacing w:before="120" w:after="0"/>
        <w:jc w:val="left"/>
        <w:rPr>
          <w:rFonts w:ascii="Times New Roman" w:hAnsi="Times New Roman"/>
          <w:sz w:val="20"/>
        </w:rPr>
      </w:pPr>
      <w:bookmarkStart w:id="11" w:name="highlight_result_11"/>
      <w:bookmarkEnd w:id="11"/>
      <w:r>
        <w:rPr>
          <w:rFonts w:ascii="Times New Roman;serif" w:hAnsi="Times New Roman;serif"/>
          <w:b w:val="false"/>
          <w:sz w:val="20"/>
        </w:rPr>
        <w:t>** Contract assets and liabilities related to rights and obligations in the same contract are recorded net on the consolidated balance sheets. As of March 31, 2023, deferred revenue included $156.2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related to the AstraZeneca U.S./RoW Agreement and AstraZeneca China Agreement, which represents the net of $175.3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deferred revenue presented above and a $19.1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unbilled co-development revenue under the AstraZeneca China Amendment.</w:t>
      </w:r>
    </w:p>
    <w:p>
      <w:pPr>
        <w:pStyle w:val="TextBody"/>
        <w:spacing w:before="240" w:after="0"/>
        <w:jc w:val="left"/>
        <w:rPr>
          <w:rFonts w:ascii="Times New Roman" w:hAnsi="Times New Roman"/>
          <w:sz w:val="20"/>
        </w:rPr>
      </w:pPr>
      <w:r>
        <w:rPr>
          <w:rFonts w:ascii="Times New Roman;serif" w:hAnsi="Times New Roman;serif"/>
          <w:b w:val="false"/>
          <w:sz w:val="20"/>
        </w:rPr>
        <w:t>There was no</w:t>
      </w:r>
      <w:r>
        <w:rPr>
          <w:rFonts w:ascii="Times New Roman" w:hAnsi="Times New Roman"/>
          <w:sz w:val="20"/>
        </w:rPr>
        <w:t xml:space="preserve"> </w:t>
      </w:r>
      <w:r>
        <w:rPr>
          <w:rFonts w:ascii="Times New Roman;serif" w:hAnsi="Times New Roman;serif"/>
          <w:b w:val="false"/>
          <w:sz w:val="20"/>
        </w:rPr>
        <w:t>license revenue or development revenue resulting from changes to estimated variable consideration in the current period relating to performance obligations satisfied or partially satisfied in previous periods for the three months ended March 31, 2023 under the AstraZeneca U.S./RoW Agreement. The remainder of the transaction price related to the AstraZeneca U.S./RoW Agreement and AstraZeneca China Agreement includes $9.8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variable consideration from estimated future co-development billing and is expected to be recognized over the remaining development service period, except for amounts allocated to the China performance obligation. The amount allocated to the China performance obligation is expected to be recognized as the Company transfers control of the commercial drug product to Falikang, and is expected to continue through 2028, which reflects our best estimates.</w:t>
      </w:r>
    </w:p>
    <w:p>
      <w:pPr>
        <w:pStyle w:val="TextBody"/>
        <w:spacing w:before="240" w:after="0"/>
        <w:jc w:val="left"/>
        <w:rPr>
          <w:rFonts w:ascii="Times New Roman" w:hAnsi="Times New Roman"/>
          <w:sz w:val="20"/>
        </w:rPr>
      </w:pPr>
      <w:r>
        <w:rPr>
          <w:rFonts w:ascii="Times New Roman;serif" w:hAnsi="Times New Roman;serif"/>
          <w:b w:val="false"/>
          <w:sz w:val="20"/>
        </w:rPr>
        <w:t xml:space="preserve">The net product revenue from the sales to Falikang and the net product revenue from direct sales distributors in China are described under </w:t>
      </w:r>
      <w:r>
        <w:rPr>
          <w:rFonts w:ascii="Times New Roman;serif" w:hAnsi="Times New Roman;serif"/>
          <w:b w:val="false"/>
          <w:i/>
          <w:sz w:val="20"/>
        </w:rPr>
        <w:t>Product Revenue, Net</w:t>
      </w:r>
      <w:r>
        <w:rPr>
          <w:rFonts w:ascii="Times New Roman" w:hAnsi="Times New Roman"/>
          <w:sz w:val="20"/>
        </w:rPr>
        <w:t xml:space="preserve"> </w:t>
      </w:r>
      <w:r>
        <w:rPr>
          <w:rFonts w:ascii="Times New Roman;serif" w:hAnsi="Times New Roman;serif"/>
          <w:b w:val="false"/>
          <w:sz w:val="20"/>
        </w:rPr>
        <w:t>section below.</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sz w:val="20"/>
        </w:rPr>
      </w:pPr>
      <w:r>
        <w:rPr>
          <w:rFonts w:ascii="Times New Roman;serif" w:hAnsi="Times New Roman;serif"/>
          <w:b/>
          <w:sz w:val="20"/>
        </w:rPr>
        <w:t>Product Revenue,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Product revenue, net from the sales of roxadustat commercial product in China was as follows for the three months ended March 31, 2023 and 2022 (in thousands):</w:t>
      </w:r>
    </w:p>
    <w:p>
      <w:pPr>
        <w:pStyle w:val="TextBody"/>
        <w:spacing w:before="0" w:after="0"/>
        <w:jc w:val="left"/>
        <w:rPr/>
      </w:pPr>
      <w:r>
        <w:rPr/>
        <w:t> </w:t>
      </w:r>
    </w:p>
    <w:tbl>
      <w:tblPr>
        <w:tblW w:w="5887" w:type="dxa"/>
        <w:jc w:val="left"/>
        <w:tblInd w:w="0" w:type="dxa"/>
        <w:tblCellMar>
          <w:top w:w="28" w:type="dxa"/>
          <w:left w:w="28" w:type="dxa"/>
          <w:bottom w:w="28" w:type="dxa"/>
          <w:right w:w="28" w:type="dxa"/>
        </w:tblCellMar>
      </w:tblPr>
      <w:tblGrid>
        <w:gridCol w:w="2551"/>
        <w:gridCol w:w="146"/>
        <w:gridCol w:w="236"/>
        <w:gridCol w:w="823"/>
        <w:gridCol w:w="185"/>
        <w:gridCol w:w="163"/>
        <w:gridCol w:w="236"/>
        <w:gridCol w:w="756"/>
        <w:gridCol w:w="791"/>
      </w:tblGrid>
      <w:tr>
        <w:trPr/>
        <w:tc>
          <w:tcPr>
            <w:tcW w:w="2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r>
      <w:tr>
        <w:trPr/>
        <w:tc>
          <w:tcPr>
            <w:tcW w:w="25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3"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Direct Sales:</w:t>
            </w:r>
          </w:p>
        </w:tc>
        <w:tc>
          <w:tcPr>
            <w:tcW w:w="146" w:type="dxa"/>
            <w:tcBorders/>
            <w:shd w:fill="auto" w:val="clear"/>
            <w:vAlign w:val="center"/>
          </w:tcPr>
          <w:p>
            <w:pPr>
              <w:pStyle w:val="TableContents"/>
              <w:spacing w:before="0" w:after="0"/>
              <w:ind w:left="0" w:right="0" w:hanging="0"/>
              <w:jc w:val="center"/>
              <w:rPr/>
            </w:pPr>
            <w:r>
              <w:rPr/>
              <w:t> </w:t>
            </w:r>
          </w:p>
        </w:tc>
        <w:tc>
          <w:tcPr>
            <w:tcW w:w="1059" w:type="dxa"/>
            <w:gridSpan w:val="2"/>
            <w:tcBorders/>
            <w:shd w:fill="auto" w:val="clear"/>
            <w:vAlign w:val="center"/>
          </w:tcPr>
          <w:p>
            <w:pPr>
              <w:pStyle w:val="TableContents"/>
              <w:spacing w:before="0" w:after="0"/>
              <w:ind w:left="0" w:right="0" w:hanging="0"/>
              <w:jc w:val="right"/>
              <w:rPr/>
            </w:pPr>
            <w:r>
              <w:rPr/>
              <w:t> </w:t>
            </w:r>
          </w:p>
        </w:tc>
        <w:tc>
          <w:tcPr>
            <w:tcW w:w="185" w:type="dxa"/>
            <w:tcBorders/>
            <w:shd w:fill="auto" w:val="clear"/>
            <w:vAlign w:val="center"/>
          </w:tcPr>
          <w:p>
            <w:pPr>
              <w:pStyle w:val="TableContents"/>
              <w:spacing w:before="0" w:after="0"/>
              <w:ind w:left="0" w:right="0" w:hanging="0"/>
              <w:jc w:val="righ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791" w:type="dxa"/>
            <w:tcBorders/>
            <w:shd w:fill="auto" w:val="clear"/>
            <w:vAlign w:val="center"/>
          </w:tcPr>
          <w:p>
            <w:pPr>
              <w:pStyle w:val="TableContents"/>
              <w:spacing w:before="0" w:after="0"/>
              <w:ind w:left="0" w:right="0" w:hanging="0"/>
              <w:jc w:val="righ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revenue</w:t>
            </w:r>
          </w:p>
        </w:tc>
        <w:tc>
          <w:tcPr>
            <w:tcW w:w="146" w:type="dxa"/>
            <w:tcBorders/>
            <w:shd w:fill="auto" w:val="clear"/>
            <w:vAlign w:val="center"/>
          </w:tcPr>
          <w:p>
            <w:pPr>
              <w:pStyle w:val="TableContents"/>
              <w:spacing w:before="0" w:after="0"/>
              <w:ind w:left="0" w:right="0" w:hanging="0"/>
              <w:jc w:val="center"/>
              <w:rPr/>
            </w:pPr>
            <w:r>
              <w:rPr/>
              <w:t> </w:t>
            </w:r>
          </w:p>
        </w:tc>
        <w:tc>
          <w:tcPr>
            <w:tcW w:w="2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3,060</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2,830</w:t>
            </w:r>
          </w:p>
        </w:tc>
        <w:tc>
          <w:tcPr>
            <w:tcW w:w="791" w:type="dxa"/>
            <w:tcBorders/>
            <w:shd w:fill="auto" w:val="clear"/>
            <w:vAlign w:val="center"/>
          </w:tcPr>
          <w:p>
            <w:pPr>
              <w:pStyle w:val="TableContents"/>
              <w:spacing w:before="0" w:after="0"/>
              <w:ind w:left="0" w:right="0" w:firstLine="100"/>
              <w:jc w:val="left"/>
              <w:rPr/>
            </w:pPr>
            <w:r>
              <w:rPr/>
              <w:t> </w:t>
            </w:r>
          </w:p>
        </w:tc>
      </w:tr>
      <w:tr>
        <w:trPr/>
        <w:tc>
          <w:tcPr>
            <w:tcW w:w="25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Discounts and rebates</w:t>
            </w:r>
          </w:p>
        </w:tc>
        <w:tc>
          <w:tcPr>
            <w:tcW w:w="146" w:type="dxa"/>
            <w:tcBorders/>
            <w:shd w:fill="auto" w:val="clear"/>
            <w:vAlign w:val="center"/>
          </w:tcPr>
          <w:p>
            <w:pPr>
              <w:pStyle w:val="TableContents"/>
              <w:spacing w:before="0" w:after="0"/>
              <w:ind w:left="0" w:right="0" w:hanging="0"/>
              <w:jc w:val="center"/>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w:t>
            </w:r>
          </w:p>
        </w:tc>
        <w:tc>
          <w:tcPr>
            <w:tcW w:w="1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79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Sales returns</w:t>
            </w:r>
          </w:p>
        </w:tc>
        <w:tc>
          <w:tcPr>
            <w:tcW w:w="146" w:type="dxa"/>
            <w:tcBorders/>
            <w:shd w:fill="auto" w:val="clear"/>
            <w:vAlign w:val="center"/>
          </w:tcPr>
          <w:p>
            <w:pPr>
              <w:pStyle w:val="TableContents"/>
              <w:spacing w:before="0" w:after="0"/>
              <w:ind w:left="0" w:right="0" w:hanging="0"/>
              <w:jc w:val="center"/>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55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Direct sales revenue, net</w:t>
            </w:r>
          </w:p>
        </w:tc>
        <w:tc>
          <w:tcPr>
            <w:tcW w:w="146" w:type="dxa"/>
            <w:tcBorders/>
            <w:shd w:fill="auto" w:val="clear"/>
            <w:vAlign w:val="center"/>
          </w:tcPr>
          <w:p>
            <w:pPr>
              <w:pStyle w:val="TableContents"/>
              <w:spacing w:before="0" w:after="0"/>
              <w:ind w:left="0" w:right="0" w:hanging="0"/>
              <w:jc w:val="center"/>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2,789</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2,658</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2551"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9" w:type="dxa"/>
            <w:gridSpan w:val="2"/>
            <w:tcBorders/>
            <w:shd w:fill="auto" w:val="clear"/>
            <w:vAlign w:val="center"/>
          </w:tcPr>
          <w:p>
            <w:pPr>
              <w:pStyle w:val="TableContents"/>
              <w:spacing w:before="0" w:after="0"/>
              <w:ind w:left="0" w:right="0" w:hanging="0"/>
              <w:jc w:val="right"/>
              <w:rPr/>
            </w:pPr>
            <w:r>
              <w:rPr/>
              <w:t> </w:t>
            </w:r>
          </w:p>
        </w:tc>
        <w:tc>
          <w:tcPr>
            <w:tcW w:w="185" w:type="dxa"/>
            <w:tcBorders/>
            <w:shd w:fill="auto" w:val="clear"/>
            <w:vAlign w:val="center"/>
          </w:tcPr>
          <w:p>
            <w:pPr>
              <w:pStyle w:val="TableContents"/>
              <w:spacing w:before="0" w:after="0"/>
              <w:ind w:left="0" w:right="0" w:hanging="0"/>
              <w:jc w:val="righ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791" w:type="dxa"/>
            <w:tcBorders/>
            <w:shd w:fill="auto" w:val="clear"/>
            <w:vAlign w:val="center"/>
          </w:tcPr>
          <w:p>
            <w:pPr>
              <w:pStyle w:val="TableContents"/>
              <w:spacing w:before="0" w:after="0"/>
              <w:ind w:left="0" w:right="0" w:hanging="0"/>
              <w:jc w:val="righ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Sales to Falikang:</w:t>
            </w:r>
          </w:p>
        </w:tc>
        <w:tc>
          <w:tcPr>
            <w:tcW w:w="146" w:type="dxa"/>
            <w:tcBorders/>
            <w:shd w:fill="auto" w:val="clear"/>
            <w:vAlign w:val="center"/>
          </w:tcPr>
          <w:p>
            <w:pPr>
              <w:pStyle w:val="TableContents"/>
              <w:spacing w:before="0" w:after="0"/>
              <w:ind w:left="0" w:right="0" w:hanging="0"/>
              <w:jc w:val="center"/>
              <w:rPr/>
            </w:pPr>
            <w:r>
              <w:rPr/>
              <w:t> </w:t>
            </w:r>
          </w:p>
        </w:tc>
        <w:tc>
          <w:tcPr>
            <w:tcW w:w="1059" w:type="dxa"/>
            <w:gridSpan w:val="2"/>
            <w:tcBorders/>
            <w:shd w:fill="auto" w:val="clear"/>
            <w:vAlign w:val="center"/>
          </w:tcPr>
          <w:p>
            <w:pPr>
              <w:pStyle w:val="TableContents"/>
              <w:spacing w:before="0" w:after="0"/>
              <w:ind w:left="0" w:right="0" w:hanging="0"/>
              <w:jc w:val="right"/>
              <w:rPr/>
            </w:pPr>
            <w:r>
              <w:rPr/>
              <w:t> </w:t>
            </w:r>
          </w:p>
        </w:tc>
        <w:tc>
          <w:tcPr>
            <w:tcW w:w="185" w:type="dxa"/>
            <w:tcBorders/>
            <w:shd w:fill="auto" w:val="clear"/>
            <w:vAlign w:val="center"/>
          </w:tcPr>
          <w:p>
            <w:pPr>
              <w:pStyle w:val="TableContents"/>
              <w:spacing w:before="0" w:after="0"/>
              <w:ind w:left="0" w:right="0" w:hanging="0"/>
              <w:jc w:val="righ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791" w:type="dxa"/>
            <w:tcBorders/>
            <w:shd w:fill="auto" w:val="clear"/>
            <w:vAlign w:val="center"/>
          </w:tcPr>
          <w:p>
            <w:pPr>
              <w:pStyle w:val="TableContents"/>
              <w:spacing w:before="0" w:after="0"/>
              <w:ind w:left="0" w:right="0" w:hanging="0"/>
              <w:jc w:val="righ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transaction price</w:t>
            </w:r>
          </w:p>
        </w:tc>
        <w:tc>
          <w:tcPr>
            <w:tcW w:w="146" w:type="dxa"/>
            <w:tcBorders/>
            <w:shd w:fill="auto" w:val="clear"/>
            <w:vAlign w:val="center"/>
          </w:tcPr>
          <w:p>
            <w:pPr>
              <w:pStyle w:val="TableContents"/>
              <w:spacing w:before="0" w:after="0"/>
              <w:ind w:left="0" w:right="0" w:hanging="0"/>
              <w:jc w:val="center"/>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34,249</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22,726</w:t>
            </w:r>
          </w:p>
        </w:tc>
        <w:tc>
          <w:tcPr>
            <w:tcW w:w="791" w:type="dxa"/>
            <w:tcBorders/>
            <w:shd w:fill="auto" w:val="clear"/>
            <w:vAlign w:val="center"/>
          </w:tcPr>
          <w:p>
            <w:pPr>
              <w:pStyle w:val="TableContents"/>
              <w:spacing w:before="0" w:after="0"/>
              <w:ind w:left="0" w:right="0" w:firstLine="100"/>
              <w:jc w:val="left"/>
              <w:rPr/>
            </w:pPr>
            <w:r>
              <w:rPr/>
              <w:t> </w:t>
            </w:r>
          </w:p>
        </w:tc>
      </w:tr>
      <w:tr>
        <w:trPr/>
        <w:tc>
          <w:tcPr>
            <w:tcW w:w="25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Profit share</w:t>
            </w:r>
          </w:p>
        </w:tc>
        <w:tc>
          <w:tcPr>
            <w:tcW w:w="146" w:type="dxa"/>
            <w:tcBorders/>
            <w:shd w:fill="auto" w:val="clear"/>
            <w:vAlign w:val="center"/>
          </w:tcPr>
          <w:p>
            <w:pPr>
              <w:pStyle w:val="TableContents"/>
              <w:spacing w:before="0" w:after="0"/>
              <w:ind w:left="0" w:right="0" w:hanging="0"/>
              <w:jc w:val="center"/>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(14,988</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(8,849</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transaction price</w:t>
            </w:r>
          </w:p>
        </w:tc>
        <w:tc>
          <w:tcPr>
            <w:tcW w:w="146" w:type="dxa"/>
            <w:tcBorders/>
            <w:shd w:fill="auto" w:val="clear"/>
            <w:vAlign w:val="center"/>
          </w:tcPr>
          <w:p>
            <w:pPr>
              <w:pStyle w:val="TableContents"/>
              <w:spacing w:before="0" w:after="0"/>
              <w:ind w:left="0" w:right="0" w:hanging="0"/>
              <w:jc w:val="center"/>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19,261</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13,877</w:t>
            </w:r>
          </w:p>
        </w:tc>
        <w:tc>
          <w:tcPr>
            <w:tcW w:w="791" w:type="dxa"/>
            <w:tcBorders/>
            <w:shd w:fill="auto" w:val="clear"/>
            <w:vAlign w:val="center"/>
          </w:tcPr>
          <w:p>
            <w:pPr>
              <w:pStyle w:val="TableContents"/>
              <w:spacing w:before="0" w:after="0"/>
              <w:ind w:left="0" w:right="0" w:firstLine="200"/>
              <w:jc w:val="left"/>
              <w:rPr/>
            </w:pPr>
            <w:r>
              <w:rPr/>
              <w:t> </w:t>
            </w:r>
          </w:p>
        </w:tc>
      </w:tr>
      <w:tr>
        <w:trPr/>
        <w:tc>
          <w:tcPr>
            <w:tcW w:w="25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Decrease in deferred revenue</w:t>
            </w:r>
          </w:p>
        </w:tc>
        <w:tc>
          <w:tcPr>
            <w:tcW w:w="146" w:type="dxa"/>
            <w:tcBorders/>
            <w:shd w:fill="auto" w:val="clear"/>
            <w:vAlign w:val="center"/>
          </w:tcPr>
          <w:p>
            <w:pPr>
              <w:pStyle w:val="TableContents"/>
              <w:spacing w:before="0" w:after="0"/>
              <w:ind w:left="0" w:right="0" w:hanging="0"/>
              <w:jc w:val="center"/>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2,111</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2,346</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55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Sales to Falikang revenue, net</w:t>
            </w:r>
          </w:p>
        </w:tc>
        <w:tc>
          <w:tcPr>
            <w:tcW w:w="146" w:type="dxa"/>
            <w:tcBorders/>
            <w:shd w:fill="auto" w:val="clear"/>
            <w:vAlign w:val="center"/>
          </w:tcPr>
          <w:p>
            <w:pPr>
              <w:pStyle w:val="TableContents"/>
              <w:spacing w:before="0" w:after="0"/>
              <w:ind w:left="0" w:right="0" w:hanging="0"/>
              <w:jc w:val="center"/>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21,372</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16,223</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255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product revenue, net</w:t>
            </w:r>
          </w:p>
        </w:tc>
        <w:tc>
          <w:tcPr>
            <w:tcW w:w="146" w:type="dxa"/>
            <w:tcBorders/>
            <w:shd w:fill="auto" w:val="clear"/>
            <w:vAlign w:val="center"/>
          </w:tcPr>
          <w:p>
            <w:pPr>
              <w:pStyle w:val="TableContents"/>
              <w:spacing w:before="0" w:after="0"/>
              <w:ind w:left="0" w:right="0" w:hanging="0"/>
              <w:jc w:val="center"/>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24,161</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18,881</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i/>
          <w:sz w:val="20"/>
        </w:rPr>
      </w:pPr>
      <w:r>
        <w:rPr>
          <w:rFonts w:ascii="Times New Roman;serif" w:hAnsi="Times New Roman;serif"/>
          <w:b w:val="false"/>
          <w:i/>
          <w:sz w:val="20"/>
        </w:rPr>
        <w:t>Direct Sales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Product revenue from direct roxadustat product sales to distributors in China is recognized in an amount that reflects the consideration that the Company expects to be entitled to in exchange for those products, net of various sales rebates and discounts. The total discounts and rebates were immaterial for the periods presented.</w:t>
      </w:r>
    </w:p>
    <w:p>
      <w:pPr>
        <w:pStyle w:val="TextBody"/>
        <w:spacing w:before="240" w:after="0"/>
        <w:jc w:val="left"/>
        <w:rPr>
          <w:rFonts w:ascii="Times New Roman" w:hAnsi="Times New Roman"/>
          <w:sz w:val="20"/>
        </w:rPr>
      </w:pPr>
      <w:r>
        <w:rPr>
          <w:rFonts w:ascii="Times New Roman;serif" w:hAnsi="Times New Roman;serif"/>
          <w:b w:val="false"/>
          <w:sz w:val="20"/>
        </w:rPr>
        <w:t>Due to the Company’s legal right to offset, at each balance sheet date, the rebates and discounts are presented as reductions to gross accounts receivable from the distributor, or as a current liability to the distributor to the extent that the total amount exceeds the gross accounts receivable or when the Company expects to settle the discount in cash. The Company’s legal right to offset is calculated at the individual distributor level. The contract liabilities were included in accrued and other current liabilities in the condensed consolidated balance sheet and were immaterial as of March 31, 2023 and December 31, 2022, respectively.</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rebates and discounts reflected as reductions to gross accounts receivable for direct sales were immaterial as of March 31, 2023 and December 31, 2022, respectively.</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Sales to Falikang – China Performance Obligation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Substantially all direct roxadustat product sales to distributors in China are made by Falikang. FibroGen Beijing manufactures and supplies commercial product to Falikang. The net transfer price for FibroGen Beijing’s product sales to Falikang is based on a gross transfer price, which is adjusted to account for the 50/50 profit share for the period.</w:t>
      </w:r>
    </w:p>
    <w:p>
      <w:pPr>
        <w:pStyle w:val="TextBody"/>
        <w:spacing w:before="240" w:after="0"/>
        <w:jc w:val="left"/>
        <w:rPr>
          <w:rFonts w:ascii="Times New Roman" w:hAnsi="Times New Roman"/>
          <w:sz w:val="20"/>
        </w:rPr>
      </w:pPr>
      <w:r>
        <w:rPr>
          <w:rFonts w:ascii="Times New Roman;serif" w:hAnsi="Times New Roman;serif"/>
          <w:b w:val="false"/>
          <w:sz w:val="20"/>
        </w:rPr>
        <w:t>The roxadustat sales to Falikang marked the beginning of the Company’s China performance obligation under the Company’s agreements with AstraZeneca</w:t>
      </w:r>
      <w:r>
        <w:rPr>
          <w:rFonts w:ascii="Times New Roman;serif" w:hAnsi="Times New Roman;serif"/>
          <w:b w:val="false"/>
          <w:i/>
          <w:sz w:val="20"/>
        </w:rPr>
        <w:t xml:space="preserve">. </w:t>
      </w:r>
      <w:r>
        <w:rPr>
          <w:rFonts w:ascii="Times New Roman;serif" w:hAnsi="Times New Roman;serif"/>
          <w:b w:val="false"/>
          <w:sz w:val="20"/>
        </w:rPr>
        <w:t>Product revenue is based on the transaction price of the China performance obligation. Revenue is recognized when control of the product is transferred to Falikang, in an amount that reflects the allocation of the transaction price to the performance obligation satisfied during the reporting period. Any net transaction price in excess of the revenue recognized is added to the deferred balance to date, and will be recognized in future periods as the performance obligation is satisfied.</w:t>
      </w:r>
    </w:p>
    <w:p>
      <w:pPr>
        <w:pStyle w:val="TextBody"/>
        <w:spacing w:before="240" w:after="0"/>
        <w:jc w:val="left"/>
        <w:rPr>
          <w:rFonts w:ascii="Times New Roman" w:hAnsi="Times New Roman"/>
          <w:sz w:val="20"/>
        </w:rPr>
      </w:pPr>
      <w:r>
        <w:rPr>
          <w:rFonts w:ascii="Times New Roman;serif" w:hAnsi="Times New Roman;serif"/>
          <w:b w:val="false"/>
          <w:sz w:val="20"/>
        </w:rPr>
        <w:t>Periodically, the Company updates its assumptions such as total sales quantity, performance period and other inputs including foreign currency translation impact, among others. Following updates to its estimates, the Company recognized $2.1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$2.3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from the previously deferred revenue of the China performance obligation during the three months ended March 31, 2023 and 2022, respectively. The product revenue recognized for the three months ended March 31, 2023</w:t>
      </w:r>
      <w:r>
        <w:rPr>
          <w:rFonts w:ascii="Times New Roman" w:hAnsi="Times New Roman"/>
          <w:sz w:val="20"/>
        </w:rPr>
        <w:t xml:space="preserve"> </w:t>
      </w:r>
      <w:r>
        <w:rPr>
          <w:rFonts w:ascii="Times New Roman;serif" w:hAnsi="Times New Roman;serif"/>
          <w:b w:val="false"/>
          <w:sz w:val="20"/>
        </w:rPr>
        <w:t>included a decrease in revenue of $0.3</w:t>
      </w:r>
      <w:r>
        <w:rPr>
          <w:rFonts w:ascii="Times New Roman" w:hAnsi="Times New Roman"/>
          <w:sz w:val="20"/>
        </w:rPr>
        <w:t xml:space="preserve"> </w:t>
      </w:r>
      <w:r>
        <w:rPr>
          <w:rFonts w:ascii="Times New Roman;serif" w:hAnsi="Times New Roman;serif"/>
          <w:b w:val="false"/>
          <w:sz w:val="20"/>
        </w:rPr>
        <w:t>million resulting from changes to estimated variable consideration in the current period relating to performance obligations satisfied in previous periods.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includes a roll-forward of the related deferred revenue that is considered as a contract liability (in thousands):</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2958"/>
        <w:gridCol w:w="146"/>
        <w:gridCol w:w="274"/>
        <w:gridCol w:w="1094"/>
        <w:gridCol w:w="166"/>
        <w:gridCol w:w="146"/>
        <w:gridCol w:w="211"/>
        <w:gridCol w:w="736"/>
        <w:gridCol w:w="166"/>
        <w:gridCol w:w="146"/>
        <w:gridCol w:w="363"/>
        <w:gridCol w:w="1171"/>
        <w:gridCol w:w="146"/>
        <w:gridCol w:w="146"/>
        <w:gridCol w:w="288"/>
        <w:gridCol w:w="658"/>
        <w:gridCol w:w="166"/>
        <w:gridCol w:w="146"/>
        <w:gridCol w:w="239"/>
        <w:gridCol w:w="959"/>
        <w:gridCol w:w="214"/>
      </w:tblGrid>
      <w:tr>
        <w:trPr/>
        <w:tc>
          <w:tcPr>
            <w:tcW w:w="295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295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6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Balance at</w:t>
              <w:br/>
              <w:t>December 31, 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3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Recognized as Revenue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Currency</w:t>
              <w:br/>
              <w:t>Translation</w:t>
              <w:br/>
              <w:t>and Other</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Balance at</w:t>
              <w:br/>
              <w:t>March 31, 2023</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Product revenue - AstraZeneca China </w:t>
              <w:br/>
              <w:t>   performance obligation - deferred revenue</w:t>
            </w:r>
          </w:p>
        </w:tc>
        <w:tc>
          <w:tcPr>
            <w:tcW w:w="146" w:type="dxa"/>
            <w:tcBorders/>
            <w:shd w:fill="auto" w:val="clear"/>
            <w:vAlign w:val="center"/>
          </w:tcPr>
          <w:p>
            <w:pPr>
              <w:pStyle w:val="TableContents"/>
              <w:spacing w:before="0" w:after="0"/>
              <w:ind w:left="0" w:right="0" w:hanging="0"/>
              <w:jc w:val="center"/>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(175,646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(20,889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21,372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(175,326</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 w:hAnsi="Times New Roman"/>
          <w:sz w:val="20"/>
        </w:rPr>
      </w:pPr>
      <w:r>
        <w:rPr>
          <w:rFonts w:ascii="Times New Roman;serif" w:hAnsi="Times New Roman;serif"/>
          <w:b w:val="false"/>
          <w:sz w:val="20"/>
        </w:rPr>
        <w:t>Deferred revenue includes amounts allocated to the China performance obligation under the AstraZeneca arrangement as revenue recognition associated with this unit of accounting is tied to the commercial launch of the products within China and to when the control of the manufactured commercial products is transferred to AstraZeneca. As of March 31, 2023, approximately $22.5</w:t>
      </w:r>
      <w:r>
        <w:rPr>
          <w:rFonts w:ascii="Times New Roman" w:hAnsi="Times New Roman"/>
          <w:sz w:val="20"/>
        </w:rPr>
        <w:t xml:space="preserve"> </w:t>
      </w:r>
      <w:r>
        <w:rPr>
          <w:rFonts w:ascii="Times New Roman;serif" w:hAnsi="Times New Roman;serif"/>
          <w:b w:val="false"/>
          <w:sz w:val="20"/>
        </w:rPr>
        <w:t>million of the above deferred revenue related to the China unit of accounting was included in short-term deferred revenue, which represents the amount of deferred revenue associated with the China unit of accounting that is expected to be recognized within the next 12 months, associated with the commercial sales in China.</w:t>
      </w:r>
    </w:p>
    <w:p>
      <w:pPr>
        <w:pStyle w:val="TextBody"/>
        <w:spacing w:before="240" w:after="0"/>
        <w:jc w:val="left"/>
        <w:rPr>
          <w:rFonts w:ascii="Times New Roman" w:hAnsi="Times New Roman"/>
          <w:sz w:val="20"/>
        </w:rPr>
      </w:pPr>
      <w:r>
        <w:rPr>
          <w:rFonts w:ascii="Times New Roman;serif" w:hAnsi="Times New Roman;serif"/>
          <w:b w:val="false"/>
          <w:sz w:val="20"/>
        </w:rPr>
        <w:t>Due to the Company’s legal right to offset, at each balance sheet date, the rebates and discounts, mainly related to profit sharing, are presented as reductions to gross accounts receivable from Falikang, which was $2.2</w:t>
      </w:r>
      <w:r>
        <w:rPr>
          <w:rFonts w:ascii="Times New Roman" w:hAnsi="Times New Roman"/>
          <w:sz w:val="20"/>
        </w:rPr>
        <w:t xml:space="preserve"> </w:t>
      </w:r>
      <w:r>
        <w:rPr>
          <w:rFonts w:ascii="Times New Roman;serif" w:hAnsi="Times New Roman;serif"/>
          <w:b w:val="false"/>
          <w:sz w:val="20"/>
        </w:rPr>
        <w:t>million and $0.5</w:t>
      </w:r>
      <w:r>
        <w:rPr>
          <w:rFonts w:ascii="Times New Roman" w:hAnsi="Times New Roman"/>
          <w:sz w:val="20"/>
        </w:rPr>
        <w:t xml:space="preserve"> </w:t>
      </w:r>
      <w:r>
        <w:rPr>
          <w:rFonts w:ascii="Times New Roman;serif" w:hAnsi="Times New Roman;serif"/>
          <w:b w:val="false"/>
          <w:sz w:val="20"/>
        </w:rPr>
        <w:t>million as of March 31, 2023 and December 31, 2022, respectively.</w:t>
      </w:r>
    </w:p>
    <w:p>
      <w:pPr>
        <w:pStyle w:val="TextBody"/>
        <w:spacing w:before="360" w:after="0"/>
        <w:jc w:val="left"/>
        <w:rPr>
          <w:rFonts w:ascii="Times New Roman;serif" w:hAnsi="Times New Roman;serif"/>
          <w:b/>
          <w:sz w:val="20"/>
        </w:rPr>
      </w:pPr>
      <w:r>
        <w:rPr>
          <w:rFonts w:ascii="Times New Roman;serif" w:hAnsi="Times New Roman;serif"/>
          <w:b/>
          <w:sz w:val="20"/>
        </w:rPr>
        <w:t>Drug Product Revenue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Drug product revenue from commercial-grade active pharmaceutical ingredient (“API”) or bulk drug product sales to Astellas and AstraZeneca was as follows for the three months ended March 31, 2023 and 2022 (in thousands):</w:t>
      </w:r>
    </w:p>
    <w:p>
      <w:pPr>
        <w:pStyle w:val="TextBody"/>
        <w:spacing w:before="0" w:after="0"/>
        <w:jc w:val="left"/>
        <w:rPr/>
      </w:pPr>
      <w:r>
        <w:rPr/>
        <w:t> </w:t>
      </w:r>
    </w:p>
    <w:tbl>
      <w:tblPr>
        <w:tblW w:w="5359" w:type="dxa"/>
        <w:jc w:val="left"/>
        <w:tblInd w:w="0" w:type="dxa"/>
        <w:tblCellMar>
          <w:top w:w="28" w:type="dxa"/>
          <w:left w:w="28" w:type="dxa"/>
          <w:bottom w:w="28" w:type="dxa"/>
          <w:right w:w="28" w:type="dxa"/>
        </w:tblCellMar>
      </w:tblPr>
      <w:tblGrid>
        <w:gridCol w:w="2326"/>
        <w:gridCol w:w="146"/>
        <w:gridCol w:w="272"/>
        <w:gridCol w:w="738"/>
        <w:gridCol w:w="188"/>
        <w:gridCol w:w="188"/>
        <w:gridCol w:w="272"/>
        <w:gridCol w:w="738"/>
        <w:gridCol w:w="491"/>
      </w:tblGrid>
      <w:tr>
        <w:trPr/>
        <w:tc>
          <w:tcPr>
            <w:tcW w:w="2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23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center"/>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Astellas Japan Agreement</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1,732</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7,594</w:t>
            </w:r>
          </w:p>
        </w:tc>
        <w:tc>
          <w:tcPr>
            <w:tcW w:w="491" w:type="dxa"/>
            <w:tcBorders/>
            <w:shd w:fill="auto" w:val="cle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Astellas Europe Agreement</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377</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pPr>
            <w:r>
              <w:rPr/>
              <w:t>—</w:t>
            </w:r>
          </w:p>
        </w:tc>
        <w:tc>
          <w:tcPr>
            <w:tcW w:w="491" w:type="dxa"/>
            <w:tcBorders/>
            <w:shd w:fill="auto" w:val="clear"/>
            <w:vAlign w:val="center"/>
          </w:tcPr>
          <w:p>
            <w:pPr>
              <w:pStyle w:val="TableContents"/>
              <w:spacing w:before="0" w:after="0"/>
              <w:ind w:left="0" w:right="0" w:firstLine="300"/>
              <w:jc w:val="left"/>
              <w:rPr/>
            </w:pPr>
            <w:r>
              <w:rPr/>
              <w:t> </w:t>
            </w:r>
          </w:p>
        </w:tc>
      </w:tr>
      <w:tr>
        <w:trPr/>
        <w:tc>
          <w:tcPr>
            <w:tcW w:w="232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Drug product revenue</w:t>
            </w:r>
          </w:p>
        </w:tc>
        <w:tc>
          <w:tcPr>
            <w:tcW w:w="146" w:type="dxa"/>
            <w:tcBorders/>
            <w:shd w:fill="auto" w:val="clear"/>
            <w:vAlign w:val="center"/>
          </w:tcPr>
          <w:p>
            <w:pPr>
              <w:pStyle w:val="TableContents"/>
              <w:spacing w:before="0" w:after="0"/>
              <w:ind w:left="0" w:right="0" w:hanging="0"/>
              <w:jc w:val="center"/>
              <w:rPr/>
            </w:pPr>
            <w:r>
              <w:rPr/>
              <w:t> </w:t>
            </w:r>
          </w:p>
        </w:tc>
        <w:tc>
          <w:tcPr>
            <w:tcW w:w="27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2,109</w:t>
            </w:r>
          </w:p>
        </w:tc>
        <w:tc>
          <w:tcPr>
            <w:tcW w:w="18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7,594</w:t>
            </w:r>
          </w:p>
        </w:tc>
        <w:tc>
          <w:tcPr>
            <w:tcW w:w="4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360" w:after="0"/>
        <w:jc w:val="left"/>
        <w:rPr>
          <w:rFonts w:ascii="Times New Roman;serif" w:hAnsi="Times New Roman;serif"/>
          <w:b w:val="false"/>
          <w:i/>
          <w:sz w:val="20"/>
        </w:rPr>
      </w:pPr>
      <w:r>
        <w:rPr>
          <w:rFonts w:ascii="Times New Roman;serif" w:hAnsi="Times New Roman;serif"/>
          <w:b w:val="false"/>
          <w:i/>
          <w:sz w:val="20"/>
        </w:rPr>
        <w:t>Astellas Japan Agreement</w:t>
      </w:r>
    </w:p>
    <w:p>
      <w:pPr>
        <w:pStyle w:val="TextBody"/>
        <w:spacing w:before="120" w:after="0"/>
        <w:jc w:val="left"/>
        <w:rPr>
          <w:rFonts w:ascii="Times New Roman" w:hAnsi="Times New Roman"/>
          <w:sz w:val="20"/>
        </w:rPr>
      </w:pPr>
      <w:r>
        <w:rPr>
          <w:rFonts w:ascii="Times New Roman;serif" w:hAnsi="Times New Roman;serif"/>
          <w:b w:val="false"/>
          <w:sz w:val="20"/>
        </w:rPr>
        <w:t>During the three months ended March 31, 2023, the Company updated its estimate of variable consideration related to the API shipments fulfilled under the terms of Astellas Japan Amendment, and accordingly recorded adjustments to the drug product revenue of $1.7</w:t>
      </w:r>
      <w:r>
        <w:rPr>
          <w:rFonts w:ascii="Times New Roman" w:hAnsi="Times New Roman"/>
          <w:sz w:val="20"/>
        </w:rPr>
        <w:t xml:space="preserve"> </w:t>
      </w:r>
      <w:r>
        <w:rPr>
          <w:rFonts w:ascii="Times New Roman;serif" w:hAnsi="Times New Roman;serif"/>
          <w:b w:val="false"/>
          <w:sz w:val="20"/>
        </w:rPr>
        <w:t>million. Specifically, the change in estimated variable consideration was based on the API held by Astellas at period end, adjusted to reflect the changes in the estimated bulk product strength mix intended to be manufactured by Astellas, and estimated yield from the manufacture of bulk product tablets, among others.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During the three months ended March 31, 2022, the Company fulfilled a shipment obligation under the terms of Astellas Japan Amendment, and recognized related drug product revenue of $9.8</w:t>
      </w:r>
      <w:r>
        <w:rPr>
          <w:rFonts w:ascii="Times New Roman" w:hAnsi="Times New Roman"/>
          <w:sz w:val="20"/>
        </w:rPr>
        <w:t xml:space="preserve"> </w:t>
      </w:r>
      <w:r>
        <w:rPr>
          <w:rFonts w:ascii="Times New Roman;serif" w:hAnsi="Times New Roman;serif"/>
          <w:b w:val="false"/>
          <w:sz w:val="20"/>
        </w:rPr>
        <w:t>million in the same period. In addition, the Company updated its estimate of variable consideration related to the API shipments fulfilled under the terms of Astellas Japan Amendment, and recorded a reduction to the drug product revenue of $2.2</w:t>
      </w:r>
      <w:r>
        <w:rPr>
          <w:rFonts w:ascii="Times New Roman" w:hAnsi="Times New Roman"/>
          <w:sz w:val="20"/>
        </w:rPr>
        <w:t xml:space="preserve"> </w:t>
      </w:r>
      <w:r>
        <w:rPr>
          <w:rFonts w:ascii="Times New Roman;serif" w:hAnsi="Times New Roman;serif"/>
          <w:b w:val="false"/>
          <w:sz w:val="20"/>
        </w:rPr>
        <w:t>million during the first quarter of 2022. Specifically, the change in estimated variable consideration was based on the API held by Astellas at period end, adjusted to reflect the changes in the estimated bulk product strength mix intended to be manufactured by Astellas, estimated cost to convert the API to bulk product tablets, and estimated yield from the manufacture of bulk product tablets, among others.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March 31, 2023, the balances related to the API price true-up under the Astellas Japan Agreement were $3.2</w:t>
      </w:r>
      <w:r>
        <w:rPr>
          <w:rFonts w:ascii="Times New Roman" w:hAnsi="Times New Roman"/>
          <w:sz w:val="20"/>
        </w:rPr>
        <w:t xml:space="preserve"> </w:t>
      </w:r>
      <w:r>
        <w:rPr>
          <w:rFonts w:ascii="Times New Roman;serif" w:hAnsi="Times New Roman;serif"/>
          <w:b w:val="false"/>
          <w:sz w:val="20"/>
        </w:rPr>
        <w:t>million in accrued liabilities and $1.6</w:t>
      </w:r>
      <w:r>
        <w:rPr>
          <w:rFonts w:ascii="Times New Roman" w:hAnsi="Times New Roman"/>
          <w:sz w:val="20"/>
        </w:rPr>
        <w:t xml:space="preserve"> </w:t>
      </w:r>
      <w:r>
        <w:rPr>
          <w:rFonts w:ascii="Times New Roman;serif" w:hAnsi="Times New Roman;serif"/>
          <w:b w:val="false"/>
          <w:sz w:val="20"/>
        </w:rPr>
        <w:t>million in other long-term liabilities, representing the Company’s best estimate of the timing for these amounts to be paid. As of December 31, 2022, the related balance in accrued liabilities was $6.5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Astellas Europe Agreement</w:t>
      </w:r>
    </w:p>
    <w:p>
      <w:pPr>
        <w:pStyle w:val="TextBody"/>
        <w:spacing w:before="120" w:after="0"/>
        <w:jc w:val="left"/>
        <w:rPr>
          <w:rFonts w:ascii="Times New Roman" w:hAnsi="Times New Roman"/>
          <w:sz w:val="20"/>
        </w:rPr>
      </w:pPr>
      <w:r>
        <w:rPr>
          <w:rFonts w:ascii="Times New Roman;serif" w:hAnsi="Times New Roman;serif"/>
          <w:b w:val="false"/>
          <w:sz w:val="20"/>
        </w:rPr>
        <w:t>The Company transferred bulk drug product for commercial purposes under the terms of the Astellas Europe Agreement and the Astellas EU Supply Agreement in the prior years, and recognized the related fully burdened manufacturing costs as drug product revenue in the respective periods and recorded the constrained transaction price in deferred revenue due to a high degree of uncertainty associated with the variable consideration for revenue recognition purposes.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 w:hAnsi="Times New Roman"/>
          <w:sz w:val="20"/>
        </w:rPr>
      </w:pPr>
      <w:r>
        <w:rPr>
          <w:rFonts w:ascii="Times New Roman;serif" w:hAnsi="Times New Roman;serif"/>
          <w:b w:val="false"/>
          <w:sz w:val="20"/>
        </w:rPr>
        <w:t>During the first quarter of 2022, the Company updated its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the Company reclassified the related deferred revenue to accrued liabilities during the year ended December 31, 2022. As of December 31, 2022, the related balance was $57.4</w:t>
      </w:r>
      <w:r>
        <w:rPr>
          <w:rFonts w:ascii="Times New Roman" w:hAnsi="Times New Roman"/>
          <w:sz w:val="20"/>
        </w:rPr>
        <w:t xml:space="preserve"> </w:t>
      </w:r>
      <w:r>
        <w:rPr>
          <w:rFonts w:ascii="Times New Roman;serif" w:hAnsi="Times New Roman;serif"/>
          <w:b w:val="false"/>
          <w:sz w:val="20"/>
        </w:rPr>
        <w:t>million in accrued liabilities. Further during the three months ended March 31, 2023, the Company reclassified $16.6</w:t>
      </w:r>
      <w:r>
        <w:rPr>
          <w:rFonts w:ascii="Times New Roman" w:hAnsi="Times New Roman"/>
          <w:sz w:val="20"/>
        </w:rPr>
        <w:t xml:space="preserve"> </w:t>
      </w:r>
      <w:r>
        <w:rPr>
          <w:rFonts w:ascii="Times New Roman;serif" w:hAnsi="Times New Roman;serif"/>
          <w:b w:val="false"/>
          <w:sz w:val="20"/>
        </w:rPr>
        <w:t>million from the related deferred revenue to accrued liabilities. As of March 31, 2023, the balances related to the bulk drug product price true-up under the Astellas Europe Agreement and the Astellas EU Supply Agreement were $57.5</w:t>
      </w:r>
      <w:r>
        <w:rPr>
          <w:rFonts w:ascii="Times New Roman" w:hAnsi="Times New Roman"/>
          <w:sz w:val="20"/>
        </w:rPr>
        <w:t xml:space="preserve"> </w:t>
      </w:r>
      <w:r>
        <w:rPr>
          <w:rFonts w:ascii="Times New Roman;serif" w:hAnsi="Times New Roman;serif"/>
          <w:b w:val="false"/>
          <w:sz w:val="20"/>
        </w:rPr>
        <w:t>million in accounts payable and $16.4</w:t>
      </w:r>
      <w:r>
        <w:rPr>
          <w:rFonts w:ascii="Times New Roman" w:hAnsi="Times New Roman"/>
          <w:sz w:val="20"/>
        </w:rPr>
        <w:t xml:space="preserve"> </w:t>
      </w:r>
      <w:r>
        <w:rPr>
          <w:rFonts w:ascii="Times New Roman;serif" w:hAnsi="Times New Roman;serif"/>
          <w:b w:val="false"/>
          <w:sz w:val="20"/>
        </w:rPr>
        <w:t>million in accrued liabilities, representing the Company’s best estimate that these amounts will be paid within the next 12 months.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recognized royalty revenue of $0.4</w:t>
      </w:r>
      <w:r>
        <w:rPr>
          <w:rFonts w:ascii="Times New Roman" w:hAnsi="Times New Roman"/>
          <w:sz w:val="20"/>
        </w:rPr>
        <w:t xml:space="preserve"> </w:t>
      </w:r>
      <w:r>
        <w:rPr>
          <w:rFonts w:ascii="Times New Roman;serif" w:hAnsi="Times New Roman;serif"/>
          <w:b w:val="false"/>
          <w:sz w:val="20"/>
        </w:rPr>
        <w:t>million as drug product revenue from the deferred revenue under the Astellas Europe Agreement during the three months ended March 31, 2023. It is the Company’s best estimate that the remainder of the deferred revenue will be recognized as revenue when uncertainty is resolved, based on the performance of roxadustat product sales in the Astellas territory.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includes a roll-forward of the above-mentioned deferred revenues that are considered as contract liabilities related to drug product (in thousands):</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2158"/>
        <w:gridCol w:w="146"/>
        <w:gridCol w:w="268"/>
        <w:gridCol w:w="938"/>
        <w:gridCol w:w="166"/>
        <w:gridCol w:w="146"/>
        <w:gridCol w:w="301"/>
        <w:gridCol w:w="495"/>
        <w:gridCol w:w="146"/>
        <w:gridCol w:w="146"/>
        <w:gridCol w:w="443"/>
        <w:gridCol w:w="889"/>
        <w:gridCol w:w="146"/>
        <w:gridCol w:w="146"/>
        <w:gridCol w:w="552"/>
        <w:gridCol w:w="1771"/>
        <w:gridCol w:w="146"/>
        <w:gridCol w:w="146"/>
        <w:gridCol w:w="243"/>
        <w:gridCol w:w="850"/>
        <w:gridCol w:w="297"/>
      </w:tblGrid>
      <w:tr>
        <w:trPr/>
        <w:tc>
          <w:tcPr>
            <w:tcW w:w="215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7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r>
      <w:tr>
        <w:trPr/>
        <w:tc>
          <w:tcPr>
            <w:tcW w:w="215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Balance at</w:t>
              <w:br/>
              <w:t>December 31, 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Recognized as Revenue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Reclassified to Accrued Liability / Accounts Payable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Balance at</w:t>
              <w:br/>
              <w:t>March 31, 2023</w:t>
            </w:r>
          </w:p>
        </w:tc>
        <w:tc>
          <w:tcPr>
            <w:tcW w:w="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Drug product revenue - deferred revenue:</w:t>
            </w:r>
          </w:p>
        </w:tc>
        <w:tc>
          <w:tcPr>
            <w:tcW w:w="146" w:type="dxa"/>
            <w:tcBorders/>
            <w:shd w:fill="auto" w:val="clear"/>
            <w:vAlign w:val="center"/>
          </w:tcPr>
          <w:p>
            <w:pPr>
              <w:pStyle w:val="TableContents"/>
              <w:spacing w:before="0" w:after="0"/>
              <w:ind w:left="0" w:right="0" w:hanging="0"/>
              <w:jc w:val="center"/>
              <w:rPr/>
            </w:pPr>
            <w:r>
              <w:rPr/>
              <w:t> </w:t>
            </w:r>
          </w:p>
        </w:tc>
        <w:tc>
          <w:tcPr>
            <w:tcW w:w="120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3" w:type="dxa"/>
            <w:gridSpan w:val="2"/>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firstLine="100"/>
              <w:jc w:val="left"/>
              <w:rPr/>
            </w:pPr>
            <w:r>
              <w:rPr/>
              <w:t> </w:t>
            </w:r>
          </w:p>
        </w:tc>
      </w:tr>
      <w:tr>
        <w:trPr/>
        <w:tc>
          <w:tcPr>
            <w:tcW w:w="2158"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Astellas Europe Agreement</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(40,303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16,552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(23,374</w:t>
            </w:r>
          </w:p>
        </w:tc>
        <w:tc>
          <w:tcPr>
            <w:tcW w:w="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360" w:after="0"/>
        <w:jc w:val="left"/>
        <w:rPr>
          <w:rFonts w:ascii="Times New Roman;serif" w:hAnsi="Times New Roman;serif"/>
          <w:b w:val="false"/>
          <w:i/>
          <w:sz w:val="20"/>
        </w:rPr>
      </w:pPr>
      <w:r>
        <w:rPr>
          <w:rFonts w:ascii="Times New Roman;serif" w:hAnsi="Times New Roman;serif"/>
          <w:b w:val="false"/>
          <w:i/>
          <w:sz w:val="20"/>
        </w:rPr>
        <w:t>AstraZeneca U.S./RoW Agreement</w:t>
      </w:r>
    </w:p>
    <w:p>
      <w:pPr>
        <w:pStyle w:val="TextBody"/>
        <w:spacing w:before="120" w:after="0"/>
        <w:jc w:val="left"/>
        <w:rPr>
          <w:rFonts w:ascii="Times New Roman" w:hAnsi="Times New Roman"/>
          <w:sz w:val="20"/>
        </w:rPr>
      </w:pPr>
      <w:r>
        <w:rPr>
          <w:rFonts w:ascii="Times New Roman;serif" w:hAnsi="Times New Roman;serif"/>
          <w:b w:val="false"/>
          <w:sz w:val="20"/>
        </w:rPr>
        <w:t>There was no shipment of bulk drug product to AstraZeneca as commercial supply under the terms of the AstraZeneca Master Supply Agreement during the three months ended March 31, 2023 and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During the first quarter of 2022, the Company evaluated the current developments in the U.S. market, and updated its estimates of variable consideration associated with bulk drug product shipments to AstraZeneca in prior years as commercial supply. As a result, the Company reclassified $11.2</w:t>
      </w:r>
      <w:r>
        <w:rPr>
          <w:rFonts w:ascii="Times New Roman" w:hAnsi="Times New Roman"/>
          <w:sz w:val="20"/>
        </w:rPr>
        <w:t xml:space="preserve"> </w:t>
      </w:r>
      <w:r>
        <w:rPr>
          <w:rFonts w:ascii="Times New Roman;serif" w:hAnsi="Times New Roman;serif"/>
          <w:b w:val="false"/>
          <w:sz w:val="20"/>
        </w:rPr>
        <w:t>million from the related deferred revenue to accrued liabilities during the year ended December 31, 2022. As of each of March 31, 2023 and December 31, 2022, the related balance in accrued liabilities was $11.2</w:t>
      </w:r>
      <w:r>
        <w:rPr>
          <w:rFonts w:ascii="Times New Roman" w:hAnsi="Times New Roman"/>
          <w:sz w:val="20"/>
        </w:rPr>
        <w:t xml:space="preserve"> </w:t>
      </w:r>
      <w:r>
        <w:rPr>
          <w:rFonts w:ascii="Times New Roman;serif" w:hAnsi="Times New Roman;serif"/>
          <w:b w:val="false"/>
          <w:sz w:val="20"/>
        </w:rPr>
        <w:t>million, representing the Company’s best estimate that this amount will be paid within the next 12 months.</w:t>
      </w:r>
    </w:p>
    <w:p>
      <w:pPr>
        <w:pStyle w:val="TextBody"/>
        <w:spacing w:before="360" w:after="0"/>
        <w:jc w:val="left"/>
        <w:rPr>
          <w:rFonts w:ascii="Times New Roman;serif" w:hAnsi="Times New Roman;serif"/>
          <w:b/>
          <w:sz w:val="20"/>
        </w:rPr>
      </w:pPr>
      <w:r>
        <w:rPr>
          <w:rFonts w:ascii="Times New Roman;serif" w:hAnsi="Times New Roman;serif"/>
          <w:b/>
          <w:sz w:val="20"/>
        </w:rPr>
        <w:t>Eluminex Agreement</w:t>
      </w:r>
    </w:p>
    <w:p>
      <w:pPr>
        <w:pStyle w:val="TextBody"/>
        <w:spacing w:before="120" w:after="0"/>
        <w:jc w:val="left"/>
        <w:rPr>
          <w:rFonts w:ascii="Times New Roman" w:hAnsi="Times New Roman"/>
          <w:sz w:val="20"/>
        </w:rPr>
      </w:pPr>
      <w:r>
        <w:rPr>
          <w:rFonts w:ascii="Times New Roman;serif" w:hAnsi="Times New Roman;serif"/>
          <w:b w:val="false"/>
          <w:sz w:val="20"/>
        </w:rPr>
        <w:t>In July 2021, FibroGen exclusively licensed to Eluminex Biosciences (Suzhou) Limited (“Eluminex”) global rights to its investigational biosynthetic cornea derived from recombinant human collagen Type III.</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Under the terms of the agreement with Eluminex, as amended and restated, Eluminex made an $8.0</w:t>
      </w:r>
      <w:r>
        <w:rPr>
          <w:rFonts w:ascii="Times New Roman" w:hAnsi="Times New Roman"/>
          <w:sz w:val="20"/>
        </w:rPr>
        <w:t xml:space="preserve"> </w:t>
      </w:r>
      <w:r>
        <w:rPr>
          <w:rFonts w:ascii="Times New Roman;serif" w:hAnsi="Times New Roman;serif"/>
          <w:b w:val="false"/>
          <w:sz w:val="20"/>
        </w:rPr>
        <w:t>million upfront payment to FibroGen during the first quarter of 2022, which was recognized as license revenue for the performance obligation satisfied during 2021. In addition, FibroGen may receive up to a total of $64.0</w:t>
      </w:r>
      <w:r>
        <w:rPr>
          <w:rFonts w:ascii="Times New Roman" w:hAnsi="Times New Roman"/>
          <w:sz w:val="20"/>
        </w:rPr>
        <w:t xml:space="preserve"> </w:t>
      </w:r>
      <w:r>
        <w:rPr>
          <w:rFonts w:ascii="Times New Roman;serif" w:hAnsi="Times New Roman;serif"/>
          <w:b w:val="false"/>
          <w:sz w:val="20"/>
        </w:rPr>
        <w:t>million in future manufacturing, clinical, regulatory, and commercial milestone payments for the biosynthetic cornea program, as well as $36.0</w:t>
      </w:r>
      <w:r>
        <w:rPr>
          <w:rFonts w:ascii="Times New Roman" w:hAnsi="Times New Roman"/>
          <w:sz w:val="20"/>
        </w:rPr>
        <w:t xml:space="preserve"> </w:t>
      </w:r>
      <w:r>
        <w:rPr>
          <w:rFonts w:ascii="Times New Roman;serif" w:hAnsi="Times New Roman;serif"/>
          <w:b w:val="false"/>
          <w:sz w:val="20"/>
        </w:rPr>
        <w:t>million in commercial milestones for the first recombinant collagen III product that is not the biosynthetic cornea. FibroGen will also be eligible to receive mid-single-digit to low double-digit royalties based upon worldwide net sales of cornea products, and low single-digit to mid-single-digit royalties based upon worldwide net sales of other recombinant human collagen type III products that are not cornea products.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 w:hAnsi="Times New Roman"/>
          <w:sz w:val="20"/>
        </w:rPr>
      </w:pPr>
      <w:r>
        <w:rPr>
          <w:rFonts w:ascii="Times New Roman;serif" w:hAnsi="Times New Roman;serif"/>
          <w:b w:val="false"/>
          <w:sz w:val="20"/>
        </w:rPr>
        <w:t>During the three months ended March 31, 2023, the Company recognized a $3.0</w:t>
      </w:r>
      <w:r>
        <w:rPr>
          <w:rFonts w:ascii="Times New Roman" w:hAnsi="Times New Roman"/>
          <w:sz w:val="20"/>
        </w:rPr>
        <w:t xml:space="preserve"> </w:t>
      </w:r>
      <w:r>
        <w:rPr>
          <w:rFonts w:ascii="Times New Roman;serif" w:hAnsi="Times New Roman;serif"/>
          <w:b w:val="false"/>
          <w:sz w:val="20"/>
        </w:rPr>
        <w:t>million milestone payment based on Eluminex implanting a biosynthetic cornea in the first patient of its clinical trial in China, and a $3.0</w:t>
      </w:r>
      <w:r>
        <w:rPr>
          <w:rFonts w:ascii="Times New Roman" w:hAnsi="Times New Roman"/>
          <w:sz w:val="20"/>
        </w:rPr>
        <w:t xml:space="preserve"> </w:t>
      </w:r>
      <w:r>
        <w:rPr>
          <w:rFonts w:ascii="Times New Roman;serif" w:hAnsi="Times New Roman;serif"/>
          <w:b w:val="false"/>
          <w:sz w:val="20"/>
        </w:rPr>
        <w:t>million manufacturing related milestone payment.</w:t>
      </w:r>
    </w:p>
    <w:p>
      <w:pPr>
        <w:pStyle w:val="TextBody"/>
        <w:spacing w:before="240" w:after="0"/>
        <w:jc w:val="left"/>
        <w:rPr>
          <w:rFonts w:ascii="Times New Roman" w:hAnsi="Times New Roman"/>
          <w:sz w:val="20"/>
        </w:rPr>
      </w:pPr>
      <w:r>
        <w:rPr>
          <w:rFonts w:ascii="Times New Roman;serif" w:hAnsi="Times New Roman;serif"/>
          <w:b w:val="false"/>
          <w:sz w:val="20"/>
        </w:rPr>
        <w:t>During the first quarter of 2022, FibroGen and Eluminex entered into a separate contract manufacturing agreement, under which the Company is responsible for supplying the cornea product at cost plus 10% of its product manufacturing costs until its manufacturing technology is fully transferred to Eluminex. The related contract manufacturing revenue was recorded as other revenue and included in development and other revenue in the condensed consolidated statement of operations.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Amounts recognized as revenue under the Eluminex were as follows for the three months ended March 31, 2023 and 2022 (in thousands):</w:t>
      </w:r>
    </w:p>
    <w:p>
      <w:pPr>
        <w:pStyle w:val="TextBody"/>
        <w:spacing w:before="0" w:after="0"/>
        <w:jc w:val="left"/>
        <w:rPr/>
      </w:pPr>
      <w:r>
        <w:rPr/>
        <w:t> </w:t>
      </w:r>
    </w:p>
    <w:tbl>
      <w:tblPr>
        <w:tblW w:w="7082" w:type="dxa"/>
        <w:jc w:val="left"/>
        <w:tblInd w:w="0" w:type="dxa"/>
        <w:tblCellMar>
          <w:top w:w="28" w:type="dxa"/>
          <w:left w:w="28" w:type="dxa"/>
          <w:bottom w:w="28" w:type="dxa"/>
          <w:right w:w="28" w:type="dxa"/>
        </w:tblCellMar>
      </w:tblPr>
      <w:tblGrid>
        <w:gridCol w:w="916"/>
        <w:gridCol w:w="146"/>
        <w:gridCol w:w="3286"/>
        <w:gridCol w:w="146"/>
        <w:gridCol w:w="296"/>
        <w:gridCol w:w="803"/>
        <w:gridCol w:w="205"/>
        <w:gridCol w:w="205"/>
        <w:gridCol w:w="296"/>
        <w:gridCol w:w="592"/>
        <w:gridCol w:w="191"/>
      </w:tblGrid>
      <w:tr>
        <w:trPr/>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2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Agreement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Performance Obligation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5" w:type="dxa"/>
            <w:tcBorders/>
            <w:shd w:fill="auto" w:val="clear"/>
            <w:vAlign w:val="center"/>
          </w:tcPr>
          <w:p>
            <w:pPr>
              <w:pStyle w:val="TableContents"/>
              <w:spacing w:before="0" w:after="0"/>
              <w:ind w:left="0" w:right="0" w:hanging="0"/>
              <w:jc w:val="center"/>
              <w:rPr/>
            </w:pPr>
            <w:r>
              <w:rPr/>
              <w:t> </w:t>
            </w:r>
          </w:p>
        </w:tc>
        <w:tc>
          <w:tcPr>
            <w:tcW w:w="8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9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Eluminex</w:t>
            </w:r>
          </w:p>
        </w:tc>
        <w:tc>
          <w:tcPr>
            <w:tcW w:w="146" w:type="dxa"/>
            <w:tcBorders/>
            <w:shd w:fill="auto" w:val="clear"/>
            <w:vAlign w:val="center"/>
          </w:tcPr>
          <w:p>
            <w:pPr>
              <w:pStyle w:val="TableContents"/>
              <w:spacing w:before="0" w:after="0"/>
              <w:ind w:left="0" w:right="0" w:hanging="0"/>
              <w:jc w:val="left"/>
              <w:rPr/>
            </w:pPr>
            <w:r>
              <w:rPr/>
              <w:t> </w:t>
            </w:r>
          </w:p>
        </w:tc>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License revenue</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6,000</w:t>
            </w:r>
          </w:p>
        </w:tc>
        <w:tc>
          <w:tcPr>
            <w:tcW w:w="205"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2"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9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revenue - contract manufacturing</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w:t>
            </w:r>
          </w:p>
        </w:tc>
        <w:tc>
          <w:tcPr>
            <w:tcW w:w="205"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762</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3. Equity method investment - Variable Interest Entity</w:t>
      </w:r>
    </w:p>
    <w:p>
      <w:pPr>
        <w:pStyle w:val="TextBody"/>
        <w:spacing w:before="120" w:after="0"/>
        <w:jc w:val="left"/>
        <w:rPr>
          <w:rFonts w:ascii="Times New Roman" w:hAnsi="Times New Roman"/>
          <w:sz w:val="20"/>
        </w:rPr>
      </w:pPr>
      <w:r>
        <w:rPr>
          <w:rFonts w:ascii="Times New Roman;serif" w:hAnsi="Times New Roman;serif"/>
          <w:b w:val="false"/>
          <w:sz w:val="20"/>
        </w:rPr>
        <w:t>Falikang is a distribution entity jointly owned by AstraZeneca and FibroGen Beijing. FibroGen Beijing owns 51.1%</w:t>
      </w:r>
      <w:r>
        <w:rPr>
          <w:rFonts w:ascii="Times New Roman" w:hAnsi="Times New Roman"/>
          <w:sz w:val="20"/>
        </w:rPr>
        <w:t xml:space="preserve"> </w:t>
      </w:r>
      <w:r>
        <w:rPr>
          <w:rFonts w:ascii="Times New Roman;serif" w:hAnsi="Times New Roman;serif"/>
          <w:b w:val="false"/>
          <w:sz w:val="20"/>
        </w:rPr>
        <w:t>of the outstanding shares of Falikang.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Pursuant to the guidance under ASC 810, </w:t>
      </w:r>
      <w:r>
        <w:rPr>
          <w:rFonts w:ascii="Times New Roman;serif" w:hAnsi="Times New Roman;serif"/>
          <w:b w:val="false"/>
          <w:i/>
          <w:sz w:val="20"/>
        </w:rPr>
        <w:t>Consolidation</w:t>
      </w:r>
      <w:r>
        <w:rPr>
          <w:rFonts w:ascii="Times New Roman" w:hAnsi="Times New Roman"/>
          <w:sz w:val="20"/>
        </w:rPr>
        <w:t xml:space="preserve"> </w:t>
      </w:r>
      <w:r>
        <w:rPr>
          <w:rFonts w:ascii="Times New Roman;serif" w:hAnsi="Times New Roman;serif"/>
          <w:b w:val="false"/>
          <w:sz w:val="20"/>
        </w:rPr>
        <w:t>(“ASC 810”), the Company concluded that Falikang qualifies as a VIE. As Falikang is a distribution entity and AstraZeneca is the final decision maker for all the roxadustat commercialization activities, the Company lacks the power criterion, while AstraZeneca meets both the power and economic criteria under the ASC 810 to direct the activities of Falikang that most significantly impact its performance. Therefore, the Company is not the primary beneficiary of this VIE for accounting purposes. As a result, the Company accounts for its investment in Falikang under the equity method, and Falikang is not consolidated into the Company’s condensed consolidated financial statements. The Company records its total investments in Falikang as an equity method investment in an unconsolidated VIE in the condensed consolidated balance sheet. In addition, the Company recognizes its proportionate share of the reported profits or losses of Falikang as investment gain or loss in unconsolidated VIE in the condensed consolidated statement of operations and as an adjustment to its investment in Falikang in the condensed consolidated balance sheet. Falikang has not incurred material profit or loss to date. The Company may provide shareholder loans to Falikang to meet necessary financial obligations as part of its operations. To date, there has been no such loans.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Company’s equity method investment in Falikang was as follows (in thousands):</w:t>
      </w:r>
    </w:p>
    <w:p>
      <w:pPr>
        <w:pStyle w:val="TextBody"/>
        <w:spacing w:before="0" w:after="0"/>
        <w:jc w:val="left"/>
        <w:rPr/>
      </w:pPr>
      <w:r>
        <w:rPr/>
        <w:t> </w:t>
      </w:r>
    </w:p>
    <w:tbl>
      <w:tblPr>
        <w:tblW w:w="9507" w:type="dxa"/>
        <w:jc w:val="left"/>
        <w:tblInd w:w="0" w:type="dxa"/>
        <w:tblCellMar>
          <w:top w:w="28" w:type="dxa"/>
          <w:left w:w="28" w:type="dxa"/>
          <w:bottom w:w="28" w:type="dxa"/>
          <w:right w:w="28" w:type="dxa"/>
        </w:tblCellMar>
      </w:tblPr>
      <w:tblGrid>
        <w:gridCol w:w="841"/>
        <w:gridCol w:w="146"/>
        <w:gridCol w:w="414"/>
        <w:gridCol w:w="1326"/>
        <w:gridCol w:w="271"/>
        <w:gridCol w:w="146"/>
        <w:gridCol w:w="403"/>
        <w:gridCol w:w="1097"/>
        <w:gridCol w:w="146"/>
        <w:gridCol w:w="146"/>
        <w:gridCol w:w="531"/>
        <w:gridCol w:w="1059"/>
        <w:gridCol w:w="146"/>
        <w:gridCol w:w="146"/>
        <w:gridCol w:w="378"/>
        <w:gridCol w:w="568"/>
        <w:gridCol w:w="146"/>
        <w:gridCol w:w="146"/>
        <w:gridCol w:w="340"/>
        <w:gridCol w:w="920"/>
        <w:gridCol w:w="191"/>
      </w:tblGrid>
      <w:tr>
        <w:trPr/>
        <w:tc>
          <w:tcPr>
            <w:tcW w:w="8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Entity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Ownership Percentage</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Balance at</w:t>
              <w:br/>
              <w:t>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 of Net 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Currency</w:t>
              <w:br/>
              <w:t>Translation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Balance at</w:t>
              <w:br/>
              <w:t>March 31, 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8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Falikang</w:t>
            </w:r>
          </w:p>
        </w:tc>
        <w:tc>
          <w:tcPr>
            <w:tcW w:w="146" w:type="dxa"/>
            <w:tcBorders/>
            <w:shd w:fill="auto" w:val="clear"/>
            <w:vAlign w:val="center"/>
          </w:tcPr>
          <w:p>
            <w:pPr>
              <w:pStyle w:val="TableContents"/>
              <w:spacing w:before="0" w:after="0"/>
              <w:ind w:left="0" w:right="0" w:hanging="0"/>
              <w:jc w:val="center"/>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3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4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5,061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5,884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sz w:val="20"/>
        </w:rPr>
        <w:t xml:space="preserve">Falikang is considered a related party to the Company. See Note 9, </w:t>
      </w:r>
      <w:r>
        <w:rPr>
          <w:rFonts w:ascii="Times New Roman;serif" w:hAnsi="Times New Roman;serif"/>
          <w:b w:val="false"/>
          <w:i/>
          <w:sz w:val="20"/>
        </w:rPr>
        <w:t>Related Party Transactions</w:t>
      </w:r>
      <w:r>
        <w:rPr>
          <w:rFonts w:ascii="Times New Roman;serif" w:hAnsi="Times New Roman;serif"/>
          <w:b w:val="false"/>
          <w:sz w:val="20"/>
        </w:rPr>
        <w:t>, for related disclosures.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sz w:val="20"/>
        </w:rPr>
      </w:pPr>
      <w:r>
        <w:rPr>
          <w:rFonts w:ascii="Times New Roman;serif" w:hAnsi="Times New Roman;serif"/>
          <w:b/>
          <w:sz w:val="20"/>
        </w:rPr>
        <w:t>4. Fair Value Measurements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fair values of the Company’s financial assets that are measured on a recurring basis are as follows (in thousands):</w:t>
      </w:r>
    </w:p>
    <w:tbl>
      <w:tblPr>
        <w:tblW w:w="7617" w:type="dxa"/>
        <w:jc w:val="left"/>
        <w:tblInd w:w="0" w:type="dxa"/>
        <w:tblCellMar>
          <w:top w:w="28" w:type="dxa"/>
          <w:left w:w="28" w:type="dxa"/>
          <w:bottom w:w="28" w:type="dxa"/>
          <w:right w:w="28" w:type="dxa"/>
        </w:tblCellMar>
      </w:tblPr>
      <w:tblGrid>
        <w:gridCol w:w="2446"/>
        <w:gridCol w:w="146"/>
        <w:gridCol w:w="211"/>
        <w:gridCol w:w="781"/>
        <w:gridCol w:w="146"/>
        <w:gridCol w:w="146"/>
        <w:gridCol w:w="211"/>
        <w:gridCol w:w="781"/>
        <w:gridCol w:w="146"/>
        <w:gridCol w:w="146"/>
        <w:gridCol w:w="211"/>
        <w:gridCol w:w="571"/>
        <w:gridCol w:w="146"/>
        <w:gridCol w:w="146"/>
        <w:gridCol w:w="211"/>
        <w:gridCol w:w="781"/>
        <w:gridCol w:w="391"/>
      </w:tblGrid>
      <w:tr>
        <w:trPr/>
        <w:tc>
          <w:tcPr>
            <w:tcW w:w="24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4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34"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42,740</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41,304</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42,970</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57,141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71,566</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Agency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9,075</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Asset-backed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2,484</w:t>
            </w:r>
          </w:p>
        </w:tc>
        <w:tc>
          <w:tcPr>
            <w:tcW w:w="391" w:type="dxa"/>
            <w:tcBorders/>
            <w:shd w:fill="auto" w:val="clear"/>
            <w:vAlign w:val="center"/>
          </w:tcPr>
          <w:p>
            <w:pPr>
              <w:pStyle w:val="TableContents"/>
              <w:spacing w:before="0" w:after="0"/>
              <w:ind w:left="0" w:right="0" w:firstLine="200"/>
              <w:jc w:val="left"/>
              <w:rPr/>
            </w:pPr>
            <w:r>
              <w:rPr/>
              <w:t> </w:t>
            </w:r>
          </w:p>
        </w:tc>
      </w:tr>
      <w:tr>
        <w:trPr/>
        <w:tc>
          <w:tcPr>
            <w:tcW w:w="24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99,881</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110,258</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pPr>
            <w:r>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210,139</w:t>
            </w:r>
          </w:p>
        </w:tc>
        <w:tc>
          <w:tcPr>
            <w:tcW w:w="3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34"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19,881</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82,008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82,008</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57,381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57,381</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98,972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111,345</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Agency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11,468</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Asset-backed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2,474</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government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4,980</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promissory note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4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118,853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170,684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290,537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 During the three months ended March 31, 2023, a total of $7.0</w:t>
      </w:r>
      <w:r>
        <w:rPr>
          <w:rFonts w:ascii="Times New Roman" w:hAnsi="Times New Roman"/>
          <w:sz w:val="20"/>
        </w:rPr>
        <w:t xml:space="preserve"> </w:t>
      </w:r>
      <w:r>
        <w:rPr>
          <w:rFonts w:ascii="Times New Roman;serif" w:hAnsi="Times New Roman;serif"/>
          <w:b w:val="false"/>
          <w:sz w:val="20"/>
        </w:rPr>
        <w:t>million of US treasury notes and bills were transferred from Level 1 to Level 2 as such instruments were changed to off-the-run when they were issued before the most recent issue and were still outstanding at measurement day.</w:t>
      </w:r>
    </w:p>
    <w:p>
      <w:pPr>
        <w:pStyle w:val="TextBody"/>
        <w:spacing w:before="360" w:after="0"/>
        <w:jc w:val="left"/>
        <w:rPr>
          <w:rFonts w:ascii="Times New Roman;serif" w:hAnsi="Times New Roman;serif"/>
          <w:b/>
          <w:sz w:val="20"/>
        </w:rPr>
      </w:pPr>
      <w:r>
        <w:rPr>
          <w:rFonts w:ascii="Times New Roman;serif" w:hAnsi="Times New Roman;serif"/>
          <w:b/>
          <w:sz w:val="20"/>
        </w:rPr>
        <w:t>5. Balance Sheet Components</w:t>
      </w:r>
    </w:p>
    <w:p>
      <w:pPr>
        <w:pStyle w:val="TextBody"/>
        <w:spacing w:before="120" w:after="0"/>
        <w:jc w:val="left"/>
        <w:rPr>
          <w:rFonts w:ascii="Times New Roman;serif" w:hAnsi="Times New Roman;serif"/>
          <w:b/>
          <w:i/>
          <w:sz w:val="20"/>
        </w:rPr>
      </w:pPr>
      <w:r>
        <w:rPr>
          <w:rFonts w:ascii="Times New Roman;serif" w:hAnsi="Times New Roman;serif"/>
          <w:b/>
          <w:i/>
          <w:sz w:val="20"/>
        </w:rPr>
        <w:t>Cash and Cash Equivalents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Cash and cash equivalents consisted of the following (in thousands):</w:t>
      </w:r>
    </w:p>
    <w:p>
      <w:pPr>
        <w:pStyle w:val="TextBody"/>
        <w:spacing w:before="0" w:after="0"/>
        <w:jc w:val="left"/>
        <w:rPr/>
      </w:pPr>
      <w:r>
        <w:rPr/>
        <w:t> </w:t>
      </w:r>
    </w:p>
    <w:tbl>
      <w:tblPr>
        <w:tblW w:w="6290" w:type="dxa"/>
        <w:jc w:val="left"/>
        <w:tblInd w:w="0" w:type="dxa"/>
        <w:tblCellMar>
          <w:top w:w="28" w:type="dxa"/>
          <w:left w:w="28" w:type="dxa"/>
          <w:bottom w:w="28" w:type="dxa"/>
          <w:right w:w="28" w:type="dxa"/>
        </w:tblCellMar>
      </w:tblPr>
      <w:tblGrid>
        <w:gridCol w:w="2701"/>
        <w:gridCol w:w="146"/>
        <w:gridCol w:w="268"/>
        <w:gridCol w:w="992"/>
        <w:gridCol w:w="146"/>
        <w:gridCol w:w="146"/>
        <w:gridCol w:w="319"/>
        <w:gridCol w:w="1181"/>
        <w:gridCol w:w="391"/>
      </w:tblGrid>
      <w:tr>
        <w:trPr/>
        <w:tc>
          <w:tcPr>
            <w:tcW w:w="2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7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145,810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135,819</w:t>
            </w:r>
          </w:p>
        </w:tc>
        <w:tc>
          <w:tcPr>
            <w:tcW w:w="3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42,740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19,881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cash and cash equivalents</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188,550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155,700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At March 31, 2023 and December 31, 2022, a total of $98.9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$92.5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the Company’s cash and cash equivalents were held outside of the U.S. in its foreign subsidiaries to be used primarily for its China operations, respectively.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i/>
          <w:sz w:val="20"/>
        </w:rPr>
      </w:pPr>
      <w:r>
        <w:rPr>
          <w:rFonts w:ascii="Times New Roman;serif" w:hAnsi="Times New Roman;serif"/>
          <w:b/>
          <w:i/>
          <w:sz w:val="20"/>
        </w:rPr>
        <w:t>Investments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Company’s investments consist primarily of available-for-sale debt investments. The amortized cost, gross unrealized holding gains or losses, and fair value of the Company’s investments by major investments type are summarized in the tables below (in thousands):</w:t>
      </w:r>
    </w:p>
    <w:p>
      <w:pPr>
        <w:pStyle w:val="TextBody"/>
        <w:spacing w:before="0" w:after="0"/>
        <w:jc w:val="left"/>
        <w:rPr/>
      </w:pPr>
      <w:r>
        <w:rPr/>
        <w:t> </w:t>
      </w:r>
    </w:p>
    <w:tbl>
      <w:tblPr>
        <w:tblW w:w="8816" w:type="dxa"/>
        <w:jc w:val="left"/>
        <w:tblInd w:w="0" w:type="dxa"/>
        <w:tblCellMar>
          <w:top w:w="28" w:type="dxa"/>
          <w:left w:w="28" w:type="dxa"/>
          <w:bottom w:w="28" w:type="dxa"/>
          <w:right w:w="28" w:type="dxa"/>
        </w:tblCellMar>
      </w:tblPr>
      <w:tblGrid>
        <w:gridCol w:w="2446"/>
        <w:gridCol w:w="146"/>
        <w:gridCol w:w="265"/>
        <w:gridCol w:w="980"/>
        <w:gridCol w:w="146"/>
        <w:gridCol w:w="146"/>
        <w:gridCol w:w="510"/>
        <w:gridCol w:w="840"/>
        <w:gridCol w:w="146"/>
        <w:gridCol w:w="146"/>
        <w:gridCol w:w="338"/>
        <w:gridCol w:w="1012"/>
        <w:gridCol w:w="166"/>
        <w:gridCol w:w="146"/>
        <w:gridCol w:w="211"/>
        <w:gridCol w:w="781"/>
        <w:gridCol w:w="391"/>
      </w:tblGrid>
      <w:tr>
        <w:trPr/>
        <w:tc>
          <w:tcPr>
            <w:tcW w:w="24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4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33"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Unrealized</w:t>
              <w:br/>
              <w:t>Holding 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Unrealized</w:t>
              <w:br/>
              <w:t>Holding 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shd w:fill="auto" w:val="clear"/>
            <w:vAlign w:val="center"/>
          </w:tcPr>
          <w:p>
            <w:pPr>
              <w:pStyle w:val="TableContents"/>
              <w:spacing w:before="0" w:after="0"/>
              <w:ind w:left="0" w:right="0" w:hanging="0"/>
              <w:jc w:val="righ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41,760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41,304</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0" w:right="0" w:hanging="0"/>
              <w:jc w:val="righ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8"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42,970</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bonds</w:t>
            </w:r>
          </w:p>
        </w:tc>
        <w:tc>
          <w:tcPr>
            <w:tcW w:w="146" w:type="dxa"/>
            <w:tcBorders/>
            <w:shd w:fill="auto" w:val="clear"/>
            <w:vAlign w:val="center"/>
          </w:tcPr>
          <w:p>
            <w:pPr>
              <w:pStyle w:val="TableContents"/>
              <w:spacing w:before="0" w:after="0"/>
              <w:ind w:left="0" w:right="0" w:hanging="0"/>
              <w:jc w:val="righ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72,130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8"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71,566</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Agency bonds</w:t>
            </w:r>
          </w:p>
        </w:tc>
        <w:tc>
          <w:tcPr>
            <w:tcW w:w="146" w:type="dxa"/>
            <w:tcBorders/>
            <w:shd w:fill="auto" w:val="clear"/>
            <w:vAlign w:val="center"/>
          </w:tcPr>
          <w:p>
            <w:pPr>
              <w:pStyle w:val="TableContents"/>
              <w:spacing w:before="0" w:after="0"/>
              <w:ind w:left="0" w:right="0" w:hanging="0"/>
              <w:jc w:val="righ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8"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9,075</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Asset-backed securities</w:t>
            </w:r>
          </w:p>
        </w:tc>
        <w:tc>
          <w:tcPr>
            <w:tcW w:w="146" w:type="dxa"/>
            <w:tcBorders/>
            <w:shd w:fill="auto" w:val="clear"/>
            <w:vAlign w:val="center"/>
          </w:tcPr>
          <w:p>
            <w:pPr>
              <w:pStyle w:val="TableContents"/>
              <w:spacing w:before="0" w:after="0"/>
              <w:ind w:left="0" w:right="0" w:hanging="0"/>
              <w:jc w:val="righ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8"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2,484</w:t>
            </w:r>
          </w:p>
        </w:tc>
        <w:tc>
          <w:tcPr>
            <w:tcW w:w="391" w:type="dxa"/>
            <w:tcBorders/>
            <w:shd w:fill="auto" w:val="clear"/>
            <w:vAlign w:val="center"/>
          </w:tcPr>
          <w:p>
            <w:pPr>
              <w:pStyle w:val="TableContents"/>
              <w:spacing w:before="0" w:after="0"/>
              <w:ind w:left="0" w:right="0" w:firstLine="200"/>
              <w:jc w:val="left"/>
              <w:rPr/>
            </w:pPr>
            <w:r>
              <w:rPr/>
              <w:t> </w:t>
            </w:r>
          </w:p>
        </w:tc>
      </w:tr>
      <w:tr>
        <w:trPr/>
        <w:tc>
          <w:tcPr>
            <w:tcW w:w="24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investments</w:t>
            </w:r>
          </w:p>
        </w:tc>
        <w:tc>
          <w:tcPr>
            <w:tcW w:w="146" w:type="dxa"/>
            <w:tcBorders/>
            <w:shd w:fill="auto" w:val="clear"/>
            <w:vAlign w:val="center"/>
          </w:tcPr>
          <w:p>
            <w:pPr>
              <w:pStyle w:val="TableContents"/>
              <w:spacing w:before="0" w:after="0"/>
              <w:ind w:left="0" w:right="0" w:hanging="0"/>
              <w:jc w:val="right"/>
              <w:rPr/>
            </w:pPr>
            <w:r>
              <w:rPr/>
              <w:t> </w:t>
            </w:r>
          </w:p>
        </w:tc>
        <w:tc>
          <w:tcPr>
            <w:tcW w:w="26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168,534</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(1,137</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167,399</w:t>
            </w:r>
          </w:p>
        </w:tc>
        <w:tc>
          <w:tcPr>
            <w:tcW w:w="3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4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33"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Unrealized</w:t>
              <w:br/>
              <w:t>Holding 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Unrealized</w:t>
              <w:br/>
              <w:t>Holding 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shd w:fill="auto" w:val="clear"/>
            <w:vAlign w:val="center"/>
          </w:tcPr>
          <w:p>
            <w:pPr>
              <w:pStyle w:val="TableContents"/>
              <w:spacing w:before="0" w:after="0"/>
              <w:ind w:left="0" w:right="0" w:hanging="0"/>
              <w:jc w:val="righ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83,080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82,008</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0" w:right="0" w:hanging="0"/>
              <w:jc w:val="righ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57,381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8"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57,381</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bonds</w:t>
            </w:r>
          </w:p>
        </w:tc>
        <w:tc>
          <w:tcPr>
            <w:tcW w:w="146" w:type="dxa"/>
            <w:tcBorders/>
            <w:shd w:fill="auto" w:val="clear"/>
            <w:vAlign w:val="center"/>
          </w:tcPr>
          <w:p>
            <w:pPr>
              <w:pStyle w:val="TableContents"/>
              <w:spacing w:before="0" w:after="0"/>
              <w:ind w:left="0" w:right="0" w:hanging="0"/>
              <w:jc w:val="righ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112,547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8"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111,345</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Agency bonds</w:t>
            </w:r>
          </w:p>
        </w:tc>
        <w:tc>
          <w:tcPr>
            <w:tcW w:w="146" w:type="dxa"/>
            <w:tcBorders/>
            <w:shd w:fill="auto" w:val="clear"/>
            <w:vAlign w:val="center"/>
          </w:tcPr>
          <w:p>
            <w:pPr>
              <w:pStyle w:val="TableContents"/>
              <w:spacing w:before="0" w:after="0"/>
              <w:ind w:left="0" w:right="0" w:hanging="0"/>
              <w:jc w:val="righ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8"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11,468</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Asset-backed securities</w:t>
            </w:r>
          </w:p>
        </w:tc>
        <w:tc>
          <w:tcPr>
            <w:tcW w:w="146" w:type="dxa"/>
            <w:tcBorders/>
            <w:shd w:fill="auto" w:val="clear"/>
            <w:vAlign w:val="center"/>
          </w:tcPr>
          <w:p>
            <w:pPr>
              <w:pStyle w:val="TableContents"/>
              <w:spacing w:before="0" w:after="0"/>
              <w:ind w:left="0" w:right="0" w:hanging="0"/>
              <w:jc w:val="righ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8"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2,474</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government bonds</w:t>
            </w:r>
          </w:p>
        </w:tc>
        <w:tc>
          <w:tcPr>
            <w:tcW w:w="146" w:type="dxa"/>
            <w:tcBorders/>
            <w:shd w:fill="auto" w:val="clear"/>
            <w:vAlign w:val="center"/>
          </w:tcPr>
          <w:p>
            <w:pPr>
              <w:pStyle w:val="TableContents"/>
              <w:spacing w:before="0" w:after="0"/>
              <w:ind w:left="0" w:right="0" w:hanging="0"/>
              <w:jc w:val="righ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8"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4,980</w:t>
            </w:r>
          </w:p>
        </w:tc>
        <w:tc>
          <w:tcPr>
            <w:tcW w:w="3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promissory note</w:t>
            </w:r>
          </w:p>
        </w:tc>
        <w:tc>
          <w:tcPr>
            <w:tcW w:w="146" w:type="dxa"/>
            <w:tcBorders/>
            <w:shd w:fill="auto" w:val="clear"/>
            <w:vAlign w:val="center"/>
          </w:tcPr>
          <w:p>
            <w:pPr>
              <w:pStyle w:val="TableContents"/>
              <w:spacing w:before="0" w:after="0"/>
              <w:ind w:left="0" w:right="0" w:hanging="0"/>
              <w:jc w:val="righ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4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investments</w:t>
            </w:r>
          </w:p>
        </w:tc>
        <w:tc>
          <w:tcPr>
            <w:tcW w:w="146" w:type="dxa"/>
            <w:tcBorders/>
            <w:shd w:fill="auto" w:val="clear"/>
            <w:vAlign w:val="center"/>
          </w:tcPr>
          <w:p>
            <w:pPr>
              <w:pStyle w:val="TableContents"/>
              <w:spacing w:before="0" w:after="0"/>
              <w:ind w:left="0" w:right="0" w:hanging="0"/>
              <w:jc w:val="righ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273,189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270,656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summarizes, for all available for sale securities in an unrealized loss position, the fair value and gross unrealized loss by length of time the security has been in a continual unrealized loss position (in thousands):</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1978"/>
        <w:gridCol w:w="146"/>
        <w:gridCol w:w="211"/>
        <w:gridCol w:w="676"/>
        <w:gridCol w:w="146"/>
        <w:gridCol w:w="146"/>
        <w:gridCol w:w="368"/>
        <w:gridCol w:w="842"/>
        <w:gridCol w:w="166"/>
        <w:gridCol w:w="146"/>
        <w:gridCol w:w="211"/>
        <w:gridCol w:w="781"/>
        <w:gridCol w:w="146"/>
        <w:gridCol w:w="146"/>
        <w:gridCol w:w="303"/>
        <w:gridCol w:w="907"/>
        <w:gridCol w:w="166"/>
        <w:gridCol w:w="146"/>
        <w:gridCol w:w="211"/>
        <w:gridCol w:w="781"/>
        <w:gridCol w:w="146"/>
        <w:gridCol w:w="146"/>
        <w:gridCol w:w="303"/>
        <w:gridCol w:w="907"/>
        <w:gridCol w:w="414"/>
      </w:tblGrid>
      <w:tr>
        <w:trPr/>
        <w:tc>
          <w:tcPr>
            <w:tcW w:w="197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r>
      <w:tr>
        <w:trPr/>
        <w:tc>
          <w:tcPr>
            <w:tcW w:w="197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001"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7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8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 than 12 Months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9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12 Months or More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9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7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Unrealized</w:t>
              <w:br/>
              <w:t>Holding 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Unrealized</w:t>
              <w:br/>
              <w:t>Holding 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Unrealized</w:t>
              <w:br/>
              <w:t>Holding Losses</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(457</w:t>
            </w:r>
          </w:p>
        </w:tc>
        <w:tc>
          <w:tcPr>
            <w:tcW w:w="4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bonds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43,794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48,749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(565</w:t>
            </w:r>
          </w:p>
        </w:tc>
        <w:tc>
          <w:tcPr>
            <w:tcW w:w="4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Agency bonds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4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Asset-backed securities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414"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97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9,907</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88,953</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(1,122</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98,860</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(1,137</w:t>
            </w:r>
          </w:p>
        </w:tc>
        <w:tc>
          <w:tcPr>
            <w:tcW w:w="41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7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0" w:type="dxa"/>
            <w:gridSpan w:val="2"/>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r>
      <w:tr>
        <w:trPr/>
        <w:tc>
          <w:tcPr>
            <w:tcW w:w="197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001"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7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8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 than 12 Months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9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12 Months or More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9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7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Unrealized</w:t>
              <w:br/>
              <w:t>Holding 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Unrealized</w:t>
              <w:br/>
              <w:t>Holding 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Unrealized</w:t>
              <w:br/>
              <w:t>Holding Losses</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75,270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82,008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(1,072</w:t>
            </w:r>
          </w:p>
        </w:tc>
        <w:tc>
          <w:tcPr>
            <w:tcW w:w="4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bonds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67,909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90,235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(1,207</w:t>
            </w:r>
          </w:p>
        </w:tc>
        <w:tc>
          <w:tcPr>
            <w:tcW w:w="4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Agency bonds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4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Asset-backed securities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4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government bonds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97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31,538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159,627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191,165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(2,538</w:t>
            </w:r>
          </w:p>
        </w:tc>
        <w:tc>
          <w:tcPr>
            <w:tcW w:w="4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 w:hAnsi="Times New Roman"/>
          <w:sz w:val="20"/>
        </w:rPr>
      </w:pPr>
      <w:r>
        <w:rPr>
          <w:rFonts w:ascii="Times New Roman;serif" w:hAnsi="Times New Roman;serif"/>
          <w:b w:val="false"/>
          <w:sz w:val="20"/>
        </w:rPr>
        <w:t>At March 31, 2023, the available-for-sale investments had remaining contractual maturities of less than twelve months.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periodically reviews its available-for-sale investments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Based on the results of its review, the Company did not recognize any other-than-temporary impairment loss during the three months ended March 31, 2023 and 2022.</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i/>
          <w:sz w:val="20"/>
        </w:rPr>
      </w:pPr>
      <w:r>
        <w:rPr>
          <w:rFonts w:ascii="Times New Roman;serif" w:hAnsi="Times New Roman;serif"/>
          <w:b/>
          <w:i/>
          <w:sz w:val="20"/>
        </w:rPr>
        <w:t>Inventories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Inventories consisted of the following (in thousands):</w:t>
      </w:r>
    </w:p>
    <w:p>
      <w:pPr>
        <w:pStyle w:val="TextBody"/>
        <w:spacing w:before="0" w:after="0"/>
        <w:jc w:val="left"/>
        <w:rPr/>
      </w:pPr>
      <w:r>
        <w:rPr/>
        <w:t> </w:t>
      </w:r>
    </w:p>
    <w:tbl>
      <w:tblPr>
        <w:tblW w:w="5120" w:type="dxa"/>
        <w:jc w:val="left"/>
        <w:tblInd w:w="0" w:type="dxa"/>
        <w:tblCellMar>
          <w:top w:w="28" w:type="dxa"/>
          <w:left w:w="28" w:type="dxa"/>
          <w:bottom w:w="28" w:type="dxa"/>
          <w:right w:w="28" w:type="dxa"/>
        </w:tblCellMar>
      </w:tblPr>
      <w:tblGrid>
        <w:gridCol w:w="1531"/>
        <w:gridCol w:w="146"/>
        <w:gridCol w:w="299"/>
        <w:gridCol w:w="961"/>
        <w:gridCol w:w="146"/>
        <w:gridCol w:w="146"/>
        <w:gridCol w:w="357"/>
        <w:gridCol w:w="1143"/>
        <w:gridCol w:w="391"/>
      </w:tblGrid>
      <w:tr>
        <w:trPr/>
        <w:tc>
          <w:tcPr>
            <w:tcW w:w="15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5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1,241</w:t>
            </w:r>
          </w:p>
        </w:tc>
        <w:tc>
          <w:tcPr>
            <w:tcW w:w="391" w:type="dxa"/>
            <w:tcBorders/>
            <w:shd w:fill="auto" w:val="clear"/>
            <w:vAlign w:val="center"/>
          </w:tcPr>
          <w:p>
            <w:pPr>
              <w:pStyle w:val="TableContents"/>
              <w:spacing w:before="0" w:after="0"/>
              <w:ind w:left="0" w:right="0" w:hanging="0"/>
              <w:jc w:val="left"/>
              <w:rPr/>
            </w:pPr>
            <w:r>
              <w:rPr/>
              <w:t> </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Work-in-progress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36,003</w:t>
            </w:r>
          </w:p>
        </w:tc>
        <w:tc>
          <w:tcPr>
            <w:tcW w:w="391" w:type="dxa"/>
            <w:tcBorders/>
            <w:shd w:fill="auto" w:val="clear"/>
            <w:vAlign w:val="center"/>
          </w:tcPr>
          <w:p>
            <w:pPr>
              <w:pStyle w:val="TableContents"/>
              <w:spacing w:before="0" w:after="0"/>
              <w:ind w:left="0" w:right="0" w:hanging="0"/>
              <w:jc w:val="left"/>
              <w:rPr/>
            </w:pPr>
            <w:r>
              <w:rPr/>
              <w:t> </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5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inventories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42,456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40,436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360" w:after="0"/>
        <w:jc w:val="left"/>
        <w:rPr>
          <w:rFonts w:ascii="Times New Roman" w:hAnsi="Times New Roman"/>
          <w:sz w:val="20"/>
        </w:rPr>
      </w:pPr>
      <w:r>
        <w:rPr>
          <w:rFonts w:ascii="Times New Roman;serif" w:hAnsi="Times New Roman;serif"/>
          <w:b/>
          <w:i/>
          <w:sz w:val="20"/>
        </w:rPr>
        <w:t>Accrued and Other Current Liabilities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Accrued and other current liabilities consisted of the following (in thousands):</w:t>
      </w:r>
    </w:p>
    <w:tbl>
      <w:tblPr>
        <w:tblW w:w="8555" w:type="dxa"/>
        <w:jc w:val="left"/>
        <w:tblInd w:w="0" w:type="dxa"/>
        <w:tblCellMar>
          <w:top w:w="28" w:type="dxa"/>
          <w:left w:w="28" w:type="dxa"/>
          <w:bottom w:w="28" w:type="dxa"/>
          <w:right w:w="28" w:type="dxa"/>
        </w:tblCellMar>
      </w:tblPr>
      <w:tblGrid>
        <w:gridCol w:w="4966"/>
        <w:gridCol w:w="146"/>
        <w:gridCol w:w="268"/>
        <w:gridCol w:w="992"/>
        <w:gridCol w:w="146"/>
        <w:gridCol w:w="146"/>
        <w:gridCol w:w="319"/>
        <w:gridCol w:w="1181"/>
        <w:gridCol w:w="391"/>
      </w:tblGrid>
      <w:tr>
        <w:trPr/>
        <w:tc>
          <w:tcPr>
            <w:tcW w:w="4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9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Preclinical and clinical trial accruals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57,780</w:t>
            </w:r>
          </w:p>
        </w:tc>
        <w:tc>
          <w:tcPr>
            <w:tcW w:w="391" w:type="dxa"/>
            <w:tcBorders/>
            <w:shd w:fill="auto" w:val="clear"/>
            <w:vAlign w:val="center"/>
          </w:tcPr>
          <w:p>
            <w:pPr>
              <w:pStyle w:val="TableContents"/>
              <w:spacing w:before="0" w:after="0"/>
              <w:ind w:left="0" w:right="0" w:hanging="0"/>
              <w:jc w:val="left"/>
              <w:rPr/>
            </w:pPr>
            <w:r>
              <w:rPr/>
              <w:t> </w:t>
            </w:r>
          </w:p>
        </w:tc>
      </w:tr>
      <w:tr>
        <w:trPr/>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API and bulk drug product price true-up</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75,055</w:t>
            </w:r>
          </w:p>
        </w:tc>
        <w:tc>
          <w:tcPr>
            <w:tcW w:w="391" w:type="dxa"/>
            <w:tcBorders/>
            <w:shd w:fill="auto" w:val="clear"/>
            <w:vAlign w:val="center"/>
          </w:tcPr>
          <w:p>
            <w:pPr>
              <w:pStyle w:val="TableContents"/>
              <w:spacing w:before="0" w:after="0"/>
              <w:ind w:left="0" w:right="0" w:hanging="0"/>
              <w:jc w:val="left"/>
              <w:rPr/>
            </w:pPr>
            <w:r>
              <w:rPr/>
              <w:t> </w:t>
            </w:r>
          </w:p>
        </w:tc>
      </w:tr>
      <w:tr>
        <w:trPr/>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Payroll and related accruals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22,562</w:t>
            </w:r>
          </w:p>
        </w:tc>
        <w:tc>
          <w:tcPr>
            <w:tcW w:w="391" w:type="dxa"/>
            <w:tcBorders/>
            <w:shd w:fill="auto" w:val="clear"/>
            <w:vAlign w:val="center"/>
          </w:tcPr>
          <w:p>
            <w:pPr>
              <w:pStyle w:val="TableContents"/>
              <w:spacing w:before="0" w:after="0"/>
              <w:ind w:left="0" w:right="0" w:hanging="0"/>
              <w:jc w:val="left"/>
              <w:rPr/>
            </w:pPr>
            <w:r>
              <w:rPr/>
              <w:t> </w:t>
            </w:r>
          </w:p>
        </w:tc>
      </w:tr>
      <w:tr>
        <w:trPr/>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co-promotion expenses - current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36,677</w:t>
            </w:r>
          </w:p>
        </w:tc>
        <w:tc>
          <w:tcPr>
            <w:tcW w:w="391" w:type="dxa"/>
            <w:tcBorders/>
            <w:shd w:fill="auto" w:val="clear"/>
            <w:vAlign w:val="center"/>
          </w:tcPr>
          <w:p>
            <w:pPr>
              <w:pStyle w:val="TableContents"/>
              <w:spacing w:before="0" w:after="0"/>
              <w:ind w:left="0" w:right="0" w:hanging="0"/>
              <w:jc w:val="left"/>
              <w:rPr/>
            </w:pPr>
            <w:r>
              <w:rPr/>
              <w:t> </w:t>
            </w:r>
          </w:p>
        </w:tc>
      </w:tr>
      <w:tr>
        <w:trPr/>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Roxadustat profit share to AstraZeneca</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7,280</w:t>
            </w:r>
          </w:p>
        </w:tc>
        <w:tc>
          <w:tcPr>
            <w:tcW w:w="391" w:type="dxa"/>
            <w:tcBorders/>
            <w:shd w:fill="auto" w:val="clear"/>
            <w:vAlign w:val="center"/>
          </w:tcPr>
          <w:p>
            <w:pPr>
              <w:pStyle w:val="TableContents"/>
              <w:spacing w:before="0" w:after="0"/>
              <w:ind w:left="0" w:right="0" w:hanging="0"/>
              <w:jc w:val="left"/>
              <w:rPr/>
            </w:pPr>
            <w:r>
              <w:rPr/>
              <w:t> </w:t>
            </w:r>
          </w:p>
        </w:tc>
      </w:tr>
      <w:tr>
        <w:trPr/>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taxes and other taxes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7,691</w:t>
            </w:r>
          </w:p>
        </w:tc>
        <w:tc>
          <w:tcPr>
            <w:tcW w:w="391" w:type="dxa"/>
            <w:tcBorders/>
            <w:shd w:fill="auto" w:val="clear"/>
            <w:vAlign w:val="center"/>
          </w:tcPr>
          <w:p>
            <w:pPr>
              <w:pStyle w:val="TableContents"/>
              <w:spacing w:before="0" w:after="0"/>
              <w:ind w:left="0" w:right="0" w:hanging="0"/>
              <w:jc w:val="left"/>
              <w:rPr/>
            </w:pPr>
            <w:r>
              <w:rPr/>
              <w:t> </w:t>
            </w:r>
          </w:p>
        </w:tc>
      </w:tr>
      <w:tr>
        <w:trPr/>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Professional services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5,480</w:t>
            </w:r>
          </w:p>
        </w:tc>
        <w:tc>
          <w:tcPr>
            <w:tcW w:w="391" w:type="dxa"/>
            <w:tcBorders/>
            <w:shd w:fill="auto" w:val="clear"/>
            <w:vAlign w:val="center"/>
          </w:tcPr>
          <w:p>
            <w:pPr>
              <w:pStyle w:val="TableContents"/>
              <w:spacing w:before="0" w:after="0"/>
              <w:ind w:left="0" w:right="0" w:hanging="0"/>
              <w:jc w:val="left"/>
              <w:rPr/>
            </w:pPr>
            <w:r>
              <w:rPr/>
              <w:t> </w:t>
            </w:r>
          </w:p>
        </w:tc>
      </w:tr>
      <w:tr>
        <w:trPr/>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portion of liability related to sale of future revenues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7,248</w:t>
            </w:r>
          </w:p>
        </w:tc>
        <w:tc>
          <w:tcPr>
            <w:tcW w:w="391" w:type="dxa"/>
            <w:tcBorders/>
            <w:shd w:fill="auto" w:val="clear"/>
            <w:vAlign w:val="center"/>
          </w:tcPr>
          <w:p>
            <w:pPr>
              <w:pStyle w:val="TableContents"/>
              <w:spacing w:before="0" w:after="0"/>
              <w:ind w:left="0" w:right="0" w:firstLine="200"/>
              <w:jc w:val="left"/>
              <w:rPr/>
            </w:pPr>
            <w:r>
              <w:rPr/>
              <w:t> </w:t>
            </w:r>
          </w:p>
        </w:tc>
      </w:tr>
      <w:tr>
        <w:trPr/>
        <w:tc>
          <w:tcPr>
            <w:tcW w:w="49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accrued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157,042</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219,773</w:t>
            </w:r>
          </w:p>
        </w:tc>
        <w:tc>
          <w:tcPr>
            <w:tcW w:w="3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sz w:val="20"/>
        </w:rPr>
        <w:t>The accrued liabilities of $30.8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 xml:space="preserve">for API and bulk drug product price true-up as of March 31, 2023 resulted from changes in estimated variable consideration associated with the API shipments fulfilled under the terms of the Astellas Japan Amendment, the bulk drug product transferred under the terms of the Astellas Europe Agreement and the Astellas EU Supply Agreement, and the bulk drug product shipments to AstraZeneca under the terms of the AstraZeneca Master Supply Agreement. See the </w:t>
      </w:r>
      <w:r>
        <w:rPr>
          <w:rFonts w:ascii="Times New Roman;serif" w:hAnsi="Times New Roman;serif"/>
          <w:b w:val="false"/>
          <w:i/>
          <w:sz w:val="20"/>
        </w:rPr>
        <w:t xml:space="preserve">Drug Product Revenue </w:t>
      </w:r>
      <w:r>
        <w:rPr>
          <w:rFonts w:ascii="Times New Roman;serif" w:hAnsi="Times New Roman;serif"/>
          <w:b w:val="false"/>
          <w:sz w:val="20"/>
        </w:rPr>
        <w:t xml:space="preserve">section in Note 2, </w:t>
      </w:r>
      <w:r>
        <w:rPr>
          <w:rFonts w:ascii="Times New Roman;serif" w:hAnsi="Times New Roman;serif"/>
          <w:b w:val="false"/>
          <w:i/>
          <w:sz w:val="20"/>
        </w:rPr>
        <w:t>Collaboration Agreements, License Agreement and Revenues,</w:t>
      </w:r>
      <w:r>
        <w:rPr>
          <w:rFonts w:ascii="Times New Roman" w:hAnsi="Times New Roman"/>
          <w:sz w:val="20"/>
        </w:rPr>
        <w:t xml:space="preserve"> </w:t>
      </w:r>
      <w:r>
        <w:rPr>
          <w:rFonts w:ascii="Times New Roman;serif" w:hAnsi="Times New Roman;serif"/>
          <w:b w:val="false"/>
          <w:sz w:val="20"/>
        </w:rPr>
        <w:t>for details.</w:t>
      </w:r>
    </w:p>
    <w:p>
      <w:pPr>
        <w:pStyle w:val="TextBody"/>
        <w:spacing w:before="360" w:after="0"/>
        <w:jc w:val="left"/>
        <w:rPr>
          <w:rFonts w:ascii="Times New Roman;serif" w:hAnsi="Times New Roman;serif"/>
          <w:b/>
          <w:sz w:val="20"/>
        </w:rPr>
      </w:pPr>
      <w:r>
        <w:rPr>
          <w:rFonts w:ascii="Times New Roman;serif" w:hAnsi="Times New Roman;serif"/>
          <w:b/>
          <w:sz w:val="20"/>
        </w:rPr>
        <w:t>6. Liability Related to Sale of Future Revenues</w:t>
      </w:r>
    </w:p>
    <w:p>
      <w:pPr>
        <w:pStyle w:val="TextBody"/>
        <w:spacing w:before="120" w:after="0"/>
        <w:jc w:val="left"/>
        <w:rPr>
          <w:rFonts w:ascii="Times New Roman" w:hAnsi="Times New Roman"/>
          <w:sz w:val="20"/>
        </w:rPr>
      </w:pPr>
      <w:r>
        <w:rPr>
          <w:rFonts w:ascii="Times New Roman;serif" w:hAnsi="Times New Roman;serif"/>
          <w:b w:val="false"/>
          <w:sz w:val="20"/>
        </w:rPr>
        <w:t>On November 4, 2022, the Company entered into a Revenue Interest Financing Agreement (the “RIFA”) with an affiliate of NovaQuest Capital Management (“NovaQuest”), pursuant to which the Company granted NovaQuest 22.5% of its drug product revenue and 10.0% (20.0% for fiscal year 2028 and thereafter) of its revenue from milestone payments that it is entitled to under the Astellas Agreements, for a consideration of $50.0</w:t>
      </w:r>
      <w:r>
        <w:rPr>
          <w:rFonts w:ascii="Times New Roman" w:hAnsi="Times New Roman"/>
          <w:sz w:val="20"/>
        </w:rPr>
        <w:t xml:space="preserve"> </w:t>
      </w:r>
      <w:r>
        <w:rPr>
          <w:rFonts w:ascii="Times New Roman;serif" w:hAnsi="Times New Roman;serif"/>
          <w:b w:val="false"/>
          <w:sz w:val="20"/>
        </w:rPr>
        <w:t>million (“Investment Amount”) before advisory fees.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November 2022, the Company received the Investment Amount, net of initial issuance costs, and accounted for it as long-term debt based on the terms of the RIFA because the risks and rewards to NovaQuest are limited by the terms of the transaction. The related debt discount and transaction costs are amortized as interest expense based on the projected balance of the liability as of the beginning of each period. As payments are made to NovaQuest, the balance of the liability related to sale of future revenues is being effectively repaid over the life of the RIFA. The payments to NovaQuest are accounted for as a reduction of debt.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may prepay its obligations to NovaQuest in full at any time during the term of RIFA. The prepayment amount varies from $80.0</w:t>
      </w:r>
      <w:r>
        <w:rPr>
          <w:rFonts w:ascii="Times New Roman" w:hAnsi="Times New Roman"/>
          <w:sz w:val="20"/>
        </w:rPr>
        <w:t xml:space="preserve"> </w:t>
      </w:r>
      <w:r>
        <w:rPr>
          <w:rFonts w:ascii="Times New Roman;serif" w:hAnsi="Times New Roman;serif"/>
          <w:b w:val="false"/>
          <w:sz w:val="20"/>
        </w:rPr>
        <w:t>million to $125.0</w:t>
      </w:r>
      <w:r>
        <w:rPr>
          <w:rFonts w:ascii="Times New Roman" w:hAnsi="Times New Roman"/>
          <w:sz w:val="20"/>
        </w:rPr>
        <w:t xml:space="preserve"> </w:t>
      </w:r>
      <w:r>
        <w:rPr>
          <w:rFonts w:ascii="Times New Roman;serif" w:hAnsi="Times New Roman;serif"/>
          <w:b w:val="false"/>
          <w:sz w:val="20"/>
        </w:rPr>
        <w:t>million less any revenue interest payments made up to such prepayment date. Under the RIFA the Company shall pay to NovaQuest up to a specified maximum amount (“Payment Cap”) of (a) $100.0</w:t>
      </w:r>
      <w:r>
        <w:rPr>
          <w:rFonts w:ascii="Times New Roman" w:hAnsi="Times New Roman"/>
          <w:sz w:val="20"/>
        </w:rPr>
        <w:t xml:space="preserve"> </w:t>
      </w:r>
      <w:r>
        <w:rPr>
          <w:rFonts w:ascii="Times New Roman;serif" w:hAnsi="Times New Roman;serif"/>
          <w:b w:val="false"/>
          <w:sz w:val="20"/>
        </w:rPr>
        <w:t>million, if the payment</w:t>
      </w:r>
      <w:r>
        <w:rPr>
          <w:rFonts w:ascii="Times New Roman" w:hAnsi="Times New Roman"/>
          <w:sz w:val="20"/>
        </w:rPr>
        <w:t xml:space="preserve"> </w:t>
      </w:r>
      <w:r>
        <w:rPr>
          <w:rFonts w:ascii="Times New Roman;serif" w:hAnsi="Times New Roman;serif"/>
          <w:b w:val="false"/>
          <w:sz w:val="20"/>
        </w:rPr>
        <w:t>is made on or before December 31, 2028; (b) $112.5</w:t>
      </w:r>
      <w:r>
        <w:rPr>
          <w:rFonts w:ascii="Times New Roman" w:hAnsi="Times New Roman"/>
          <w:sz w:val="20"/>
        </w:rPr>
        <w:t xml:space="preserve"> </w:t>
      </w:r>
      <w:r>
        <w:rPr>
          <w:rFonts w:ascii="Times New Roman;serif" w:hAnsi="Times New Roman;serif"/>
          <w:b w:val="false"/>
          <w:sz w:val="20"/>
        </w:rPr>
        <w:t>million, if the payment is made</w:t>
      </w:r>
      <w:r>
        <w:rPr>
          <w:rFonts w:ascii="Times New Roman" w:hAnsi="Times New Roman"/>
          <w:sz w:val="20"/>
        </w:rPr>
        <w:t xml:space="preserve"> </w:t>
      </w:r>
      <w:r>
        <w:rPr>
          <w:rFonts w:ascii="Times New Roman;serif" w:hAnsi="Times New Roman;serif"/>
          <w:b w:val="false"/>
          <w:sz w:val="20"/>
        </w:rPr>
        <w:t>on or after January 1, 2029, but on or before December 31, 2029; or (c) $125.0</w:t>
      </w:r>
      <w:r>
        <w:rPr>
          <w:rFonts w:ascii="Times New Roman" w:hAnsi="Times New Roman"/>
          <w:sz w:val="20"/>
        </w:rPr>
        <w:t xml:space="preserve"> </w:t>
      </w:r>
      <w:r>
        <w:rPr>
          <w:rFonts w:ascii="Times New Roman;serif" w:hAnsi="Times New Roman;serif"/>
          <w:b w:val="false"/>
          <w:sz w:val="20"/>
        </w:rPr>
        <w:t>million, if the payment is made after January 1, 2030.</w:t>
      </w:r>
    </w:p>
    <w:p>
      <w:pPr>
        <w:pStyle w:val="TextBody"/>
        <w:spacing w:before="240" w:after="0"/>
        <w:jc w:val="left"/>
        <w:rPr>
          <w:rFonts w:ascii="Times New Roman" w:hAnsi="Times New Roman"/>
          <w:sz w:val="20"/>
        </w:rPr>
      </w:pPr>
      <w:r>
        <w:rPr>
          <w:rFonts w:ascii="Times New Roman;serif" w:hAnsi="Times New Roman;serif"/>
          <w:b w:val="false"/>
          <w:sz w:val="20"/>
        </w:rPr>
        <w:t>After January 1, 2028, if the product (as defined) is not commercialized for a consecutive twelve-month period, then, the payments owed under the RIFA by the Company to NovaQuest for each fiscal year shall be the greater of: (i) the amount which would otherwise be due pursuant to revenue interest payments terms; or (ii) $10.0</w:t>
      </w:r>
      <w:r>
        <w:rPr>
          <w:rFonts w:ascii="Times New Roman" w:hAnsi="Times New Roman"/>
          <w:sz w:val="20"/>
        </w:rPr>
        <w:t xml:space="preserve"> </w:t>
      </w:r>
      <w:r>
        <w:rPr>
          <w:rFonts w:ascii="Times New Roman;serif" w:hAnsi="Times New Roman;serif"/>
          <w:b w:val="false"/>
          <w:sz w:val="20"/>
        </w:rPr>
        <w:t>million.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 w:hAnsi="Times New Roman"/>
          <w:sz w:val="20"/>
        </w:rPr>
      </w:pPr>
      <w:r>
        <w:rPr>
          <w:rFonts w:ascii="Times New Roman;serif" w:hAnsi="Times New Roman;serif"/>
          <w:b w:val="false"/>
          <w:sz w:val="20"/>
        </w:rPr>
        <w:t>Before December 31, 2028, if the sum of all payments under the RIFA paid to NovaQuest, does not equal or exceed $62.5</w:t>
      </w:r>
      <w:r>
        <w:rPr>
          <w:rFonts w:ascii="Times New Roman" w:hAnsi="Times New Roman"/>
          <w:sz w:val="20"/>
        </w:rPr>
        <w:t xml:space="preserve"> </w:t>
      </w:r>
      <w:r>
        <w:rPr>
          <w:rFonts w:ascii="Times New Roman;serif" w:hAnsi="Times New Roman;serif"/>
          <w:b w:val="false"/>
          <w:sz w:val="20"/>
        </w:rPr>
        <w:t>million, then the Company shall pay NovaQuest the difference of these two amounts by no later than March 1, 2029. If, by no later than December 31, 2030, the sum of all payments under the RIFA paid to NovaQuest does not equal or exceed $125.0</w:t>
      </w:r>
      <w:r>
        <w:rPr>
          <w:rFonts w:ascii="Times New Roman" w:hAnsi="Times New Roman"/>
          <w:sz w:val="20"/>
        </w:rPr>
        <w:t xml:space="preserve"> </w:t>
      </w:r>
      <w:r>
        <w:rPr>
          <w:rFonts w:ascii="Times New Roman;serif" w:hAnsi="Times New Roman;serif"/>
          <w:b w:val="false"/>
          <w:sz w:val="20"/>
        </w:rPr>
        <w:t>million, then the Company shall pay NovaQuest the difference of these two amounts by no later than March 1, 2031.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NovaQuest will retain this entitlement until it has reached the Payment Cap, at which point 100% of such revenue interest on future global net sales of Astellas will revert to the Company.</w:t>
      </w:r>
    </w:p>
    <w:p>
      <w:pPr>
        <w:pStyle w:val="TextBody"/>
        <w:spacing w:before="240" w:after="0"/>
        <w:jc w:val="left"/>
        <w:rPr>
          <w:rFonts w:ascii="Times New Roman" w:hAnsi="Times New Roman"/>
          <w:sz w:val="20"/>
        </w:rPr>
      </w:pPr>
      <w:r>
        <w:rPr>
          <w:rFonts w:ascii="Times New Roman;serif" w:hAnsi="Times New Roman;serif"/>
          <w:b w:val="false"/>
          <w:sz w:val="20"/>
        </w:rPr>
        <w:t>Over the course of the RIFA, the effective interest rate is affected by the amount and timing of drug product revenue and revenue from milestone payments recognized, the changes in the timing of forecasted drug product revenue and revenue from milestone payments, and the timing of the Company’s payments to NovaQuest. On a quarterly basis, the Company reassesses the expected total revenue and the timing of such revenue, recalculates the amortization of debt discount and transactions costs and effective interest rate, and adjusts the accounting prospectively as needed. The Company’s estimated effective annual interest rate was 19.64% for the three months ended March 31, 2023.</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summarizes the activity of the liability related to sale of future revenues for the three months ended March 31, 2023:</w:t>
      </w:r>
    </w:p>
    <w:p>
      <w:pPr>
        <w:pStyle w:val="TextBody"/>
        <w:spacing w:before="0" w:after="0"/>
        <w:jc w:val="left"/>
        <w:rPr/>
      </w:pPr>
      <w:r>
        <w:rPr/>
        <w:t> </w:t>
      </w:r>
    </w:p>
    <w:tbl>
      <w:tblPr>
        <w:tblW w:w="7878" w:type="dxa"/>
        <w:jc w:val="left"/>
        <w:tblInd w:w="0" w:type="dxa"/>
        <w:tblCellMar>
          <w:top w:w="28" w:type="dxa"/>
          <w:left w:w="28" w:type="dxa"/>
          <w:bottom w:w="28" w:type="dxa"/>
          <w:right w:w="28" w:type="dxa"/>
        </w:tblCellMar>
      </w:tblPr>
      <w:tblGrid>
        <w:gridCol w:w="5791"/>
        <w:gridCol w:w="146"/>
        <w:gridCol w:w="392"/>
        <w:gridCol w:w="1258"/>
        <w:gridCol w:w="291"/>
      </w:tblGrid>
      <w:tr>
        <w:trPr/>
        <w:tc>
          <w:tcPr>
            <w:tcW w:w="57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57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 2023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Liability related to sale of future revenues - beginning balance</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49,333</w:t>
            </w:r>
          </w:p>
        </w:tc>
        <w:tc>
          <w:tcPr>
            <w:tcW w:w="291" w:type="dxa"/>
            <w:tcBorders/>
            <w:shd w:fill="auto" w:val="clear"/>
            <w:vAlign w:val="center"/>
          </w:tcPr>
          <w:p>
            <w:pPr>
              <w:pStyle w:val="TableContents"/>
              <w:spacing w:before="0" w:after="0"/>
              <w:ind w:left="0" w:right="0" w:hanging="0"/>
              <w:jc w:val="left"/>
              <w:rPr/>
            </w:pPr>
            <w:r>
              <w:rPr/>
              <w:t> </w:t>
            </w:r>
          </w:p>
        </w:tc>
      </w:tr>
      <w:tr>
        <w:trPr/>
        <w:tc>
          <w:tcPr>
            <w:tcW w:w="5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recognized</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2,249</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Liability related to sale of future revenues - ending balance</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left"/>
              <w:rPr/>
            </w:pPr>
            <w:r>
              <w:rPr/>
              <w:t> </w:t>
            </w:r>
          </w:p>
        </w:tc>
        <w:tc>
          <w:tcPr>
            <w:tcW w:w="12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51,582</w:t>
            </w:r>
          </w:p>
        </w:tc>
        <w:tc>
          <w:tcPr>
            <w:tcW w:w="291" w:type="dxa"/>
            <w:tcBorders/>
            <w:shd w:fill="auto" w:val="clear"/>
            <w:vAlign w:val="center"/>
          </w:tcPr>
          <w:p>
            <w:pPr>
              <w:pStyle w:val="TableContents"/>
              <w:spacing w:before="0" w:after="0"/>
              <w:ind w:left="0" w:right="0" w:firstLine="100"/>
              <w:jc w:val="left"/>
              <w:rPr/>
            </w:pPr>
            <w:r>
              <w:rPr/>
              <w:t> </w:t>
            </w:r>
          </w:p>
        </w:tc>
      </w:tr>
      <w:tr>
        <w:trPr/>
        <w:tc>
          <w:tcPr>
            <w:tcW w:w="579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Less: Current portion classified to accrued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Liability related to sale of future revenues, non-current</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48,370</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sz w:val="20"/>
        </w:rPr>
        <w:t>During the three months ended March 31, 2023, the Company recognized, under Astellas Agreements, development revenue of $1.6</w:t>
      </w:r>
      <w:r>
        <w:rPr>
          <w:rFonts w:ascii="Times New Roman" w:hAnsi="Times New Roman"/>
          <w:sz w:val="20"/>
        </w:rPr>
        <w:t xml:space="preserve"> </w:t>
      </w:r>
      <w:r>
        <w:rPr>
          <w:rFonts w:ascii="Times New Roman;serif" w:hAnsi="Times New Roman;serif"/>
          <w:b w:val="false"/>
          <w:sz w:val="20"/>
        </w:rPr>
        <w:t>million and drug product revenue of $2.1</w:t>
      </w:r>
      <w:r>
        <w:rPr>
          <w:rFonts w:ascii="Times New Roman" w:hAnsi="Times New Roman"/>
          <w:sz w:val="20"/>
        </w:rPr>
        <w:t xml:space="preserve"> </w:t>
      </w:r>
      <w:r>
        <w:rPr>
          <w:rFonts w:ascii="Times New Roman;serif" w:hAnsi="Times New Roman;serif"/>
          <w:b w:val="false"/>
          <w:sz w:val="20"/>
        </w:rPr>
        <w:t xml:space="preserve">million. See Note 2, </w:t>
      </w:r>
      <w:r>
        <w:rPr>
          <w:rFonts w:ascii="Times New Roman;serif" w:hAnsi="Times New Roman;serif"/>
          <w:b w:val="false"/>
          <w:i/>
          <w:sz w:val="20"/>
        </w:rPr>
        <w:t>Collaboration Agreements, License Agreement and Revenue</w:t>
      </w:r>
      <w:r>
        <w:rPr>
          <w:rFonts w:ascii="Times New Roman;serif" w:hAnsi="Times New Roman;serif"/>
          <w:b w:val="false"/>
          <w:sz w:val="20"/>
        </w:rPr>
        <w:t>, for details. During the three months ended March 31, 2023, the Company recognized the related non-cash interest expense of $2.2</w:t>
      </w:r>
      <w:r>
        <w:rPr>
          <w:rFonts w:ascii="Times New Roman" w:hAnsi="Times New Roman"/>
          <w:sz w:val="20"/>
        </w:rPr>
        <w:t xml:space="preserve"> </w:t>
      </w:r>
      <w:r>
        <w:rPr>
          <w:rFonts w:ascii="Times New Roman;serif" w:hAnsi="Times New Roman;serif"/>
          <w:b w:val="false"/>
          <w:sz w:val="20"/>
        </w:rPr>
        <w:t>million.</w:t>
      </w:r>
    </w:p>
    <w:p>
      <w:pPr>
        <w:pStyle w:val="TextBody"/>
        <w:spacing w:before="240" w:after="0"/>
        <w:jc w:val="left"/>
        <w:rPr>
          <w:rFonts w:ascii="Times New Roman" w:hAnsi="Times New Roman"/>
          <w:sz w:val="20"/>
        </w:rPr>
      </w:pPr>
      <w:r>
        <w:rPr>
          <w:rFonts w:ascii="Times New Roman;serif" w:hAnsi="Times New Roman;serif"/>
          <w:b w:val="false"/>
          <w:sz w:val="20"/>
        </w:rPr>
        <w:t>Based on the current estimates of drug product revenue and revenue from milestone payments under the Astellas Agreements,</w:t>
      </w:r>
      <w:r>
        <w:rPr>
          <w:rFonts w:ascii="Times New Roman" w:hAnsi="Times New Roman"/>
          <w:sz w:val="20"/>
        </w:rPr>
        <w:t xml:space="preserve"> </w:t>
      </w:r>
      <w:r>
        <w:rPr>
          <w:rFonts w:ascii="Times New Roman;serif" w:hAnsi="Times New Roman;serif"/>
          <w:b w:val="false"/>
          <w:sz w:val="20"/>
        </w:rPr>
        <w:t>and taking into the consideration of the terms discussed above, the Company anticipates to reach a Payment Cap up to $125.0</w:t>
      </w:r>
      <w:r>
        <w:rPr>
          <w:rFonts w:ascii="Times New Roman" w:hAnsi="Times New Roman"/>
          <w:sz w:val="20"/>
        </w:rPr>
        <w:t xml:space="preserve"> </w:t>
      </w:r>
      <w:r>
        <w:rPr>
          <w:rFonts w:ascii="Times New Roman;serif" w:hAnsi="Times New Roman;serif"/>
          <w:b w:val="false"/>
          <w:sz w:val="20"/>
        </w:rPr>
        <w:t>million by 2031.</w:t>
      </w:r>
    </w:p>
    <w:p>
      <w:pPr>
        <w:pStyle w:val="TextBody"/>
        <w:spacing w:before="360" w:after="0"/>
        <w:jc w:val="left"/>
        <w:rPr>
          <w:rFonts w:ascii="Times New Roman;serif" w:hAnsi="Times New Roman;serif"/>
          <w:b/>
          <w:sz w:val="20"/>
        </w:rPr>
      </w:pPr>
      <w:r>
        <w:rPr>
          <w:rFonts w:ascii="Times New Roman;serif" w:hAnsi="Times New Roman;serif"/>
          <w:b/>
          <w:sz w:val="20"/>
        </w:rPr>
        <w:t>7. At-the-Market Program</w:t>
      </w:r>
    </w:p>
    <w:p>
      <w:pPr>
        <w:pStyle w:val="TextBody"/>
        <w:spacing w:before="120" w:after="0"/>
        <w:jc w:val="left"/>
        <w:rPr>
          <w:rFonts w:ascii="Times New Roman" w:hAnsi="Times New Roman"/>
          <w:sz w:val="20"/>
        </w:rPr>
      </w:pPr>
      <w:r>
        <w:rPr>
          <w:rFonts w:ascii="Times New Roman;serif" w:hAnsi="Times New Roman;serif"/>
          <w:b w:val="false"/>
          <w:sz w:val="20"/>
        </w:rPr>
        <w:t>On February 27, 2023, the Company entered into an Amended and Restated Equity Distribution Agreement (the “at-the-market agreement”) with Goldman Sachs &amp; Co., LLC and BofA Securities, Inc. (each a “Sales Agent”), which amended and restated its Equity Distribution Agreement with Goldman Sachs &amp; Co., LLC, dated August 8, 2022, to add BofA Securities, Inc. as an additional Sales Agent under that agreement. Under the at-the-market agreement, the Company may issue and sell, from time to time and through the Sales Agents, shares of its common stock having an aggregate offering price of up to $200.0</w:t>
      </w:r>
      <w:r>
        <w:rPr>
          <w:rFonts w:ascii="Times New Roman" w:hAnsi="Times New Roman"/>
          <w:sz w:val="20"/>
        </w:rPr>
        <w:t xml:space="preserve"> </w:t>
      </w:r>
      <w:r>
        <w:rPr>
          <w:rFonts w:ascii="Times New Roman;serif" w:hAnsi="Times New Roman;serif"/>
          <w:b w:val="false"/>
          <w:sz w:val="20"/>
        </w:rPr>
        <w:t>million (the “ATM Program”).</w:t>
      </w:r>
    </w:p>
    <w:p>
      <w:pPr>
        <w:pStyle w:val="TextBody"/>
        <w:spacing w:before="240" w:after="0"/>
        <w:jc w:val="left"/>
        <w:rPr>
          <w:rFonts w:ascii="Times New Roman" w:hAnsi="Times New Roman"/>
          <w:sz w:val="20"/>
        </w:rPr>
      </w:pPr>
      <w:r>
        <w:rPr>
          <w:rFonts w:ascii="Times New Roman;serif" w:hAnsi="Times New Roman;serif"/>
          <w:b w:val="false"/>
          <w:sz w:val="20"/>
        </w:rPr>
        <w:t>For the three months ended March 31, 2023, the Company sold 1,541,579</w:t>
      </w:r>
      <w:r>
        <w:rPr>
          <w:rFonts w:ascii="Times New Roman" w:hAnsi="Times New Roman"/>
          <w:sz w:val="20"/>
        </w:rPr>
        <w:t xml:space="preserve"> </w:t>
      </w:r>
      <w:r>
        <w:rPr>
          <w:rFonts w:ascii="Times New Roman;serif" w:hAnsi="Times New Roman;serif"/>
          <w:b w:val="false"/>
          <w:sz w:val="20"/>
        </w:rPr>
        <w:t>shares under the ATM Program, for approximately $31.1</w:t>
      </w:r>
      <w:r>
        <w:rPr>
          <w:rFonts w:ascii="Times New Roman" w:hAnsi="Times New Roman"/>
          <w:sz w:val="20"/>
        </w:rPr>
        <w:t xml:space="preserve"> </w:t>
      </w:r>
      <w:r>
        <w:rPr>
          <w:rFonts w:ascii="Times New Roman;serif" w:hAnsi="Times New Roman;serif"/>
          <w:b w:val="false"/>
          <w:sz w:val="20"/>
        </w:rPr>
        <w:t>million, net of commissions to Sales Agents, at a weighted-average offering prices per share of $20.25, of which $30.8</w:t>
      </w:r>
      <w:r>
        <w:rPr>
          <w:rFonts w:ascii="Times New Roman" w:hAnsi="Times New Roman"/>
          <w:sz w:val="20"/>
        </w:rPr>
        <w:t xml:space="preserve"> </w:t>
      </w:r>
      <w:r>
        <w:rPr>
          <w:rFonts w:ascii="Times New Roman;serif" w:hAnsi="Times New Roman;serif"/>
          <w:b w:val="false"/>
          <w:sz w:val="20"/>
        </w:rPr>
        <w:t>million was received in cash during the same period. The remainder of the net proceeds was recorded as other receivables and included in prepaid expenses and other current assets in the condensed consolidated balance sheet as of March 31, 2023</w:t>
      </w:r>
      <w:r>
        <w:rPr>
          <w:rFonts w:ascii="Times New Roman" w:hAnsi="Times New Roman"/>
          <w:sz w:val="20"/>
        </w:rPr>
        <w:t xml:space="preserve"> </w:t>
      </w:r>
      <w:r>
        <w:rPr>
          <w:rFonts w:ascii="Times New Roman;serif" w:hAnsi="Times New Roman;serif"/>
          <w:b w:val="false"/>
          <w:sz w:val="20"/>
        </w:rPr>
        <w:t>and received in April 2023.</w:t>
      </w:r>
    </w:p>
    <w:p>
      <w:pPr>
        <w:pStyle w:val="TextBody"/>
        <w:spacing w:before="360" w:after="0"/>
        <w:jc w:val="left"/>
        <w:rPr>
          <w:rFonts w:ascii="Times New Roman;serif" w:hAnsi="Times New Roman;serif"/>
          <w:b/>
          <w:sz w:val="20"/>
        </w:rPr>
      </w:pPr>
      <w:r>
        <w:rPr>
          <w:rFonts w:ascii="Times New Roman;serif" w:hAnsi="Times New Roman;serif"/>
          <w:b/>
          <w:sz w:val="20"/>
        </w:rPr>
        <w:t>8. Income Taxes</w:t>
      </w:r>
    </w:p>
    <w:p>
      <w:pPr>
        <w:pStyle w:val="TextBody"/>
        <w:spacing w:before="120" w:after="0"/>
        <w:jc w:val="left"/>
        <w:rPr>
          <w:rFonts w:ascii="Times New Roman" w:hAnsi="Times New Roman"/>
          <w:sz w:val="20"/>
        </w:rPr>
      </w:pPr>
      <w:r>
        <w:rPr>
          <w:rFonts w:ascii="Times New Roman;serif" w:hAnsi="Times New Roman;serif"/>
          <w:b w:val="false"/>
          <w:sz w:val="20"/>
        </w:rPr>
        <w:t>Provisions for income tax for the three months ended March 31, 2023 and 2022 were primarily due to foreign taxes.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upon the weight of available evidence, which includes its historical operating performance, reported cumulative net losses since inception, the Company has established and continues to maintain a full valuation allowance against its net deferred tax assets as it does not currently believe that realization of those assets is more likely than not.</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sz w:val="20"/>
        </w:rPr>
      </w:pPr>
      <w:r>
        <w:rPr>
          <w:rFonts w:ascii="Times New Roman;serif" w:hAnsi="Times New Roman;serif"/>
          <w:b/>
          <w:sz w:val="20"/>
        </w:rPr>
        <w:t>9. Related Party Transactions</w:t>
      </w:r>
    </w:p>
    <w:p>
      <w:pPr>
        <w:pStyle w:val="TextBody"/>
        <w:spacing w:before="120" w:after="0"/>
        <w:jc w:val="left"/>
        <w:rPr>
          <w:rFonts w:ascii="Times New Roman" w:hAnsi="Times New Roman"/>
          <w:sz w:val="20"/>
        </w:rPr>
      </w:pPr>
      <w:r>
        <w:rPr>
          <w:rFonts w:ascii="Times New Roman;serif" w:hAnsi="Times New Roman;serif"/>
          <w:b w:val="false"/>
          <w:sz w:val="20"/>
        </w:rPr>
        <w:t>Astellas is an equity investor in the Company and is considered a related party. The Company recorded license and development revenue related to collaboration agreements with Astellas of $1.6</w:t>
      </w:r>
      <w:r>
        <w:rPr>
          <w:rFonts w:ascii="Times New Roman" w:hAnsi="Times New Roman"/>
          <w:sz w:val="20"/>
        </w:rPr>
        <w:t xml:space="preserve"> </w:t>
      </w:r>
      <w:r>
        <w:rPr>
          <w:rFonts w:ascii="Times New Roman;serif" w:hAnsi="Times New Roman;serif"/>
          <w:b w:val="false"/>
          <w:sz w:val="20"/>
        </w:rPr>
        <w:t>million and $27.8</w:t>
      </w:r>
      <w:r>
        <w:rPr>
          <w:rFonts w:ascii="Times New Roman" w:hAnsi="Times New Roman"/>
          <w:sz w:val="20"/>
        </w:rPr>
        <w:t xml:space="preserve"> </w:t>
      </w:r>
      <w:r>
        <w:rPr>
          <w:rFonts w:ascii="Times New Roman;serif" w:hAnsi="Times New Roman;serif"/>
          <w:b w:val="false"/>
          <w:sz w:val="20"/>
        </w:rPr>
        <w:t>million for the three months ended March 31, 2023 and 2022, respectively. The Company also recorded drug product revenue from Astellas of $2.1</w:t>
      </w:r>
      <w:r>
        <w:rPr>
          <w:rFonts w:ascii="Times New Roman" w:hAnsi="Times New Roman"/>
          <w:sz w:val="20"/>
        </w:rPr>
        <w:t xml:space="preserve"> </w:t>
      </w:r>
      <w:r>
        <w:rPr>
          <w:rFonts w:ascii="Times New Roman;serif" w:hAnsi="Times New Roman;serif"/>
          <w:b w:val="false"/>
          <w:sz w:val="20"/>
        </w:rPr>
        <w:t>million and $7.6</w:t>
      </w:r>
      <w:r>
        <w:rPr>
          <w:rFonts w:ascii="Times New Roman" w:hAnsi="Times New Roman"/>
          <w:sz w:val="20"/>
        </w:rPr>
        <w:t xml:space="preserve"> </w:t>
      </w:r>
      <w:r>
        <w:rPr>
          <w:rFonts w:ascii="Times New Roman;serif" w:hAnsi="Times New Roman;serif"/>
          <w:b w:val="false"/>
          <w:sz w:val="20"/>
        </w:rPr>
        <w:t xml:space="preserve">million for the three months ended March 31, 2023 and 2022, respectively. See Note 2, </w:t>
      </w:r>
      <w:r>
        <w:rPr>
          <w:rFonts w:ascii="Times New Roman;serif" w:hAnsi="Times New Roman;serif"/>
          <w:b w:val="false"/>
          <w:i/>
          <w:sz w:val="20"/>
        </w:rPr>
        <w:t>Collaboration Agreements, License Agreement and Revenues</w:t>
      </w:r>
      <w:r>
        <w:rPr>
          <w:rFonts w:ascii="Times New Roman;serif" w:hAnsi="Times New Roman;serif"/>
          <w:b w:val="false"/>
          <w:sz w:val="20"/>
        </w:rPr>
        <w:t>, for details.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Company’s expense related to collaboration agreements with Astellas was immaterial for each of the three months ended March 31, 2023 and 2022.</w:t>
      </w:r>
    </w:p>
    <w:p>
      <w:pPr>
        <w:pStyle w:val="TextBody"/>
        <w:spacing w:before="240" w:after="0"/>
        <w:jc w:val="left"/>
        <w:rPr>
          <w:rFonts w:ascii="Times New Roman" w:hAnsi="Times New Roman"/>
          <w:sz w:val="20"/>
        </w:rPr>
      </w:pPr>
      <w:r>
        <w:rPr>
          <w:rFonts w:ascii="Times New Roman;serif" w:hAnsi="Times New Roman;serif"/>
          <w:b w:val="false"/>
          <w:sz w:val="20"/>
        </w:rPr>
        <w:t>As of March 31, 2023 and December 31, 2022, accounts receivable from Astellas were $1.6</w:t>
      </w:r>
      <w:r>
        <w:rPr>
          <w:rFonts w:ascii="Times New Roman" w:hAnsi="Times New Roman"/>
          <w:sz w:val="20"/>
        </w:rPr>
        <w:t xml:space="preserve"> </w:t>
      </w:r>
      <w:r>
        <w:rPr>
          <w:rFonts w:ascii="Times New Roman;serif" w:hAnsi="Times New Roman;serif"/>
          <w:b w:val="false"/>
          <w:sz w:val="20"/>
        </w:rPr>
        <w:t>million and $1.5</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240" w:after="0"/>
        <w:jc w:val="left"/>
        <w:rPr>
          <w:rFonts w:ascii="Times New Roman" w:hAnsi="Times New Roman"/>
          <w:sz w:val="20"/>
        </w:rPr>
      </w:pPr>
      <w:r>
        <w:rPr>
          <w:rFonts w:ascii="Times New Roman;serif" w:hAnsi="Times New Roman;serif"/>
          <w:b w:val="false"/>
          <w:sz w:val="20"/>
        </w:rPr>
        <w:t>As of March 31, 2023 and December 31, 2022, total deferred revenue from Astellas was $23.4</w:t>
      </w:r>
      <w:r>
        <w:rPr>
          <w:rFonts w:ascii="Times New Roman" w:hAnsi="Times New Roman"/>
          <w:sz w:val="20"/>
        </w:rPr>
        <w:t xml:space="preserve"> </w:t>
      </w:r>
      <w:r>
        <w:rPr>
          <w:rFonts w:ascii="Times New Roman;serif" w:hAnsi="Times New Roman;serif"/>
          <w:b w:val="false"/>
          <w:sz w:val="20"/>
        </w:rPr>
        <w:t>million and $40.3</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240" w:after="0"/>
        <w:jc w:val="left"/>
        <w:rPr>
          <w:rFonts w:ascii="Times New Roman" w:hAnsi="Times New Roman"/>
          <w:sz w:val="20"/>
        </w:rPr>
      </w:pPr>
      <w:r>
        <w:rPr>
          <w:rFonts w:ascii="Times New Roman;serif" w:hAnsi="Times New Roman;serif"/>
          <w:b w:val="false"/>
          <w:sz w:val="20"/>
        </w:rPr>
        <w:t>As of March 31, 2023, the</w:t>
      </w:r>
      <w:r>
        <w:rPr>
          <w:rFonts w:ascii="Times New Roman" w:hAnsi="Times New Roman"/>
          <w:sz w:val="20"/>
        </w:rPr>
        <w:t xml:space="preserve"> </w:t>
      </w:r>
      <w:r>
        <w:rPr>
          <w:rFonts w:ascii="Times New Roman;serif" w:hAnsi="Times New Roman;serif"/>
          <w:b w:val="false"/>
          <w:sz w:val="20"/>
        </w:rPr>
        <w:t>amounts due to Astellas, included in accounts payable, accrued and other current liabilities, and other long-term liabilities, totaled $78.7</w:t>
      </w:r>
      <w:r>
        <w:rPr>
          <w:rFonts w:ascii="Times New Roman" w:hAnsi="Times New Roman"/>
          <w:sz w:val="20"/>
        </w:rPr>
        <w:t xml:space="preserve"> </w:t>
      </w:r>
      <w:r>
        <w:rPr>
          <w:rFonts w:ascii="Times New Roman;serif" w:hAnsi="Times New Roman;serif"/>
          <w:b w:val="false"/>
          <w:sz w:val="20"/>
        </w:rPr>
        <w:t>million. As of December 31, 2022, the amount due to Astellas, included in accrued and other current liabilities, was $63.9</w:t>
      </w:r>
      <w:r>
        <w:rPr>
          <w:rFonts w:ascii="Times New Roman" w:hAnsi="Times New Roman"/>
          <w:sz w:val="20"/>
        </w:rPr>
        <w:t xml:space="preserve"> </w:t>
      </w:r>
      <w:r>
        <w:rPr>
          <w:rFonts w:ascii="Times New Roman;serif" w:hAnsi="Times New Roman;serif"/>
          <w:b w:val="false"/>
          <w:sz w:val="20"/>
        </w:rPr>
        <w:t>million.</w:t>
      </w:r>
    </w:p>
    <w:p>
      <w:pPr>
        <w:pStyle w:val="TextBody"/>
        <w:spacing w:before="240" w:after="0"/>
        <w:jc w:val="left"/>
        <w:rPr>
          <w:rFonts w:ascii="Times New Roman" w:hAnsi="Times New Roman"/>
          <w:sz w:val="20"/>
        </w:rPr>
      </w:pPr>
      <w:r>
        <w:rPr>
          <w:rFonts w:ascii="Times New Roman;serif" w:hAnsi="Times New Roman;serif"/>
          <w:b w:val="false"/>
          <w:sz w:val="20"/>
        </w:rPr>
        <w:t>Falikang, an entity jointly owned by FibroGen Beijing and AstraZeneca is an unconsolidated VIE accounted for as an equity method investment, and considered as a related party to the Company. FibroGen Beijing owns 51.1%</w:t>
      </w:r>
      <w:r>
        <w:rPr>
          <w:rFonts w:ascii="Times New Roman" w:hAnsi="Times New Roman"/>
          <w:sz w:val="20"/>
        </w:rPr>
        <w:t xml:space="preserve"> </w:t>
      </w:r>
      <w:r>
        <w:rPr>
          <w:rFonts w:ascii="Times New Roman;serif" w:hAnsi="Times New Roman;serif"/>
          <w:b w:val="false"/>
          <w:sz w:val="20"/>
        </w:rPr>
        <w:t xml:space="preserve">of Falikang’s equity. See Note 3, </w:t>
      </w:r>
      <w:r>
        <w:rPr>
          <w:rFonts w:ascii="Times New Roman;serif" w:hAnsi="Times New Roman;serif"/>
          <w:b w:val="false"/>
          <w:i/>
          <w:sz w:val="20"/>
        </w:rPr>
        <w:t>Equity method investment - Variable Interest Entity</w:t>
      </w:r>
      <w:r>
        <w:rPr>
          <w:rFonts w:ascii="Times New Roman;serif" w:hAnsi="Times New Roman;serif"/>
          <w:b w:val="false"/>
          <w:sz w:val="20"/>
        </w:rPr>
        <w:t>, for details.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net product revenue from Falikang was $21.4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$16.2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 xml:space="preserve">for the three months ended March 31, 2023 and 2022, respectively. See the </w:t>
      </w:r>
      <w:r>
        <w:rPr>
          <w:rFonts w:ascii="Times New Roman;serif" w:hAnsi="Times New Roman;serif"/>
          <w:b w:val="false"/>
          <w:i/>
          <w:sz w:val="20"/>
        </w:rPr>
        <w:t xml:space="preserve">Product Revenue, Net </w:t>
      </w:r>
      <w:r>
        <w:rPr>
          <w:rFonts w:ascii="Times New Roman;serif" w:hAnsi="Times New Roman;serif"/>
          <w:b w:val="false"/>
          <w:sz w:val="20"/>
        </w:rPr>
        <w:t xml:space="preserve">section in Note 2, </w:t>
      </w:r>
      <w:r>
        <w:rPr>
          <w:rFonts w:ascii="Times New Roman;serif" w:hAnsi="Times New Roman;serif"/>
          <w:b w:val="false"/>
          <w:i/>
          <w:sz w:val="20"/>
        </w:rPr>
        <w:t>Collaboration Agreements, License Agreement and Revenues</w:t>
      </w:r>
      <w:r>
        <w:rPr>
          <w:rFonts w:ascii="Times New Roman;serif" w:hAnsi="Times New Roman;serif"/>
          <w:b w:val="false"/>
          <w:sz w:val="20"/>
        </w:rPr>
        <w:t>, for details.</w:t>
      </w:r>
    </w:p>
    <w:p>
      <w:pPr>
        <w:pStyle w:val="TextBody"/>
        <w:spacing w:before="240" w:after="0"/>
        <w:jc w:val="left"/>
        <w:rPr>
          <w:rFonts w:ascii="Times New Roman" w:hAnsi="Times New Roman"/>
          <w:sz w:val="20"/>
        </w:rPr>
      </w:pPr>
      <w:r>
        <w:rPr>
          <w:rFonts w:ascii="Times New Roman;serif" w:hAnsi="Times New Roman;serif"/>
          <w:b w:val="false"/>
          <w:sz w:val="20"/>
        </w:rPr>
        <w:t>The investment income in Falikang was $0.8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three months ended March 31, 2023 and 2022, respectively. As of March 31, 2023 and December 31, 2022, the Company’s equity method investment in Falikang was $5.9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$5.1</w:t>
      </w:r>
      <w:r>
        <w:rPr>
          <w:rFonts w:ascii="Times New Roman" w:hAnsi="Times New Roman"/>
          <w:sz w:val="20"/>
        </w:rPr>
        <w:t xml:space="preserve"> </w:t>
      </w:r>
      <w:r>
        <w:rPr>
          <w:rFonts w:ascii="Times New Roman;serif" w:hAnsi="Times New Roman;serif"/>
          <w:b w:val="false"/>
          <w:sz w:val="20"/>
        </w:rPr>
        <w:t xml:space="preserve">million, respectively. See Note 3, </w:t>
      </w:r>
      <w:r>
        <w:rPr>
          <w:rFonts w:ascii="Times New Roman;serif" w:hAnsi="Times New Roman;serif"/>
          <w:b w:val="false"/>
          <w:i/>
          <w:sz w:val="20"/>
        </w:rPr>
        <w:t>Variable Interest Entity</w:t>
      </w:r>
      <w:r>
        <w:rPr>
          <w:rFonts w:ascii="Times New Roman;serif" w:hAnsi="Times New Roman;serif"/>
          <w:b w:val="false"/>
          <w:sz w:val="20"/>
        </w:rPr>
        <w:t>, for details. The other income from Falikang was immaterial for each of the three months ended March 31, 2023 and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March 31, 2023 and December 31, 2022, accounts receivable, net, from Falikang, were $9.9</w:t>
      </w:r>
      <w:r>
        <w:rPr>
          <w:rFonts w:ascii="Times New Roman" w:hAnsi="Times New Roman"/>
          <w:sz w:val="20"/>
        </w:rPr>
        <w:t xml:space="preserve"> </w:t>
      </w:r>
      <w:r>
        <w:rPr>
          <w:rFonts w:ascii="Times New Roman;serif" w:hAnsi="Times New Roman;serif"/>
          <w:b w:val="false"/>
          <w:sz w:val="20"/>
        </w:rPr>
        <w:t>million and $10.5</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360" w:after="0"/>
        <w:jc w:val="left"/>
        <w:rPr>
          <w:rFonts w:ascii="Times New Roman;serif" w:hAnsi="Times New Roman;serif"/>
          <w:b/>
          <w:sz w:val="20"/>
        </w:rPr>
      </w:pPr>
      <w:r>
        <w:rPr>
          <w:rFonts w:ascii="Times New Roman;serif" w:hAnsi="Times New Roman;serif"/>
          <w:b/>
          <w:sz w:val="20"/>
        </w:rPr>
        <w:t>10. Commitments and Contingencies</w:t>
      </w:r>
    </w:p>
    <w:p>
      <w:pPr>
        <w:pStyle w:val="TextBody"/>
        <w:spacing w:before="120" w:after="0"/>
        <w:jc w:val="left"/>
        <w:rPr>
          <w:rFonts w:ascii="Times New Roman" w:hAnsi="Times New Roman"/>
          <w:sz w:val="20"/>
        </w:rPr>
      </w:pPr>
      <w:r>
        <w:rPr>
          <w:rFonts w:ascii="Times New Roman;serif" w:hAnsi="Times New Roman;serif"/>
          <w:b/>
          <w:i/>
          <w:sz w:val="20"/>
        </w:rPr>
        <w:t>Contract Obligations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March 31, 2023, the Company had outstanding total non-cancelable purchase obligations of $51.9</w:t>
      </w:r>
      <w:r>
        <w:rPr>
          <w:rFonts w:ascii="Times New Roman" w:hAnsi="Times New Roman"/>
          <w:sz w:val="20"/>
        </w:rPr>
        <w:t xml:space="preserve"> </w:t>
      </w:r>
      <w:r>
        <w:rPr>
          <w:rFonts w:ascii="Times New Roman;serif" w:hAnsi="Times New Roman;serif"/>
          <w:b w:val="false"/>
          <w:sz w:val="20"/>
        </w:rPr>
        <w:t>million, including $22.4</w:t>
      </w:r>
      <w:r>
        <w:rPr>
          <w:rFonts w:ascii="Times New Roman" w:hAnsi="Times New Roman"/>
          <w:sz w:val="20"/>
        </w:rPr>
        <w:t xml:space="preserve"> </w:t>
      </w:r>
      <w:r>
        <w:rPr>
          <w:rFonts w:ascii="Times New Roman;serif" w:hAnsi="Times New Roman;serif"/>
          <w:b w:val="false"/>
          <w:sz w:val="20"/>
        </w:rPr>
        <w:t>million for manufacture and supply of pamrevlumab, $4.1</w:t>
      </w:r>
      <w:r>
        <w:rPr>
          <w:rFonts w:ascii="Times New Roman" w:hAnsi="Times New Roman"/>
          <w:sz w:val="20"/>
        </w:rPr>
        <w:t xml:space="preserve"> </w:t>
      </w:r>
      <w:r>
        <w:rPr>
          <w:rFonts w:ascii="Times New Roman;serif" w:hAnsi="Times New Roman;serif"/>
          <w:b w:val="false"/>
          <w:sz w:val="20"/>
        </w:rPr>
        <w:t>million for manufacture and supply of roxadustat, and $25.4</w:t>
      </w:r>
      <w:r>
        <w:rPr>
          <w:rFonts w:ascii="Times New Roman" w:hAnsi="Times New Roman"/>
          <w:sz w:val="20"/>
        </w:rPr>
        <w:t xml:space="preserve"> </w:t>
      </w:r>
      <w:r>
        <w:rPr>
          <w:rFonts w:ascii="Times New Roman;serif" w:hAnsi="Times New Roman;serif"/>
          <w:b w:val="false"/>
          <w:sz w:val="20"/>
        </w:rPr>
        <w:t>million for other purchases and programs. The Company expects to fulfill its commitments under these agreements in the normal course of business, and as such, no liability has been recorded.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Some of the Company’s license agreements provide for periodic maintenance fees over specified time periods, as well as payments by the Company upon the achievement of development, regulatory and commercial milestones. As of March 31, 2023, future milestone payments for research and preclinical stage development programs consisted of up to approximately $697.9</w:t>
      </w:r>
      <w:r>
        <w:rPr>
          <w:rFonts w:ascii="Times New Roman" w:hAnsi="Times New Roman"/>
          <w:sz w:val="20"/>
        </w:rPr>
        <w:t xml:space="preserve"> </w:t>
      </w:r>
      <w:r>
        <w:rPr>
          <w:rFonts w:ascii="Times New Roman;serif" w:hAnsi="Times New Roman;serif"/>
          <w:b w:val="false"/>
          <w:sz w:val="20"/>
        </w:rPr>
        <w:t>million in total potential future milestone payments under the Company’s license agreements with HiFiBiO (for Gal-9 and CCR8), Medarex, Inc. and others. These milestone payments generally become due and payable only upon the achievement of certain developmental, clinical, regulatory and/or commercial milestones. The event triggering such payment or obligation has not yet occurred.</w:t>
      </w:r>
    </w:p>
    <w:p>
      <w:pPr>
        <w:pStyle w:val="TextBody"/>
        <w:spacing w:before="240" w:after="0"/>
        <w:jc w:val="left"/>
        <w:rPr>
          <w:rFonts w:ascii="Times New Roman" w:hAnsi="Times New Roman"/>
          <w:sz w:val="20"/>
        </w:rPr>
      </w:pPr>
      <w:r>
        <w:rPr>
          <w:rFonts w:ascii="Times New Roman;serif" w:hAnsi="Times New Roman;serif"/>
          <w:b w:val="false"/>
          <w:sz w:val="20"/>
        </w:rPr>
        <w:t>As of March 31, 2023, the Company had $86.8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operating lease liabilities.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In addition, see Note 6, </w:t>
      </w:r>
      <w:r>
        <w:rPr>
          <w:rFonts w:ascii="Times New Roman;serif" w:hAnsi="Times New Roman;serif"/>
          <w:b w:val="false"/>
          <w:i/>
          <w:sz w:val="20"/>
        </w:rPr>
        <w:t xml:space="preserve">Liability Related to Sale of Future Revenues </w:t>
      </w:r>
      <w:r>
        <w:rPr>
          <w:rFonts w:ascii="Times New Roman;serif" w:hAnsi="Times New Roman;serif"/>
          <w:b w:val="false"/>
          <w:sz w:val="20"/>
        </w:rPr>
        <w:t>for details of the related obligation.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 w:hAnsi="Times New Roman"/>
          <w:sz w:val="20"/>
        </w:rPr>
      </w:pPr>
      <w:r>
        <w:rPr>
          <w:rFonts w:ascii="Times New Roman;serif" w:hAnsi="Times New Roman;serif"/>
          <w:b/>
          <w:i/>
          <w:sz w:val="20"/>
        </w:rPr>
        <w:t>Legal Proceedings and Other Matters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From time to time, the Company is a party to various legal actions, both inside and outside the U.S.,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 The Company did not have any material accruals for any active legal action in its condensed consolidated balance sheet as of March 31, 2023, as the Company could not predict the ultimate outcome of these matters, or reasonably estimate the potential exposure.</w:t>
      </w:r>
    </w:p>
    <w:p>
      <w:pPr>
        <w:pStyle w:val="TextBody"/>
        <w:spacing w:before="240" w:after="0"/>
        <w:jc w:val="left"/>
        <w:rPr>
          <w:rFonts w:ascii="Times New Roman" w:hAnsi="Times New Roman"/>
          <w:sz w:val="20"/>
        </w:rPr>
      </w:pPr>
      <w:r>
        <w:rPr>
          <w:rFonts w:ascii="Times New Roman;serif" w:hAnsi="Times New Roman;serif"/>
          <w:b w:val="false"/>
          <w:sz w:val="20"/>
        </w:rPr>
        <w:t>Between April 2021 and May 2021, five</w:t>
      </w:r>
      <w:r>
        <w:rPr>
          <w:rFonts w:ascii="Times New Roman" w:hAnsi="Times New Roman"/>
          <w:sz w:val="20"/>
        </w:rPr>
        <w:t xml:space="preserve"> </w:t>
      </w:r>
      <w:r>
        <w:rPr>
          <w:rFonts w:ascii="Times New Roman;serif" w:hAnsi="Times New Roman;serif"/>
          <w:b w:val="false"/>
          <w:sz w:val="20"/>
        </w:rPr>
        <w:t>putative securities class action complaints were filed against FibroGen and certain of its current and former executive officers (collectively, the “Defendants”) in the U.S. District Court for the Northern District of California. The lawsuits allege that Defendants violated the Securities Exchange Act of 1934 by making materially false and misleading statements regarding FibroGen’s Phase 3 clinical studies data and prospects for U.S. Food and Drug Administration approval. On August 30, 2021, the Court consolidated the actions and appointed a group of lead plaintiffs. Plaintiffs filed their consolidated amended complaint on October 29, 2021 and a corrected consolidated amended complaint on November 19, 2021 (the “Complaint”). The Complaint alleges false and misleading statements between December 2018 and June 2021 and seeks to represent a class of persons or entities that purchased FibroGen securities between December 20, 2018 and July 15, 2021. On July 15, 2022, the court issued an order denying Defendants’ motions to dismiss. Defendants answered the Complaint on September 13, 2022 and discovery is ongoing. On January 27, 2023, Plaintiffs filed a motion for class certification. Defendants’ opposition to the motion for class certification is due May 12, 2023.</w:t>
      </w:r>
    </w:p>
    <w:p>
      <w:pPr>
        <w:pStyle w:val="TextBody"/>
        <w:spacing w:before="240" w:after="0"/>
        <w:jc w:val="left"/>
        <w:rPr>
          <w:rFonts w:ascii="Times New Roman" w:hAnsi="Times New Roman"/>
          <w:sz w:val="20"/>
        </w:rPr>
      </w:pPr>
      <w:r>
        <w:rPr>
          <w:rFonts w:ascii="Times New Roman;serif" w:hAnsi="Times New Roman;serif"/>
          <w:b w:val="false"/>
          <w:sz w:val="20"/>
        </w:rPr>
        <w:t>On July 30, 2021, a purported shareholder derivative (the “California Federal Derivative”) complaint was filed in the U.S. District Court for the Northern District of California. The California Federal Derivative complaint names as defendants FibroGen’s current and former officers and directors, as well as FibroGen as nominal defendant, and asserts state and federal claims based on some of the same alleged misstatements as the securities class action complaint. The California Federal Derivative complaint seeks unspecified damages, attorneys’ fees, and other costs. On December 27, 2021, a second purported shareholder derivative (the “Delaware Federal Derivative”) complaint was filed in the U.S. District Court for the District of Delaware. The Delaware Federal Derivative complaint names FibroGen’s current and former officers and directors as defendants, as well as FibroGen as nominal defendant, and asserts state and federal claims based on some of the same alleged misstatements as the securities class action complaint, as well as allegations of insider trading against certain defendants. The Delaware Federal Derivative complaint seeks unspecified damages, attorneys’ fees, and other costs. On April 14, 2022, a third purported shareholder derivative (the “Delaware Chancery Derivative”) complaint was filed in the Delaware Court of Chancery. The Delaware Chancery Derivative complaint names substantially the same defendants as the other purported shareholder derivative actions and asserts similar claims based upon similar allegations. The Delaware Chancery Derivative complaint seeks unspecified damages, attorneys’ fees, and other costs. All three derivative actions have been stayed pending resolution of any motions for summary judgment in the securities class action.</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believes that the claims are without merit and it intends to vigorously defend against them. However, any litigation is inherently uncertain, and any judgment or injunctive relief entered against FibroGen or any adverse settlement could materially and adversely impact its business, results of operations, financial condition, and prospects.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the fourth quarter of 2021, the Company received a subpoena from the SEC requesting documents related to roxadustat’s pooled cardiovascular safety data. The Company is fully cooperating with the SEC. The Company cannot predict with any degree of certainty the outcome of the SEC’s investigation or determine the extent of any potential liabilities. The Company also cannot predict whether there will be any loss as a result of the investigation nor can it provide an estimate of the possible loss or range of loss. Any adverse outcome in this matter or any related proceeding could expose the Company to substantial damages, penalties, or reputational harm that may have a material adverse impact on the Company’s business, results of operations, financial condition, growth prospects, and price of its common stock.</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val="false"/>
          <w:sz w:val="20"/>
        </w:rPr>
      </w:pPr>
      <w:r>
        <w:rPr>
          <w:rFonts w:ascii="Times New Roman;serif" w:hAnsi="Times New Roman;serif"/>
          <w:b w:val="false"/>
          <w:sz w:val="20"/>
        </w:rPr>
        <w:t>Between August 3, 2022 and August 4, 2022, the Company’s Board of Directors received three litigation demands from purported shareholders of the Company, asking the Board of Directors to investigate and take action against certain current and former officers and directors of the Company for alleged wrongdoing based on the same allegations in the pending derivative and securities class action lawsuits. On March 27, 2023, the Company’s Board of Directors received another litigation demand from a purported shareholder of the Company, seeking similar action as the other litigation demands. The Company may in the future receive such additional demands.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Starting in October 2021, certain challenges have been filed with the China National Intellectual Property Administration against patents which claim a crystalline form of roxadustat. Final resolution of such proceedings will take time and the Company could not predict the ultimate outcome, or reasonably estimate the potential exposure.</w:t>
      </w:r>
    </w:p>
    <w:p>
      <w:pPr>
        <w:pStyle w:val="TextBody"/>
        <w:spacing w:before="360" w:after="0"/>
        <w:jc w:val="left"/>
        <w:rPr>
          <w:rFonts w:ascii="Times New Roman;serif" w:hAnsi="Times New Roman;serif"/>
          <w:b/>
          <w:i/>
          <w:sz w:val="20"/>
        </w:rPr>
      </w:pPr>
      <w:r>
        <w:rPr>
          <w:rFonts w:ascii="Times New Roman;serif" w:hAnsi="Times New Roman;serif"/>
          <w:b/>
          <w:i/>
          <w:sz w:val="20"/>
        </w:rPr>
        <w:t>Indemnification Agreements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estimated fair value of these arrangements is minimal.</w:t>
      </w:r>
    </w:p>
    <w:p>
      <w:pPr>
        <w:pStyle w:val="TextBody"/>
        <w:spacing w:before="360" w:after="0"/>
        <w:jc w:val="left"/>
        <w:rPr>
          <w:rFonts w:ascii="Times New Roman;serif" w:hAnsi="Times New Roman;serif"/>
          <w:b/>
          <w:sz w:val="20"/>
        </w:rPr>
      </w:pPr>
      <w:r>
        <w:rPr>
          <w:rFonts w:ascii="Times New Roman;serif" w:hAnsi="Times New Roman;serif"/>
          <w:b/>
          <w:sz w:val="20"/>
        </w:rPr>
        <w:t>11. Subsequent Event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Debt Financing Agreement</w:t>
      </w:r>
    </w:p>
    <w:p>
      <w:pPr>
        <w:pStyle w:val="TextBody"/>
        <w:spacing w:before="120" w:after="0"/>
        <w:jc w:val="left"/>
        <w:rPr>
          <w:rFonts w:ascii="Times New Roman" w:hAnsi="Times New Roman"/>
          <w:sz w:val="20"/>
        </w:rPr>
      </w:pPr>
      <w:r>
        <w:rPr>
          <w:rFonts w:ascii="Times New Roman;serif" w:hAnsi="Times New Roman;serif"/>
          <w:b w:val="false"/>
          <w:sz w:val="20"/>
        </w:rPr>
        <w:t>On April 29, 2023, FibroGen entered into a financing agreement (“Financing Agreement”) with investment funds managed by Morgan Stanley Tactical Value, as lenders (the “Lenders”), and Wilmington Trust, National Association, as the administrative agent (the “Administrative Agent”), providing for senior secured term loan facilities consisting of (i) a $75.0</w:t>
      </w:r>
      <w:r>
        <w:rPr>
          <w:rFonts w:ascii="Times New Roman" w:hAnsi="Times New Roman"/>
          <w:sz w:val="20"/>
        </w:rPr>
        <w:t xml:space="preserve"> </w:t>
      </w:r>
      <w:r>
        <w:rPr>
          <w:rFonts w:ascii="Times New Roman;serif" w:hAnsi="Times New Roman;serif"/>
          <w:b w:val="false"/>
          <w:sz w:val="20"/>
        </w:rPr>
        <w:t>million initial term loan (the “Initial Term Loan”), (ii) a $37.5</w:t>
      </w:r>
      <w:r>
        <w:rPr>
          <w:rFonts w:ascii="Times New Roman" w:hAnsi="Times New Roman"/>
          <w:sz w:val="20"/>
        </w:rPr>
        <w:t xml:space="preserve"> </w:t>
      </w:r>
      <w:r>
        <w:rPr>
          <w:rFonts w:ascii="Times New Roman;serif" w:hAnsi="Times New Roman;serif"/>
          <w:b w:val="false"/>
          <w:sz w:val="20"/>
        </w:rPr>
        <w:t>million delayed draw term loan that will be funded upon the achievement of certain clinical development milestones (“Delayed Draw Term Loan 1”) and, (iii) an uncommitted delayed draw term loan of up to $37.5</w:t>
      </w:r>
      <w:r>
        <w:rPr>
          <w:rFonts w:ascii="Times New Roman" w:hAnsi="Times New Roman"/>
          <w:sz w:val="20"/>
        </w:rPr>
        <w:t xml:space="preserve"> </w:t>
      </w:r>
      <w:r>
        <w:rPr>
          <w:rFonts w:ascii="Times New Roman;serif" w:hAnsi="Times New Roman;serif"/>
          <w:b w:val="false"/>
          <w:sz w:val="20"/>
        </w:rPr>
        <w:t>million to be funded at the Lenders sole discretion, (“Delayed Draw Term Loan 2” and, together with the Initial Term Loan and Delayed Draw Term Loan 1, the “Term Loans”).</w:t>
      </w:r>
    </w:p>
    <w:p>
      <w:pPr>
        <w:pStyle w:val="TextBody"/>
        <w:spacing w:before="240" w:after="0"/>
        <w:jc w:val="left"/>
        <w:rPr>
          <w:rFonts w:ascii="Times New Roman" w:hAnsi="Times New Roman"/>
          <w:sz w:val="20"/>
        </w:rPr>
      </w:pPr>
      <w:r>
        <w:rPr>
          <w:rFonts w:ascii="Times New Roman;serif" w:hAnsi="Times New Roman;serif"/>
          <w:b w:val="false"/>
          <w:sz w:val="20"/>
        </w:rPr>
        <w:t>Pursuant to the Financing Agreement, the Lenders (i) shall fund the Initial Term Loan by May 8, 2023, (ii) shall fund the Delayed Draw Term Loan 1 within 24</w:t>
      </w:r>
      <w:r>
        <w:rPr>
          <w:rFonts w:ascii="Times New Roman" w:hAnsi="Times New Roman"/>
          <w:sz w:val="20"/>
        </w:rPr>
        <w:t xml:space="preserve"> </w:t>
      </w:r>
      <w:r>
        <w:rPr>
          <w:rFonts w:ascii="Times New Roman;serif" w:hAnsi="Times New Roman;serif"/>
          <w:b w:val="false"/>
          <w:sz w:val="20"/>
        </w:rPr>
        <w:t>business days from the date of achievement of certain clinical development milestones but no later than August 31, 2023 and, (iii) at their discretion, shall provide Delayed Draw Term Loan 2 on or prior to August 31, 2023, whether or not such clinical development milestones are achieved.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Term Loans shall accrue interest at a rate of 14.0% per annum, payable monthly in arrears. The Term Loans shall mature on May 8, 2026. The Term Loans will not be subject to amortization payments. The Company is permitted to prepay the Term Loans from time to time, in whole or in part, subject to payment of a make-whole amount equal to the unpaid principal amount of the portion of the Term Loans being repaid or prepaid, plus accrued and unpaid interest of the portion of the Term Loans being repaid or prepaid, plus an amount equal to the remaining scheduled interest payments due on such portion of the Term Loans being repaid or prepaid as if such Term Loans were to remain outstanding until the scheduled maturity date.</w:t>
      </w:r>
    </w:p>
    <w:p>
      <w:pPr>
        <w:pStyle w:val="TextBody"/>
        <w:spacing w:before="240" w:after="0"/>
        <w:jc w:val="left"/>
        <w:rPr>
          <w:rFonts w:ascii="Times New Roman" w:hAnsi="Times New Roman"/>
          <w:sz w:val="20"/>
        </w:rPr>
      </w:pPr>
      <w:r>
        <w:rPr>
          <w:rFonts w:ascii="Times New Roman;serif" w:hAnsi="Times New Roman;serif"/>
          <w:b w:val="false"/>
          <w:sz w:val="20"/>
        </w:rPr>
        <w:t>During the term of the Term Loans, the Company is required to maintain a minimum balance of $30.0</w:t>
      </w:r>
      <w:r>
        <w:rPr>
          <w:rFonts w:ascii="Times New Roman" w:hAnsi="Times New Roman"/>
          <w:sz w:val="20"/>
        </w:rPr>
        <w:t xml:space="preserve"> </w:t>
      </w:r>
      <w:r>
        <w:rPr>
          <w:rFonts w:ascii="Times New Roman;serif" w:hAnsi="Times New Roman;serif"/>
          <w:b w:val="false"/>
          <w:sz w:val="20"/>
        </w:rPr>
        <w:t>million of unrestricted cash and cash equivalents held in accounts in the United States, tested monthly on each interest payment date (after netting the monthly interest payment then due).</w:t>
      </w:r>
      <w:r>
        <w:rPr>
          <w:rFonts w:ascii="Times New Roman" w:hAnsi="Times New Roman"/>
          <w:sz w:val="20"/>
        </w:rPr>
        <w:t xml:space="preserve"> </w:t>
      </w:r>
      <w:r>
        <w:rPr>
          <w:rFonts w:ascii="Times New Roman;serif" w:hAnsi="Times New Roman;serif"/>
          <w:b w:val="false"/>
          <w:sz w:val="20"/>
        </w:rPr>
        <w:t>In addition, while any portion of the Term Loans or any other obligations under the Financing Agreement remain outstanding, the Company must comply with certain customary affirmative and negative covenants set forth in the Financing Agreement and related loan documents, including, without limitation, restrictions or limitations on: incurrence of further indebtedness or liens, acquisitions and other investments, breach or material default under certain material contracts, dividends, distributions and stock buy-backs, negative pledges, sales, transfers, licenses or other disposition of assets (including core intellectual property), prepayment of other indebtedness, and transactions with affiliates, in each case, subject to thresholds and exceptions set forth in the Financing Agreement and related loan documents.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Financing Agreement provides for customary events of default triggers, including, without limitation, non-payment, breach of covenants (including the minimum cash covenant described above), material misrepresentation, cross-default to other material indebtedness of the Company or its subsidiaries (or the imposition of a material event of default fee or similar payment under a royalty monetization transaction), commencement of voluntary or involuntary bankruptcy proceedings, material judgments, change of control, invalidity of loan documents, certain ERISA events, certain regulatory events and failure to draw any portion of the Delayed Draw Term Loan 1 when funded by the Lenders. Upon an event of default, the Administrative Agent may, and at the direction of the majority Lenders shall, accelerate all outstanding obligations of the Company under the Financing Agreement and related loan documents, terminate all outstanding funding commitments and/or exercise remedies available at law or equity or under contract for secured creditors.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Term Loans and all other obligations of the Company under the Financing Agreement and related loan documents are guaranteed by each of the Company’s current and future, direct and indirect, subsidiaries, with certain exceptions (including an exclusion for any Chinese subsidiary of the Company). The Term Loans are secured by substantially all assets of the Company and the guarantors, subject to customary exceptions.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Exclusive License and Option to Acquire Fortis Therapeutics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May 5, 2023, the Company entered into an exclusive option agreement to acquire Fortis Therapeutics (“Fortis”) with its novel Phase 1 antibody-drug conjugate, FOR46, that targets a novel epitope on CD46 preferentially expressed on certain cancer cells. FOR46 is in development for the treatment of metastatic castration-resistant prostate cancer with potential applicability in other solid tumors and hematologic malignancies.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an evaluation agreement entered into with Fortis concurrent with the option agreement, FibroGen has exclusively licensed FOR46 and will control and fund future research, development, including a Phase 2 clinical study sponsored by FibroGen, and manufacturing of FOR46 during the four-year option period. As part of the clinical development strategy, FibroGen will continue the work to develop a PET-based biomarker utilizing a radiolabeled version of the targeting antibody (“PET46”) for patient selection.</w:t>
      </w:r>
    </w:p>
    <w:p>
      <w:pPr>
        <w:pStyle w:val="TextBody"/>
        <w:spacing w:before="240" w:after="0"/>
        <w:jc w:val="left"/>
        <w:rPr>
          <w:rFonts w:ascii="Times New Roman" w:hAnsi="Times New Roman"/>
          <w:sz w:val="20"/>
        </w:rPr>
      </w:pPr>
      <w:r>
        <w:rPr>
          <w:rFonts w:ascii="Times New Roman;serif" w:hAnsi="Times New Roman;serif"/>
          <w:b w:val="false"/>
          <w:sz w:val="20"/>
        </w:rPr>
        <w:t>FibroGen will pay Fortis $5.0</w:t>
      </w:r>
      <w:r>
        <w:rPr>
          <w:rFonts w:ascii="Times New Roman" w:hAnsi="Times New Roman"/>
          <w:sz w:val="20"/>
        </w:rPr>
        <w:t xml:space="preserve"> </w:t>
      </w:r>
      <w:r>
        <w:rPr>
          <w:rFonts w:ascii="Times New Roman;serif" w:hAnsi="Times New Roman;serif"/>
          <w:b w:val="false"/>
          <w:sz w:val="20"/>
        </w:rPr>
        <w:t>million during the four-year option period in support of their continued development obligations.</w:t>
      </w:r>
    </w:p>
    <w:p>
      <w:pPr>
        <w:pStyle w:val="TextBody"/>
        <w:spacing w:before="240" w:after="0"/>
        <w:jc w:val="left"/>
        <w:rPr>
          <w:rFonts w:ascii="Times New Roman" w:hAnsi="Times New Roman"/>
          <w:sz w:val="20"/>
        </w:rPr>
      </w:pPr>
      <w:r>
        <w:rPr>
          <w:rFonts w:ascii="Times New Roman;serif" w:hAnsi="Times New Roman;serif"/>
          <w:b w:val="false"/>
          <w:sz w:val="20"/>
        </w:rPr>
        <w:t>If FibroGen exercises the option to acquire Fortis, it will pay Fortis $80.0</w:t>
      </w:r>
      <w:r>
        <w:rPr>
          <w:rFonts w:ascii="Times New Roman" w:hAnsi="Times New Roman"/>
          <w:sz w:val="20"/>
        </w:rPr>
        <w:t xml:space="preserve"> </w:t>
      </w:r>
      <w:r>
        <w:rPr>
          <w:rFonts w:ascii="Times New Roman;serif" w:hAnsi="Times New Roman;serif"/>
          <w:b w:val="false"/>
          <w:sz w:val="20"/>
        </w:rPr>
        <w:t>million, and thereafter, Fortis would be eligible to receive from FibroGen up to $200.0</w:t>
      </w:r>
      <w:r>
        <w:rPr>
          <w:rFonts w:ascii="Times New Roman" w:hAnsi="Times New Roman"/>
          <w:sz w:val="20"/>
        </w:rPr>
        <w:t xml:space="preserve"> </w:t>
      </w:r>
      <w:r>
        <w:rPr>
          <w:rFonts w:ascii="Times New Roman;serif" w:hAnsi="Times New Roman;serif"/>
          <w:b w:val="false"/>
          <w:sz w:val="20"/>
        </w:rPr>
        <w:t>million in contingent payments associated with the achievement of various regulatory approvals. If FibroGen acquires Fortis, it would also be responsible to pay UCSF, an upstream licensor to Fortis, development milestone fees and a single digit royalty on net sales of therapeutic or diagnostic products arising from the collaboration. If FibroGen chooses not to acquire Fortis, its exclusive license to FOR46 would expire.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0" w:after="0"/>
        <w:jc w:val="left"/>
        <w:rPr>
          <w:rFonts w:ascii="Times New Roman;serif" w:hAnsi="Times New Roman;serif"/>
          <w:b/>
          <w:sz w:val="20"/>
        </w:rPr>
      </w:pPr>
      <w:bookmarkStart w:id="12" w:name="item_2_managements_discussion_analysis_f"/>
      <w:bookmarkEnd w:id="12"/>
      <w:r>
        <w:rPr>
          <w:rFonts w:ascii="Times New Roman;serif" w:hAnsi="Times New Roman;serif"/>
          <w:b/>
          <w:sz w:val="20"/>
        </w:rPr>
        <w:t>ITEM 2. MANAGEMENT’S DISCUSSION AND ANALYSIS OF FINANCIAL CONDITION AND RESULTS OF OPERATIONS.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2022 filed with the SEC on February 27, 2023 (“2022 Form 10-K”).</w:t>
      </w:r>
    </w:p>
    <w:p>
      <w:pPr>
        <w:pStyle w:val="TextBody"/>
        <w:spacing w:before="360" w:after="0"/>
        <w:jc w:val="left"/>
        <w:rPr>
          <w:rFonts w:ascii="Times New Roman;serif" w:hAnsi="Times New Roman;serif"/>
          <w:b/>
          <w:sz w:val="20"/>
        </w:rPr>
      </w:pPr>
      <w:r>
        <w:rPr>
          <w:rFonts w:ascii="Times New Roman;serif" w:hAnsi="Times New Roman;serif"/>
          <w:b/>
          <w:sz w:val="20"/>
        </w:rPr>
        <w:t>FORWARD-LOOKING STATEMENTS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“anticipate,” “intend,” “could,” “should,” “estimate,” or “continue,” and similar expressions or variations.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Such forward-looking and other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and other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and other statements. While we may elect to update these forward-looking and other statements at some point in the future, we have no current intention of doing so except to the extent required by applicable law. You should, therefore, not rely on these forward-looking and other statements as representing our views as of any date subsequent to the date of this Quarterly Report on Form 10-Q and are cautioned not to place undue reliance on such forward-looking statements.</w:t>
      </w:r>
    </w:p>
    <w:p>
      <w:pPr>
        <w:pStyle w:val="TextBody"/>
        <w:spacing w:before="360" w:after="0"/>
        <w:jc w:val="left"/>
        <w:rPr>
          <w:rFonts w:ascii="Times New Roman" w:hAnsi="Times New Roman"/>
          <w:sz w:val="20"/>
        </w:rPr>
      </w:pPr>
      <w:r>
        <w:rPr>
          <w:rFonts w:ascii="Times New Roman;serif" w:hAnsi="Times New Roman;serif"/>
          <w:b/>
          <w:sz w:val="20"/>
        </w:rPr>
        <w:t>BUSINESS OVERVIEW</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headquartered in San Francisco, California, with subsidiary offices in Beijing and Shanghai, People’s Republic of China (“China”). We are a leading biopharmaceutical company discovering, developing and commercializing a pipeline of first-in-class therapeutics. Our lead product candidate and product are pamrevlumab and roxadustat, respectively. We apply our pioneering expertise in hypoxia-inducible factor (“HIF”) biology, 2-oxoglutarate enzymology, and connective tissue growth factor biology to advance innovative medicines for the treatment of anemia, fibrotic disease, and cancer.</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Pamrevlumab, a human monoclonal antibody targeting connective tissue growth factor, is in Phase 3 clinical development for the treatment of idiopathic pulmonary fibrosis (“IPF”), locally advanced unresectable pancreatic cancer (“LAPC”), and Duchenne muscular dystrophy (“DMD”). To date, we have retained exclusive worldwide rights for pamrevlumab.</w:t>
      </w:r>
    </w:p>
    <w:p>
      <w:pPr>
        <w:pStyle w:val="TextBody"/>
        <w:spacing w:before="240" w:after="0"/>
        <w:jc w:val="left"/>
        <w:rPr/>
      </w:pPr>
      <w:r>
        <w:rPr>
          <w:rFonts w:ascii="Times New Roman;serif" w:hAnsi="Times New Roman;serif"/>
          <w:b w:val="false"/>
          <w:sz w:val="20"/>
        </w:rPr>
        <w:t>Roxadustat is an oral small molecule inhibitor of HIF prolyl hydroxylase (“HIF-PH”) activity. Roxadustat (</w:t>
      </w:r>
      <w:r>
        <w:rPr>
          <w:rFonts w:eastAsia="Times New Roman;serif"/>
          <w:b w:val="false"/>
          <w:sz w:val="20"/>
        </w:rPr>
        <w:t>爱瑞卓</w:t>
      </w:r>
      <w:r>
        <w:rPr>
          <w:rFonts w:ascii="Times New Roman;serif" w:hAnsi="Times New Roman;serif"/>
          <w:b w:val="false"/>
          <w:sz w:val="13"/>
        </w:rPr>
        <w:t>®</w:t>
      </w:r>
      <w:r>
        <w:rPr>
          <w:rFonts w:ascii="Times New Roman;serif" w:hAnsi="Times New Roman;serif"/>
          <w:b w:val="false"/>
          <w:sz w:val="20"/>
        </w:rPr>
        <w:t>, EVRENZO</w:t>
      </w:r>
      <w:r>
        <w:rPr>
          <w:rFonts w:ascii="Times New Roman;serif" w:hAnsi="Times New Roman;serif"/>
          <w:b w:val="false"/>
          <w:sz w:val="13"/>
        </w:rPr>
        <w:t>TM</w:t>
      </w:r>
      <w:r>
        <w:rPr>
          <w:rFonts w:ascii="Times New Roman;serif" w:hAnsi="Times New Roman;serif"/>
          <w:b w:val="false"/>
          <w:sz w:val="20"/>
        </w:rPr>
        <w:t>) is approved in China, Europe, Japan, and numerous other countries for the treatment of anemia in chronic kidney disease (“CKD”) for patients who are on dialysis and not on dialysis. Roxadustat is in clinical development for anemia of CKD, anemia associated with myelodysplastic syndromes (“MDS”), and chemotherapy-induced anemia in China.</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goal is to build a diversified pipeline with novel drugs that will address unmet patient needs in oncology, immunology, and fibrosis. We expect to file up to two INDs near year-end 2023: one for an antibody targeting CCR8 and the other for an antibody targeting Galectin-9.</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sz w:val="20"/>
        </w:rPr>
      </w:pPr>
      <w:r>
        <w:rPr>
          <w:rFonts w:ascii="Times New Roman;serif" w:hAnsi="Times New Roman;serif"/>
          <w:b/>
          <w:sz w:val="20"/>
        </w:rPr>
        <w:t>Financial Highlights</w:t>
      </w:r>
    </w:p>
    <w:p>
      <w:pPr>
        <w:pStyle w:val="TextBody"/>
        <w:spacing w:before="0" w:after="0"/>
        <w:jc w:val="left"/>
        <w:rPr/>
      </w:pPr>
      <w:r>
        <w:rPr/>
        <w:t> </w:t>
      </w:r>
    </w:p>
    <w:tbl>
      <w:tblPr>
        <w:tblW w:w="6765" w:type="dxa"/>
        <w:jc w:val="left"/>
        <w:tblInd w:w="0" w:type="dxa"/>
        <w:tblCellMar>
          <w:top w:w="28" w:type="dxa"/>
          <w:left w:w="28" w:type="dxa"/>
          <w:bottom w:w="28" w:type="dxa"/>
          <w:right w:w="28" w:type="dxa"/>
        </w:tblCellMar>
      </w:tblPr>
      <w:tblGrid>
        <w:gridCol w:w="3181"/>
        <w:gridCol w:w="146"/>
        <w:gridCol w:w="279"/>
        <w:gridCol w:w="1036"/>
        <w:gridCol w:w="219"/>
        <w:gridCol w:w="193"/>
        <w:gridCol w:w="318"/>
        <w:gridCol w:w="1182"/>
        <w:gridCol w:w="211"/>
      </w:tblGrid>
      <w:tr>
        <w:trPr/>
        <w:tc>
          <w:tcPr>
            <w:tcW w:w="3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1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22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3" w:type="dxa"/>
            <w:tcBorders/>
            <w:shd w:fill="auto" w:val="cle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227"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 except for per share data)</w:t>
            </w:r>
          </w:p>
        </w:tc>
        <w:tc>
          <w:tcPr>
            <w:tcW w:w="211" w:type="dxa"/>
            <w:tcBorders/>
            <w:shd w:fill="auto" w:val="clear"/>
            <w:vAlign w:val="center"/>
          </w:tcPr>
          <w:p>
            <w:pPr>
              <w:pStyle w:val="TableContents"/>
              <w:spacing w:before="0" w:after="0"/>
              <w:ind w:left="0" w:right="0" w:hanging="0"/>
              <w:jc w:val="center"/>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Result of Operations</w:t>
            </w:r>
          </w:p>
        </w:tc>
        <w:tc>
          <w:tcPr>
            <w:tcW w:w="146" w:type="dxa"/>
            <w:tcBorders/>
            <w:shd w:fill="auto" w:val="clear"/>
            <w:vAlign w:val="center"/>
          </w:tcPr>
          <w:p>
            <w:pPr>
              <w:pStyle w:val="TableContents"/>
              <w:spacing w:before="0" w:after="0"/>
              <w:ind w:left="0" w:right="0" w:hanging="0"/>
              <w:jc w:val="left"/>
              <w:rPr/>
            </w:pPr>
            <w:r>
              <w:rPr/>
              <w:t> </w:t>
            </w:r>
          </w:p>
        </w:tc>
        <w:tc>
          <w:tcPr>
            <w:tcW w:w="1315" w:type="dxa"/>
            <w:gridSpan w:val="2"/>
            <w:tcBorders/>
            <w:shd w:fill="auto" w:val="clear"/>
            <w:vAlign w:val="center"/>
          </w:tcPr>
          <w:p>
            <w:pPr>
              <w:pStyle w:val="TableContents"/>
              <w:spacing w:before="0" w:after="0"/>
              <w:ind w:left="0" w:right="0" w:hanging="0"/>
              <w:jc w:val="right"/>
              <w:rPr/>
            </w:pPr>
            <w:r>
              <w:rPr/>
              <w:t> </w:t>
            </w:r>
          </w:p>
        </w:tc>
        <w:tc>
          <w:tcPr>
            <w:tcW w:w="219" w:type="dxa"/>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36,161</w:t>
            </w:r>
          </w:p>
        </w:tc>
        <w:tc>
          <w:tcPr>
            <w:tcW w:w="219"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60,827</w:t>
            </w:r>
          </w:p>
        </w:tc>
        <w:tc>
          <w:tcPr>
            <w:tcW w:w="211" w:type="dxa"/>
            <w:tcBorders/>
            <w:shd w:fill="auto" w:val="cle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costs and expenses</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112,252</w:t>
            </w:r>
          </w:p>
        </w:tc>
        <w:tc>
          <w:tcPr>
            <w:tcW w:w="219"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11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123,820</w:t>
            </w:r>
          </w:p>
        </w:tc>
        <w:tc>
          <w:tcPr>
            <w:tcW w:w="211" w:type="dxa"/>
            <w:tcBorders/>
            <w:shd w:fill="auto" w:val="cle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(76,705</w:t>
            </w:r>
          </w:p>
        </w:tc>
        <w:tc>
          <w:tcPr>
            <w:tcW w:w="2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3"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11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(63,205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 basic and diluted</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(0.81</w:t>
            </w:r>
          </w:p>
        </w:tc>
        <w:tc>
          <w:tcPr>
            <w:tcW w:w="2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3"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15" w:type="dxa"/>
            <w:gridSpan w:val="2"/>
            <w:tcBorders/>
            <w:shd w:fill="auto" w:val="clear"/>
            <w:vAlign w:val="center"/>
          </w:tcPr>
          <w:p>
            <w:pPr>
              <w:pStyle w:val="TableContents"/>
              <w:spacing w:before="0" w:after="0"/>
              <w:ind w:left="0" w:right="0" w:hanging="0"/>
              <w:jc w:val="right"/>
              <w:rPr/>
            </w:pPr>
            <w:r>
              <w:rPr/>
              <w:t> </w:t>
            </w:r>
          </w:p>
        </w:tc>
        <w:tc>
          <w:tcPr>
            <w:tcW w:w="219" w:type="dxa"/>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3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227"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Sheet</w:t>
            </w:r>
          </w:p>
        </w:tc>
        <w:tc>
          <w:tcPr>
            <w:tcW w:w="146" w:type="dxa"/>
            <w:tcBorders/>
            <w:shd w:fill="auto" w:val="clear"/>
            <w:vAlign w:val="center"/>
          </w:tcPr>
          <w:p>
            <w:pPr>
              <w:pStyle w:val="TableContents"/>
              <w:spacing w:before="0" w:after="0"/>
              <w:ind w:left="0" w:right="0" w:hanging="0"/>
              <w:jc w:val="center"/>
              <w:rPr/>
            </w:pPr>
            <w:r>
              <w:rPr/>
              <w:t> </w:t>
            </w:r>
          </w:p>
        </w:tc>
        <w:tc>
          <w:tcPr>
            <w:tcW w:w="1315" w:type="dxa"/>
            <w:gridSpan w:val="2"/>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center"/>
              <w:rPr/>
            </w:pPr>
            <w:r>
              <w:rPr/>
              <w:t> </w:t>
            </w:r>
          </w:p>
        </w:tc>
        <w:tc>
          <w:tcPr>
            <w:tcW w:w="2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188,550</w:t>
            </w:r>
          </w:p>
        </w:tc>
        <w:tc>
          <w:tcPr>
            <w:tcW w:w="219"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155,700</w:t>
            </w:r>
          </w:p>
        </w:tc>
        <w:tc>
          <w:tcPr>
            <w:tcW w:w="211" w:type="dxa"/>
            <w:tcBorders/>
            <w:shd w:fill="auto" w:val="cle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and long-term investments</w:t>
            </w:r>
          </w:p>
        </w:tc>
        <w:tc>
          <w:tcPr>
            <w:tcW w:w="146" w:type="dxa"/>
            <w:tcBorders/>
            <w:shd w:fill="auto" w:val="clear"/>
            <w:vAlign w:val="center"/>
          </w:tcPr>
          <w:p>
            <w:pPr>
              <w:pStyle w:val="TableContents"/>
              <w:spacing w:before="0" w:after="0"/>
              <w:ind w:left="0" w:right="0" w:hanging="0"/>
              <w:jc w:val="center"/>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167,399</w:t>
            </w:r>
          </w:p>
        </w:tc>
        <w:tc>
          <w:tcPr>
            <w:tcW w:w="219"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11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270,656</w:t>
            </w:r>
          </w:p>
        </w:tc>
        <w:tc>
          <w:tcPr>
            <w:tcW w:w="211" w:type="dxa"/>
            <w:tcBorders/>
            <w:shd w:fill="auto" w:val="cle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center"/>
              <w:rPr/>
            </w:pPr>
            <w:r>
              <w:rPr/>
              <w:t> </w:t>
            </w:r>
          </w:p>
        </w:tc>
        <w:tc>
          <w:tcPr>
            <w:tcW w:w="2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17,654</w:t>
            </w:r>
          </w:p>
        </w:tc>
        <w:tc>
          <w:tcPr>
            <w:tcW w:w="219"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16,299</w:t>
            </w:r>
          </w:p>
        </w:tc>
        <w:tc>
          <w:tcPr>
            <w:tcW w:w="211"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Our revenue for the three months ended March 31, 2023 included the revenue recognized related to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$3.7 million of development revenue recognized under our collaboration agreements with our partners Astellas Pharma Inc. (“Astellas”) and AstraZeneca AB (“AstraZeneca”);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$24.2 million of net product revenue from roxadustat commercial sales in China;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$6.0 million total milestone payments recognized under our license agreement with Eluminex Biosciences (Suzhou) Limited (“Eluminex”), including a $3.0 million milestone payment based on Eluminex implanting a biosynthetic cornea in the first patient of its clinical trial in China, and a $3.0 million manufacturing related milestone payment;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$2.1 million of drug product revenue related to active pharmaceutical ingredient (“API”) deliveries to Astellas.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a comparison, our revenue for the three months ended March 31, 2022 included the revenue recognized related to the following:</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$25.0 million regulatory milestone payment recognized under our collaboration agreements with our partner Astellas associated with the approval of EVRENZO</w:t>
      </w:r>
      <w:r>
        <w:rPr>
          <w:rFonts w:ascii="Times New Roman;serif" w:hAnsi="Times New Roman;serif"/>
          <w:b w:val="false"/>
          <w:sz w:val="13"/>
        </w:rPr>
        <w:t>®</w:t>
      </w:r>
      <w:r>
        <w:rPr/>
        <w:t xml:space="preserve"> </w:t>
      </w:r>
      <w:r>
        <w:rPr>
          <w:rFonts w:ascii="Times New Roman;serif" w:hAnsi="Times New Roman;serif"/>
          <w:b w:val="false"/>
          <w:sz w:val="20"/>
        </w:rPr>
        <w:t xml:space="preserve">(roxadustat) in Russia. Of this amount, $22.6 million was recognized as license revenue and the remainder included as development revenue;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$11.0 million of development revenue recognized under our collaboration agreements with our partners Astellas and AstraZeneca;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$18.9 million of net product revenue from roxadustat commercial sales in China;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$7.6 million of drug product revenue related to API deliveries to Astellas.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Operating costs and expenses for the three months ended March 31, 2023 decreased compared to the same period a year ago primarily as a result of the net effect of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$13.8 million lower drug development expenses associated with drug substance and drug product manufacturing activities related to pamrevlumab which was largely completed in the prior year;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$4.7 million lower clinical trial expenses associated with Phase 3 trials for pamrevlumab and roxadustat post-approval safety studies; and</w:t>
      </w:r>
    </w:p>
    <w:p>
      <w:pPr>
        <w:pStyle w:val="TextBody"/>
        <w:spacing w:before="120" w:after="0"/>
        <w:jc w:val="left"/>
        <w:rPr/>
      </w:pPr>
      <w:r>
        <w:rPr/>
        <w:t>•</w:t>
      </w:r>
    </w:p>
    <w:p>
      <w:pPr>
        <w:pStyle w:val="TextBody"/>
        <w:spacing w:before="120" w:after="283"/>
        <w:jc w:val="left"/>
        <w:rPr/>
      </w:pPr>
      <w:r>
        <w:rPr>
          <w:rFonts w:ascii="Times New Roman;serif" w:hAnsi="Times New Roman;serif"/>
          <w:b w:val="false"/>
          <w:sz w:val="20"/>
        </w:rPr>
        <w:t>$3.7 million higher employee-related expenses primarily due to overall merit increase during the current year period.</w:t>
      </w:r>
      <w:r>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the three months ended March 31, 2023, we had a net loss of $76.7 million, or a net loss per basic and diluted share of $0.81, as compared to a net loss of $63.2 million, or a net loss per basic and diluted share of $0.68 for the same period a year ago, due to decreases in revenue, offset by decreases in operating costs and expenses as discussed above.</w:t>
      </w:r>
    </w:p>
    <w:p>
      <w:pPr>
        <w:pStyle w:val="TextBody"/>
        <w:spacing w:before="240" w:after="0"/>
        <w:jc w:val="left"/>
        <w:rPr>
          <w:rFonts w:ascii="Times New Roman" w:hAnsi="Times New Roman"/>
          <w:sz w:val="20"/>
        </w:rPr>
      </w:pPr>
      <w:r>
        <w:rPr>
          <w:rFonts w:ascii="Times New Roman;serif" w:hAnsi="Times New Roman;serif"/>
          <w:b w:val="false"/>
          <w:sz w:val="20"/>
        </w:rPr>
        <w:t xml:space="preserve">Cash and cash equivalents, investments, and accounts receivable totaled $373.6 million at March 31, 2023, a decrease of $69.1 million from December 31, 2022, primarily due to the cash used in operations, partially offset by the net proceeds received under our at-the-market program, discussed under the </w:t>
      </w:r>
      <w:r>
        <w:rPr>
          <w:rFonts w:ascii="Times New Roman;serif" w:hAnsi="Times New Roman;serif"/>
          <w:b w:val="false"/>
          <w:i/>
          <w:sz w:val="20"/>
        </w:rPr>
        <w:t>Liquidity and Capital Resources</w:t>
      </w:r>
      <w:r>
        <w:rPr>
          <w:rFonts w:ascii="Times New Roman" w:hAnsi="Times New Roman"/>
          <w:sz w:val="20"/>
        </w:rPr>
        <w:t xml:space="preserve"> </w:t>
      </w:r>
      <w:r>
        <w:rPr>
          <w:rFonts w:ascii="Times New Roman;serif" w:hAnsi="Times New Roman;serif"/>
          <w:b w:val="false"/>
          <w:sz w:val="20"/>
        </w:rPr>
        <w:t>section below.</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sz w:val="20"/>
        </w:rPr>
      </w:pPr>
      <w:r>
        <w:rPr>
          <w:rFonts w:ascii="Times New Roman;serif" w:hAnsi="Times New Roman;serif"/>
          <w:b/>
          <w:sz w:val="20"/>
        </w:rPr>
        <w:t>Commercial and Development Programs</w:t>
      </w:r>
    </w:p>
    <w:p>
      <w:pPr>
        <w:pStyle w:val="TextBody"/>
        <w:spacing w:before="120" w:after="0"/>
        <w:jc w:val="left"/>
        <w:rPr>
          <w:rFonts w:ascii="Times New Roman" w:hAnsi="Times New Roman"/>
          <w:sz w:val="20"/>
        </w:rPr>
      </w:pPr>
      <w:r>
        <w:rPr>
          <w:rFonts w:ascii="Times New Roman;serif" w:hAnsi="Times New Roman;serif"/>
          <w:b w:val="false"/>
          <w:sz w:val="20"/>
        </w:rPr>
        <w:t>We are well positioned over the next year to report topline results from six pivotal clinical studies with two different drug candidates: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 xml:space="preserve">Pamrevlumab - </w:t>
      </w:r>
      <w:r>
        <w:rPr>
          <w:rFonts w:ascii="Times New Roman;serif" w:hAnsi="Times New Roman;serif"/>
          <w:b w:val="false"/>
          <w:sz w:val="20"/>
        </w:rPr>
        <w:t>our first-in-class antibody developed to inhibit the activity of connective tissue growth factor, a common factor in fibrotic and fibro-proliferative disorders characterized by persistent and excessive scarring that can lead to organ dysfunction and failure. Our upcoming clinical trial results for pamrevlumab are: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LELANTOS-1, a Phase 3 study in non-ambulatory DMD - topline data expected in the second quarter of 2023;</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ZEPHYRUS-1, a Phase 3 study in IPF – topline data expected in mid-2023;</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LELANTOS-2, a Phase 3 study in ambulatory DMD – topline data expected in the third quarter of 2023;</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LAPIS, a Phase 3 study in LAPC – topline data expected in in the first half of 2024;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ZEPHYRUS-2, a second Phase 3 study in IPF – topline data expected in mid-2024.</w:t>
      </w:r>
    </w:p>
    <w:p>
      <w:pPr>
        <w:pStyle w:val="TextBody"/>
        <w:spacing w:before="240" w:after="0"/>
        <w:jc w:val="left"/>
        <w:rPr>
          <w:rFonts w:ascii="Times New Roman" w:hAnsi="Times New Roman"/>
          <w:sz w:val="20"/>
        </w:rPr>
      </w:pPr>
      <w:r>
        <w:rPr>
          <w:rFonts w:ascii="Times New Roman;serif" w:hAnsi="Times New Roman;serif"/>
          <w:b/>
          <w:i/>
          <w:sz w:val="20"/>
        </w:rPr>
        <w:t xml:space="preserve">Roxadustat - </w:t>
      </w:r>
      <w:r>
        <w:rPr>
          <w:rFonts w:ascii="Times New Roman;serif" w:hAnsi="Times New Roman;serif"/>
          <w:b w:val="false"/>
          <w:sz w:val="20"/>
        </w:rPr>
        <w:t>our commercial-stage product, an oral small molecule inhibitor of HIF-PH activity that acts by stimulating the body’s natural pathway of erythropoiesis, or red blood cell production. Our upcoming clinical trial results for roxadustat are:</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Phase 3 study in China in chemotherapy-induced anemia – topline data expected in the second quarter of 2023.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is an overview of our clinical and commercial programs.</w:t>
      </w:r>
    </w:p>
    <w:p>
      <w:pPr>
        <w:pStyle w:val="TextBody"/>
        <w:spacing w:before="360" w:after="0"/>
        <w:jc w:val="left"/>
        <w:rPr>
          <w:rFonts w:ascii="Times New Roman;serif" w:hAnsi="Times New Roman;serif"/>
          <w:b/>
          <w:i/>
          <w:sz w:val="20"/>
        </w:rPr>
      </w:pPr>
      <w:r>
        <w:rPr>
          <w:rFonts w:ascii="Times New Roman;serif" w:hAnsi="Times New Roman;serif"/>
          <w:b/>
          <w:i/>
          <w:sz w:val="20"/>
        </w:rPr>
        <w:t>Pamrevlumab: Monoclonal Antibody Targeting Connective Tissue Growth Factor</w:t>
      </w:r>
    </w:p>
    <w:p>
      <w:pPr>
        <w:pStyle w:val="TextBody"/>
        <w:spacing w:before="120" w:after="0"/>
        <w:jc w:val="left"/>
        <w:rPr>
          <w:rFonts w:ascii="Times New Roman" w:hAnsi="Times New Roman"/>
          <w:sz w:val="20"/>
        </w:rPr>
      </w:pPr>
      <w:r>
        <w:rPr>
          <w:rFonts w:ascii="Times New Roman;serif" w:hAnsi="Times New Roman;serif"/>
          <w:b w:val="false"/>
          <w:sz w:val="20"/>
        </w:rPr>
        <w:t>The United States (“U.S.”) Food and Drug Administration (“FDA”) has granted Fast Track and Orphan Drug designations to pamrevlumab for the treatment of IPF, LAPC, and DMD (with DMD also receiving Rare Pediatric Disease designation).</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Pamrevlumab for the Treatment of Idiopathic Pulmonary Fibrosis</w:t>
      </w:r>
    </w:p>
    <w:p>
      <w:pPr>
        <w:pStyle w:val="TextBody"/>
        <w:spacing w:before="120" w:after="0"/>
        <w:jc w:val="left"/>
        <w:rPr>
          <w:rFonts w:ascii="Times New Roman" w:hAnsi="Times New Roman"/>
          <w:sz w:val="20"/>
        </w:rPr>
      </w:pPr>
      <w:r>
        <w:rPr>
          <w:rFonts w:ascii="Times New Roman;serif" w:hAnsi="Times New Roman;serif"/>
          <w:b w:val="false"/>
          <w:sz w:val="20"/>
        </w:rPr>
        <w:t>We have now completed enrollment of both of our two Phase 3 trials of pamrevlumab in IPF patients, ZEPHYRUS-1 and ZEPHYRUS-2.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Similar to our completed Phase 2 randomized trial in 101 IPF patients (PRAISE), both of our Phase 3 ZEPHYRUS studies are double-blind, placebo-controlled trials with a primary efficacy endpoint of change in forced vital capacity (“FVC”) at 48 weeks. FVC is a lung function test measuring the volume of air exhaled by a patient.</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Secondary efficacy endpoints for each study include disease progression (defined by a decline in FVC percent predicted of greater than or equal to 10% or death), acute IPF exacerbation, and quantitative changes in lung fibrosis volume from baseline.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ZEPHYRUS-1 is our first Phase 3 trial of pamrevlumab in 356 IPF patients and we expect topline data from ZEPHYRUS-1 in mid-2023.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ZEPHYRUS-2 is our second Phase 3 trial of pamrevlumab in 372 IPF patients and we expect topline data from ZEPHYRUS-2 in mid-2024.</w:t>
      </w:r>
    </w:p>
    <w:p>
      <w:pPr>
        <w:pStyle w:val="TextBody"/>
        <w:spacing w:before="360" w:after="0"/>
        <w:jc w:val="left"/>
        <w:rPr>
          <w:rFonts w:ascii="Times New Roman;serif" w:hAnsi="Times New Roman;serif"/>
          <w:b/>
          <w:i/>
          <w:sz w:val="20"/>
        </w:rPr>
      </w:pPr>
      <w:r>
        <w:rPr>
          <w:rFonts w:ascii="Times New Roman;serif" w:hAnsi="Times New Roman;serif"/>
          <w:b/>
          <w:i/>
          <w:sz w:val="20"/>
        </w:rPr>
        <w:t>Pamrevlumab for the Treatment of Locally Advanced Unresectable Pancreatic Cancer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LAPIS is our double-blind placebo-controlled Phase 3 clinical program for pamrevlumab as a therapy for LAPC. We completed enrollment of 284 patients that are randomized at a 1:1 ratio to receive either pamrevlumab or placebo, in each case in combination with chemotherapy (either FOLFIRINOX or gemcitabine plus nab-paclitaxel). We expect topline data for the primary endpoint of overall survival in the first half of 2024.</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i/>
          <w:sz w:val="20"/>
        </w:rPr>
      </w:pPr>
      <w:r>
        <w:rPr>
          <w:rFonts w:ascii="Times New Roman;serif" w:hAnsi="Times New Roman;serif"/>
          <w:b/>
          <w:i/>
          <w:sz w:val="20"/>
        </w:rPr>
        <w:t>Pamrevlumab for the Treatment of Metastatic Pancreatic Cancer</w:t>
      </w:r>
    </w:p>
    <w:p>
      <w:pPr>
        <w:pStyle w:val="TextBody"/>
        <w:spacing w:before="120" w:after="0"/>
        <w:jc w:val="left"/>
        <w:rPr>
          <w:rFonts w:ascii="Times New Roman" w:hAnsi="Times New Roman"/>
          <w:sz w:val="20"/>
        </w:rPr>
      </w:pPr>
      <w:r>
        <w:rPr>
          <w:rFonts w:ascii="Times New Roman;serif" w:hAnsi="Times New Roman;serif"/>
          <w:b w:val="false"/>
          <w:sz w:val="20"/>
        </w:rPr>
        <w:t>In June 2021, the Pancreatic Cancer Action Network’s (PanCAN) Precision Promise</w:t>
      </w:r>
      <w:r>
        <w:rPr>
          <w:rFonts w:ascii="Times New Roman;serif" w:hAnsi="Times New Roman;serif"/>
          <w:b w:val="false"/>
          <w:sz w:val="13"/>
        </w:rPr>
        <w:t>SM</w:t>
      </w:r>
      <w:r>
        <w:rPr>
          <w:rFonts w:ascii="Times New Roman" w:hAnsi="Times New Roman"/>
          <w:sz w:val="20"/>
        </w:rPr>
        <w:t xml:space="preserve"> </w:t>
      </w:r>
      <w:r>
        <w:rPr>
          <w:rFonts w:ascii="Times New Roman;serif" w:hAnsi="Times New Roman;serif"/>
          <w:b w:val="false"/>
          <w:sz w:val="20"/>
        </w:rPr>
        <w:t>adaptive trial platform included pamrevlumab in combination with standard of care chemotherapy treatments for pancreatic cancer (gemcitabine and Abraxane</w:t>
      </w:r>
      <w:r>
        <w:rPr>
          <w:rFonts w:ascii="Times New Roman;serif" w:hAnsi="Times New Roman;serif"/>
          <w:b w:val="false"/>
          <w:sz w:val="13"/>
        </w:rPr>
        <w:t>®</w:t>
      </w:r>
      <w:r>
        <w:rPr>
          <w:rFonts w:ascii="Times New Roman;serif" w:hAnsi="Times New Roman;serif"/>
          <w:b w:val="false"/>
          <w:sz w:val="20"/>
        </w:rPr>
        <w:t>), in its study for patients with metastatic pancreatic cancer. The pamrevlumab portion of the trial is still ongoing. Drug candidates in the Precision Promise study will continue to progress (including from Phase 2 to Phase 3) unless stopped sooner for safety or futility. The pamrevlumab combination therapy is offered to patients as either a first- or second-line treatment option. Pamrevlumab was the first experimental treatment arm to be offered as a first-line treatment in PanCAN’s innovative Precision Promise trial. The objective of Precision Promise is to expedite the study and approval of promising therapies for pancreatic cancer by bringing multiple stakeholders together, including academic, industry and regulatory entities.</w:t>
      </w:r>
    </w:p>
    <w:p>
      <w:pPr>
        <w:pStyle w:val="TextBody"/>
        <w:spacing w:before="360" w:after="0"/>
        <w:jc w:val="left"/>
        <w:rPr>
          <w:rFonts w:ascii="Times New Roman;serif" w:hAnsi="Times New Roman;serif"/>
          <w:b/>
          <w:i/>
          <w:sz w:val="20"/>
        </w:rPr>
      </w:pPr>
      <w:r>
        <w:rPr>
          <w:rFonts w:ascii="Times New Roman;serif" w:hAnsi="Times New Roman;serif"/>
          <w:b/>
          <w:i/>
          <w:sz w:val="20"/>
        </w:rPr>
        <w:t>Pamrevlumab for the Treatment of Duchenne Muscular Dystrophy</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Non-Ambulatory DMD Patients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LELANTOS-1 is our double-blind, placebo-controlled Phase 3 clinical trial evaluating pamrevlumab as a treatment for DMD, in combination with systemic corticosteroids. LELANTOS-1 completed enrollment of 99 non-ambulatory DMD patients randomized at a 1:1 ratio to pamrevlumab or placebo for a treatment period of 52 weeks. The primary endpoint will assess change in upper limb function from baseline to Week 52 and additional endpoints will include pulmonary, cardiac, performance, and fibrosis assessments. We expect topline data from this study in the second quarter of 2023.</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Ambulatory DMD Patients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LELANTOS-2 is our double-blind, placebo-controlled Phase 3 trial evaluating pamrevlumab in DMD, in combination with systemic corticosteroids. LELANTOS-2 completed enrollment of 73 ambulatory patients aged 6-12, randomized at a 1:1 ratio to pamrevlumab or placebo for a treatment period of 52 weeks. The primary efficacy endpoint will assess ambulatory function, measured by the change in North Star Ambulatory Assessment from baseline to Week 52. We expect topline data from this study in the [third] quarter of 2023.</w:t>
      </w:r>
    </w:p>
    <w:p>
      <w:pPr>
        <w:pStyle w:val="TextBody"/>
        <w:spacing w:before="360" w:after="0"/>
        <w:jc w:val="left"/>
        <w:rPr>
          <w:rFonts w:ascii="Times New Roman;serif" w:hAnsi="Times New Roman;serif"/>
          <w:b/>
          <w:i/>
          <w:sz w:val="20"/>
        </w:rPr>
      </w:pPr>
      <w:r>
        <w:rPr>
          <w:rFonts w:ascii="Times New Roman;serif" w:hAnsi="Times New Roman;serif"/>
          <w:b/>
          <w:i/>
          <w:sz w:val="20"/>
        </w:rPr>
        <w:t>Roxadustat for the Treatment of Anemia in Chronic Kidney Disease</w:t>
      </w:r>
    </w:p>
    <w:p>
      <w:pPr>
        <w:pStyle w:val="TextBody"/>
        <w:spacing w:before="120" w:after="0"/>
        <w:jc w:val="left"/>
        <w:rPr>
          <w:rFonts w:ascii="Times New Roman" w:hAnsi="Times New Roman"/>
          <w:sz w:val="20"/>
        </w:rPr>
      </w:pPr>
      <w:r>
        <w:rPr>
          <w:rFonts w:ascii="Times New Roman;serif" w:hAnsi="Times New Roman;serif"/>
          <w:b w:val="false"/>
          <w:sz w:val="20"/>
        </w:rPr>
        <w:t>Roxadustat is our commercial-stage product, an oral small molecule inhibitor of HIF-PH activity that acts by stimulating the body’s natural pathway of erythropoiesis, or red blood cell production.</w:t>
      </w:r>
      <w:r>
        <w:rPr>
          <w:rFonts w:ascii="Times New Roman" w:hAnsi="Times New Roman"/>
          <w:sz w:val="20"/>
        </w:rPr>
        <w:t xml:space="preserve"> </w:t>
      </w:r>
    </w:p>
    <w:p>
      <w:pPr>
        <w:pStyle w:val="TextBody"/>
        <w:spacing w:before="240" w:after="0"/>
        <w:jc w:val="left"/>
        <w:rPr/>
      </w:pPr>
      <w:r>
        <w:rPr>
          <w:rFonts w:ascii="Times New Roman;serif" w:hAnsi="Times New Roman;serif"/>
          <w:b w:val="false"/>
          <w:sz w:val="20"/>
        </w:rPr>
        <w:t>Roxadustat (</w:t>
      </w:r>
      <w:r>
        <w:rPr>
          <w:rFonts w:eastAsia="Times New Roman;serif"/>
          <w:b w:val="false"/>
          <w:sz w:val="20"/>
        </w:rPr>
        <w:t>爱瑞卓</w:t>
      </w:r>
      <w:r>
        <w:rPr>
          <w:rFonts w:ascii="Times New Roman;serif" w:hAnsi="Times New Roman;serif"/>
          <w:b w:val="false"/>
          <w:sz w:val="13"/>
        </w:rPr>
        <w:t>®️</w:t>
      </w:r>
      <w:r>
        <w:rPr>
          <w:rFonts w:ascii="Times New Roman;serif" w:hAnsi="Times New Roman;serif"/>
          <w:b w:val="false"/>
          <w:sz w:val="20"/>
        </w:rPr>
        <w:t>, EVRENZO</w:t>
      </w:r>
      <w:r>
        <w:rPr>
          <w:rFonts w:ascii="Times New Roman;serif" w:hAnsi="Times New Roman;serif"/>
          <w:b w:val="false"/>
          <w:sz w:val="13"/>
        </w:rPr>
        <w:t>TM</w:t>
      </w:r>
      <w:r>
        <w:rPr>
          <w:rFonts w:ascii="Times New Roman;serif" w:hAnsi="Times New Roman;serif"/>
          <w:b w:val="false"/>
          <w:sz w:val="20"/>
        </w:rPr>
        <w:t>) is approved in China, Europe, Japan, and numerous other countries for the treatment of anemia in CKD for patients who are on dialysis and not on dialysis.</w:t>
      </w:r>
    </w:p>
    <w:p>
      <w:pPr>
        <w:pStyle w:val="TextBody"/>
        <w:spacing w:before="240" w:after="0"/>
        <w:jc w:val="left"/>
        <w:rPr/>
      </w:pPr>
      <w:r>
        <w:rPr>
          <w:rFonts w:ascii="Times New Roman;serif" w:hAnsi="Times New Roman;serif"/>
          <w:b w:val="false"/>
          <w:sz w:val="20"/>
        </w:rPr>
        <w:t xml:space="preserve">In China, roxadustat (tradename: </w:t>
      </w:r>
      <w:r>
        <w:rPr>
          <w:rFonts w:eastAsia="Times New Roman;serif"/>
          <w:b w:val="false"/>
          <w:sz w:val="20"/>
        </w:rPr>
        <w:t>爱瑞卓</w:t>
      </w:r>
      <w:r>
        <w:rPr>
          <w:rFonts w:ascii="Times New Roman;serif" w:hAnsi="Times New Roman;serif"/>
          <w:b w:val="false"/>
          <w:sz w:val="13"/>
        </w:rPr>
        <w:t>®</w:t>
      </w:r>
      <w:r>
        <w:rPr>
          <w:rFonts w:ascii="Times New Roman;serif" w:hAnsi="Times New Roman;serif"/>
          <w:b w:val="false"/>
          <w:sz w:val="20"/>
        </w:rPr>
        <w:t>) continues to see significant volume growth in the treatment of anemia caused by CKD in non-dialysis and dialysis patients. In the first quarter of 2023, roxadustat achieved an over 50% increase in sales volume relative to the first quarter of 2022. As of February 2023, roxadustat was the top CKD anemia brand in China with approximately 35% value share within the segment of erythropoiesis stimulating agents and HIF-PH inhibitors (roxadustat is the only HIF-PH inhibitor on the market in China).</w:t>
      </w:r>
    </w:p>
    <w:p>
      <w:pPr>
        <w:pStyle w:val="TextBody"/>
        <w:spacing w:before="360" w:after="0"/>
        <w:jc w:val="left"/>
        <w:rPr>
          <w:rFonts w:ascii="Times New Roman;serif" w:hAnsi="Times New Roman;serif"/>
          <w:b/>
          <w:i/>
          <w:sz w:val="20"/>
        </w:rPr>
      </w:pPr>
      <w:r>
        <w:rPr>
          <w:rFonts w:ascii="Times New Roman;serif" w:hAnsi="Times New Roman;serif"/>
          <w:b/>
          <w:i/>
          <w:sz w:val="20"/>
        </w:rPr>
        <w:t>Roxadustat for the Treatment of Anemia in Myelodysplastic Syndromes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recently reported topline data from the 140 patient Phase 3 arm of MATTERHORN, our Phase 2/3 placebo-controlled, double-blind clinical trial of roxadustat for the treatment of anemia in MDS. MATTERHORN did not meet its primary efficacy endpoint. The proportion of patients who achieved red blood cell transfusion independence in the first 28 weeks was 47.5% for the roxadustat arm compared to 33.3% for the placebo arm (p=0.217). The adverse event profile of roxadustat that was observed in the preliminary safety analysis was generally consistent with previous findings. Safety will be further evaluated at study completion.</w:t>
      </w:r>
    </w:p>
    <w:p>
      <w:pPr>
        <w:pStyle w:val="TextBody"/>
        <w:spacing w:before="360" w:after="0"/>
        <w:jc w:val="left"/>
        <w:rPr>
          <w:rFonts w:ascii="Times New Roman;serif" w:hAnsi="Times New Roman;serif"/>
          <w:b/>
          <w:i/>
          <w:sz w:val="20"/>
        </w:rPr>
      </w:pPr>
      <w:r>
        <w:rPr>
          <w:rFonts w:ascii="Times New Roman;serif" w:hAnsi="Times New Roman;serif"/>
          <w:b/>
          <w:i/>
          <w:sz w:val="20"/>
        </w:rPr>
        <w:t>Roxadustat for the Treatment of Chemotherapy-Induced Anemia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completed enrollment of our active-controlled Phase 3 clinical trial in China of roxadustat in chemotherapy-induced anemia for non-myeloid malignancies. The primary efficacy endpoint is the mean change in hemoglobin level from baseline to the level averaged over Weeks 9-13. This trial has enrolled 159 subjects and we expect topline data from this study in the second quarter of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sz w:val="20"/>
        </w:rPr>
      </w:pPr>
      <w:r>
        <w:rPr>
          <w:rFonts w:ascii="Times New Roman;serif" w:hAnsi="Times New Roman;serif"/>
          <w:b/>
          <w:sz w:val="20"/>
        </w:rPr>
        <w:t>Debt Financing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April 29, 2023, we entered into a financing agreement (the “Financing Agreement”) with investment funds managed by Morgan Stanley Tactical Value, as lenders, and Wilmington Trust, National Association, as the administrative agent, providing for senior secured term loan facilities consisting of (i) a $75.0 million initial term loan, (ii) a $37.5 million delayed draw term loan that will be funded upon the achievement of certain clinical development milestones, and (iii) an uncommitted delayed draw term loan of up to $37.5 million, to be funded at the Lenders sole discretion.</w:t>
      </w:r>
    </w:p>
    <w:p>
      <w:pPr>
        <w:pStyle w:val="TextBody"/>
        <w:spacing w:before="240" w:after="0"/>
        <w:jc w:val="left"/>
        <w:rPr>
          <w:rFonts w:ascii="Times New Roman" w:hAnsi="Times New Roman"/>
          <w:sz w:val="20"/>
        </w:rPr>
      </w:pPr>
      <w:r>
        <w:rPr>
          <w:rFonts w:ascii="Times New Roman;serif" w:hAnsi="Times New Roman;serif"/>
          <w:b w:val="false"/>
          <w:sz w:val="20"/>
        </w:rPr>
        <w:t xml:space="preserve">For additional details about this financing transaction, see Note 11, </w:t>
      </w:r>
      <w:r>
        <w:rPr>
          <w:rFonts w:ascii="Times New Roman;serif" w:hAnsi="Times New Roman;serif"/>
          <w:b w:val="false"/>
          <w:i/>
          <w:sz w:val="20"/>
        </w:rPr>
        <w:t>Subsequent Event</w:t>
      </w:r>
      <w:r>
        <w:rPr>
          <w:rFonts w:ascii="Times New Roman;serif" w:hAnsi="Times New Roman;serif"/>
          <w:b w:val="false"/>
          <w:sz w:val="20"/>
        </w:rPr>
        <w:t>, to the condensed consolidated financial statements.</w:t>
      </w:r>
    </w:p>
    <w:p>
      <w:pPr>
        <w:pStyle w:val="TextBody"/>
        <w:spacing w:before="360" w:after="0"/>
        <w:jc w:val="left"/>
        <w:rPr>
          <w:rFonts w:ascii="Times New Roman;serif" w:hAnsi="Times New Roman;serif"/>
          <w:b/>
          <w:sz w:val="20"/>
        </w:rPr>
      </w:pPr>
      <w:r>
        <w:rPr>
          <w:rFonts w:ascii="Times New Roman;serif" w:hAnsi="Times New Roman;serif"/>
          <w:b/>
          <w:sz w:val="20"/>
        </w:rPr>
        <w:t>Exclusive License and Option to Acquire Fortis Therapeutics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May 5, 2023, we entered into an exclusive option agreement to acquire Fortis Therapeutics (“Fortis”) with its novel Phase 1 antibody-drug conjugate, FOR46, that targets a novel epitope on CD46 preferentially expressed on certain cancer cells. FOR46 is in development for the treatment of metastatic castration-resistant prostate cancer with potential applicability in other solid tumors and hematologic malignancies.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an evaluation agreement entered into with Fortis concurrent with the option agreement, FibroGen has exclusively licensed FOR46 and will control and fund future research, development, including a Phase 2 clinical study sponsored by FibroGen, and manufacturing of FOR46 during the option period. As part of the clinical development strategy, we will continue the work to develop a PET-based biomarker utilizing a radiolabeled version of the targeting antibody (“PET46”) for patient selection.</w:t>
      </w:r>
    </w:p>
    <w:p>
      <w:pPr>
        <w:pStyle w:val="TextBody"/>
        <w:spacing w:before="240" w:after="0"/>
        <w:jc w:val="left"/>
        <w:rPr>
          <w:rFonts w:ascii="Times New Roman" w:hAnsi="Times New Roman"/>
          <w:sz w:val="20"/>
        </w:rPr>
      </w:pPr>
      <w:r>
        <w:rPr>
          <w:rFonts w:ascii="Times New Roman;serif" w:hAnsi="Times New Roman;serif"/>
          <w:b w:val="false"/>
          <w:sz w:val="20"/>
        </w:rPr>
        <w:t>FibroGen will pay Fortis $5.0 million during the four-year option period in support of their continued development obligations.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If we exercise the option to acquire Fortis, we will pay Fortis $80.0 million, and thereafter, Fortis would be eligible to receive from FibroGen up to $200.0 million in contingent payments associated with the achievement of various regulatory approvals. If we acquire Fortis, we would also be responsible to pay UCSF, an upstream licensor to Fortis, development milestone fees and a single digit royalty on net sales of therapeutic or diagnostic products arising from the collaboration. If FibroGen chooses not to acquire Fortis, its exclusive license to FOR46 would expire.</w:t>
      </w:r>
    </w:p>
    <w:p>
      <w:pPr>
        <w:pStyle w:val="TextBody"/>
        <w:spacing w:before="360" w:after="0"/>
        <w:jc w:val="left"/>
        <w:rPr>
          <w:rFonts w:ascii="Times New Roman;serif" w:hAnsi="Times New Roman;serif"/>
          <w:b/>
          <w:sz w:val="20"/>
        </w:rPr>
      </w:pPr>
      <w:r>
        <w:rPr>
          <w:rFonts w:ascii="Times New Roman;serif" w:hAnsi="Times New Roman;serif"/>
          <w:b/>
          <w:sz w:val="20"/>
        </w:rPr>
        <w:t>Eluminex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July 2021, we exclusively licensed to Eluminex Biosciences (Suzhou) Limited (“Eluminex”) global rights to its investigational biosynthetic cornea derived from recombinant human collagen Type III. In April 2023, FibroGen and Eluminex entered into an Amended and Restated Exclusive License Agreement in order to add to the license rights to recombinant human collagen Type I.</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During the three months ended March 31, 2023, we recognized a $3.0 million milestone payment based on Eluminex implanting a biosynthetic cornea in the first patient of its clinical trial in China, and a $3.0 million manufacturing related milestone payment.</w:t>
      </w:r>
    </w:p>
    <w:p>
      <w:pPr>
        <w:pStyle w:val="TextBody"/>
        <w:spacing w:before="360" w:after="0"/>
        <w:jc w:val="left"/>
        <w:rPr>
          <w:rFonts w:ascii="Times New Roman" w:hAnsi="Times New Roman"/>
          <w:sz w:val="20"/>
        </w:rPr>
      </w:pPr>
      <w:r>
        <w:rPr>
          <w:rFonts w:ascii="Times New Roman;serif" w:hAnsi="Times New Roman;serif"/>
          <w:b w:val="false"/>
          <w:sz w:val="20"/>
        </w:rPr>
        <w:br/>
      </w:r>
      <w:r>
        <w:rPr>
          <w:rFonts w:ascii="Times New Roman;serif" w:hAnsi="Times New Roman;serif"/>
          <w:b/>
          <w:sz w:val="20"/>
        </w:rPr>
        <w:t>Collaboration Partnerships for Roxadustat</w:t>
      </w:r>
    </w:p>
    <w:p>
      <w:pPr>
        <w:pStyle w:val="TextBody"/>
        <w:spacing w:before="120" w:after="0"/>
        <w:jc w:val="left"/>
        <w:rPr>
          <w:rFonts w:ascii="Times New Roman" w:hAnsi="Times New Roman"/>
          <w:sz w:val="20"/>
        </w:rPr>
      </w:pPr>
      <w:r>
        <w:rPr>
          <w:rFonts w:ascii="Times New Roman;serif" w:hAnsi="Times New Roman;serif"/>
          <w:b w:val="false"/>
          <w:sz w:val="20"/>
        </w:rPr>
        <w:t xml:space="preserve">Our current and future research, development, manufacturing and commercialization efforts with respect to roxadustat depend on funds from our collaboration agreements with Astellas and AstraZeneca. See Note 2, </w:t>
      </w:r>
      <w:r>
        <w:rPr>
          <w:rFonts w:ascii="Times New Roman;serif" w:hAnsi="Times New Roman;serif"/>
          <w:b w:val="false"/>
          <w:i/>
          <w:sz w:val="20"/>
        </w:rPr>
        <w:t>Collaboration Agreements, License Agreement and Revenues</w:t>
      </w:r>
      <w:r>
        <w:rPr>
          <w:rFonts w:ascii="Times New Roman;serif" w:hAnsi="Times New Roman;serif"/>
          <w:b w:val="false"/>
          <w:sz w:val="20"/>
        </w:rPr>
        <w:t>, to the condensed consolidated financial statements for details.</w:t>
      </w:r>
    </w:p>
    <w:p>
      <w:pPr>
        <w:pStyle w:val="TextBody"/>
        <w:spacing w:before="360" w:after="0"/>
        <w:jc w:val="left"/>
        <w:rPr>
          <w:rFonts w:ascii="Times New Roman;serif" w:hAnsi="Times New Roman;serif"/>
          <w:b/>
          <w:sz w:val="20"/>
          <w:u w:val="single"/>
        </w:rPr>
      </w:pPr>
      <w:r>
        <w:rPr>
          <w:rFonts w:ascii="Times New Roman;serif" w:hAnsi="Times New Roman;serif"/>
          <w:b/>
          <w:sz w:val="20"/>
          <w:u w:val="single"/>
        </w:rPr>
        <w:t>Astellas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June 2005, we entered into a collaboration agreement with Astellas for the development and commercialization (but not manufacture) of roxadustat for the treatment of anemia in Japan (“Astellas Japan Agreement”). In April 2006, we entered into a separate collaboration agreement with Astellas for roxadustat for the treatment of anemia in Europe, the Commonwealth of Independent States, the Middle East, and South Africa (“Astellas Europe Agreement”). Under these agreements, the aggregate amount of consideration received through March 31, 2023 totaled $790.1 million.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 w:hAnsi="Times New Roman"/>
          <w:sz w:val="20"/>
        </w:rPr>
      </w:pPr>
      <w:r>
        <w:rPr>
          <w:rFonts w:ascii="Times New Roman;serif" w:hAnsi="Times New Roman;serif"/>
          <w:b w:val="false"/>
          <w:sz w:val="20"/>
        </w:rPr>
        <w:t>On March 21, 2022, EVRENZO</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(roxadustat) was registered with the Russian Ministry of Health. We evaluated the regulatory milestone payment associated with the approval in Russia under the Astellas Europe Agreement and concluded that this milestone was achieved in the first quarter of 2022. Accordingly, the consideration of $25.0 million associated with this milestone was included in the transaction price and allocated to performance obligations under the Astellas Europe Agreement, all of which was recognized as revenue during the first quarter of 2022 from performance obligations satisfied.</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2018, we and Astellas entered into an amendment to the Astellas Japan Agreement that allows Astellas to manufacture roxadustat drug product for commercialization in Japan (the “Astellas Japan Amendment”). The related drug product revenue was $1.7 million and $7.6 million for three months ended March 31, 2023 and 2022, respectively.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During the first quarter of 2021, we entered into an EU Supply Agreement with Astellas under the Astellas Europe Agreement to define general forecast, order, supply and payment terms for Astellas to purchase roxadustat bulk drug product from FibroGen in support of commercial supplies (the “Astellas EU Supply Agreement”). The related drug product revenue was $0.4 million for the three months ended March 31, 2023. There was no related drug product revenue for the three months ended March 31, 2022.</w:t>
      </w:r>
    </w:p>
    <w:p>
      <w:pPr>
        <w:pStyle w:val="TextBody"/>
        <w:spacing w:before="360" w:after="0"/>
        <w:jc w:val="left"/>
        <w:rPr>
          <w:rFonts w:ascii="Times New Roman;serif" w:hAnsi="Times New Roman;serif"/>
          <w:b/>
          <w:sz w:val="20"/>
          <w:u w:val="single"/>
        </w:rPr>
      </w:pPr>
      <w:r>
        <w:rPr>
          <w:rFonts w:ascii="Times New Roman;serif" w:hAnsi="Times New Roman;serif"/>
          <w:b/>
          <w:sz w:val="20"/>
          <w:u w:val="single"/>
        </w:rPr>
        <w:t>AstraZeneca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July 2013, we entered into a collaboration agreement with AstraZeneca for roxadustat for the treatment of anemia in the U.S. and all territories not previously licensed to Astellas, except China (the “AstraZeneca U.S./RoW Agreement”). In July 2013, through our China subsidiary and related affiliates, we entered into a collaboration agreement with AstraZeneca for roxadustat for the treatment of anemia in China (the “AstraZeneca China Agreement”). Under the AstraZeneca agreements, the aggregate amount of consideration received through March 31, 2023 totaled $516.2 million.</w:t>
      </w:r>
    </w:p>
    <w:p>
      <w:pPr>
        <w:pStyle w:val="TextBody"/>
        <w:spacing w:before="240" w:after="0"/>
        <w:jc w:val="left"/>
        <w:rPr>
          <w:rFonts w:ascii="Times New Roman" w:hAnsi="Times New Roman"/>
          <w:sz w:val="20"/>
        </w:rPr>
      </w:pPr>
      <w:r>
        <w:rPr>
          <w:rFonts w:ascii="Times New Roman;serif" w:hAnsi="Times New Roman;serif"/>
          <w:b w:val="false"/>
          <w:sz w:val="20"/>
        </w:rPr>
        <w:t xml:space="preserve">Under the AstraZeneca China Agreement, which is conducted through FibroGen China Anemia Holdings, Ltd., FibroGen (China) Medical Technology Development Co., Ltd. (“FibroGen Beijing”), and FibroGen International (Hong Kong) Limited (collectively, (“FibroGen China”), the commercial collaboration was structured as a 50/50 profit share, which was amended by the AstraZeneca China Amendment in the third quarter of 2020, as discussed and defined below in </w:t>
      </w:r>
      <w:r>
        <w:rPr>
          <w:rFonts w:ascii="Times New Roman;serif" w:hAnsi="Times New Roman;serif"/>
          <w:b w:val="false"/>
          <w:i/>
          <w:sz w:val="20"/>
        </w:rPr>
        <w:t>AstraZeneca China Amendment</w:t>
      </w:r>
      <w:r>
        <w:rPr>
          <w:rFonts w:ascii="Times New Roman;serif" w:hAnsi="Times New Roman;serif"/>
          <w:b w:val="false"/>
          <w:sz w:val="20"/>
        </w:rPr>
        <w:t>.</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2020, we entered into a Master Supply Agreement with AstraZeneca under the AstraZeneca U.S./RoW Agreement (the “AstraZeneca Master Supply Agreement”) to define general forecast, order, supply and payment terms for AstraZeneca to purchase roxadustat bulk drug product from FibroGen in support of commercial supplies. There was no related drug product revenue for the three months ended March 31, 2023 and 2022.</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AstraZeneca China Amendment</w:t>
      </w:r>
    </w:p>
    <w:p>
      <w:pPr>
        <w:pStyle w:val="TextBody"/>
        <w:spacing w:before="120" w:after="0"/>
        <w:jc w:val="left"/>
        <w:rPr>
          <w:rFonts w:ascii="Times New Roman" w:hAnsi="Times New Roman"/>
          <w:sz w:val="20"/>
        </w:rPr>
      </w:pPr>
      <w:r>
        <w:rPr>
          <w:rFonts w:ascii="Times New Roman;serif" w:hAnsi="Times New Roman;serif"/>
          <w:b w:val="false"/>
          <w:sz w:val="20"/>
        </w:rPr>
        <w:t>In July 2020, FibroGen China and AstraZeneca entered into an amendment, effective July 1, 2020, to the AstraZeneca China Agreement, relating to the development and commercialization of roxadustat in China (the “AstraZeneca China Amendment”). Under the AstraZeneca China Amendment, in September 2020, FibroGen Beijing and AstraZeneca completed the establishment of a jointly owned entity, Beijing Falikang Pharmaceutical Co., Ltd. (“Falikang”), which performs roxadustat distribution, as well as conducts sales and marketing through AstraZeneca.</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bookmarkStart w:id="13" w:name="highlight_result_12"/>
      <w:bookmarkEnd w:id="13"/>
      <w:r>
        <w:rPr>
          <w:rFonts w:ascii="Times New Roman;serif" w:hAnsi="Times New Roman;serif"/>
          <w:b w:val="false"/>
          <w:sz w:val="20"/>
        </w:rPr>
        <w:t>FibroGen Beijing manufactures and supplies commercial product to Falikang based on an agreed upon transfer price, which includes gross transfer price, net of calculated profit share. Revenue is recognized upon the transfer of control of commercial products to Falikang in an amount that reflects the allocation of transaction price of the China manufacturing and supply obligation (“China performance obligation”) to the performance obligation satisfied during the reporting period. We recognized related net product revenue of $24.2 million and $18.9 million for the three months ended March 31, 2023 and 2022, respectively.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sz w:val="20"/>
          <w:u w:val="single"/>
        </w:rPr>
      </w:pPr>
      <w:r>
        <w:rPr>
          <w:rFonts w:ascii="Times New Roman;serif" w:hAnsi="Times New Roman;serif"/>
          <w:b/>
          <w:sz w:val="20"/>
          <w:u w:val="single"/>
        </w:rPr>
        <w:t>Additional Information Related to Collaboration Agreements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Total cash consideration received through March 31, 2023 and potential cash consideration, for upfront payments and milestone payments under our collaboration agreements are as follows:</w:t>
      </w:r>
    </w:p>
    <w:tbl>
      <w:tblPr>
        <w:tblW w:w="10539" w:type="dxa"/>
        <w:jc w:val="left"/>
        <w:tblInd w:w="0" w:type="dxa"/>
        <w:tblCellMar>
          <w:top w:w="28" w:type="dxa"/>
          <w:left w:w="28" w:type="dxa"/>
          <w:bottom w:w="28" w:type="dxa"/>
          <w:right w:w="28" w:type="dxa"/>
        </w:tblCellMar>
      </w:tblPr>
      <w:tblGrid>
        <w:gridCol w:w="2072"/>
        <w:gridCol w:w="146"/>
        <w:gridCol w:w="516"/>
        <w:gridCol w:w="2278"/>
        <w:gridCol w:w="146"/>
        <w:gridCol w:w="146"/>
        <w:gridCol w:w="305"/>
        <w:gridCol w:w="1350"/>
        <w:gridCol w:w="146"/>
        <w:gridCol w:w="146"/>
        <w:gridCol w:w="460"/>
        <w:gridCol w:w="2033"/>
        <w:gridCol w:w="795"/>
      </w:tblGrid>
      <w:tr>
        <w:trPr/>
        <w:tc>
          <w:tcPr>
            <w:tcW w:w="20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2033"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r>
      <w:tr>
        <w:trPr/>
        <w:tc>
          <w:tcPr>
            <w:tcW w:w="207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79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Cash Received for Upfront Payments and Milestone Payments</w:t>
              <w:br/>
              <w:t>Through</w:t>
              <w:br/>
              <w:t>March 31,</w:t>
            </w:r>
            <w:r>
              <w:rPr>
                <w:rFonts w:ascii="Times New Roman" w:hAnsi="Times New Roman"/>
                <w:sz w:val="16"/>
              </w:rPr>
              <w:t xml:space="preserve"> </w:t>
            </w: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br/>
              <w:t>Potential</w:t>
              <w:br/>
              <w:t>Cash Payment for Milestones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9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br/>
              <w:t>Potential</w:t>
              <w:br/>
              <w:t>Cash Payments for Upfront Payments and Milestones</w:t>
            </w:r>
          </w:p>
        </w:tc>
        <w:tc>
          <w:tcPr>
            <w:tcW w:w="7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7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526"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795" w:type="dxa"/>
            <w:tcBorders/>
            <w:shd w:fill="auto" w:val="clear"/>
            <w:vAlign w:val="center"/>
          </w:tcPr>
          <w:p>
            <w:pPr>
              <w:pStyle w:val="TableContents"/>
              <w:spacing w:before="0" w:after="0"/>
              <w:ind w:left="0" w:right="0" w:hanging="0"/>
              <w:jc w:val="center"/>
              <w:rPr/>
            </w:pPr>
            <w:r>
              <w:rPr/>
              <w:t> </w:t>
            </w:r>
          </w:p>
        </w:tc>
      </w:tr>
      <w:tr>
        <w:trPr/>
        <w:tc>
          <w:tcPr>
            <w:tcW w:w="207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Astellas--related-party:</w:t>
            </w:r>
          </w:p>
        </w:tc>
        <w:tc>
          <w:tcPr>
            <w:tcW w:w="146" w:type="dxa"/>
            <w:tcBorders/>
            <w:shd w:fill="auto" w:val="clear"/>
            <w:vAlign w:val="center"/>
          </w:tcPr>
          <w:p>
            <w:pPr>
              <w:pStyle w:val="TableContents"/>
              <w:spacing w:before="0" w:after="0"/>
              <w:ind w:left="0" w:right="0" w:hanging="0"/>
              <w:jc w:val="center"/>
              <w:rPr/>
            </w:pPr>
            <w:r>
              <w:rPr/>
              <w:t> </w:t>
            </w:r>
          </w:p>
        </w:tc>
        <w:tc>
          <w:tcPr>
            <w:tcW w:w="2794"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93" w:type="dxa"/>
            <w:gridSpan w:val="2"/>
            <w:tcBorders/>
            <w:shd w:fill="auto" w:val="clear"/>
            <w:vAlign w:val="center"/>
          </w:tcPr>
          <w:p>
            <w:pPr>
              <w:pStyle w:val="TableContents"/>
              <w:spacing w:before="0" w:after="0"/>
              <w:ind w:left="0" w:right="0" w:hanging="0"/>
              <w:jc w:val="center"/>
              <w:rPr/>
            </w:pPr>
            <w:r>
              <w:rPr/>
              <w:t> </w:t>
            </w:r>
          </w:p>
        </w:tc>
        <w:tc>
          <w:tcPr>
            <w:tcW w:w="795" w:type="dxa"/>
            <w:tcBorders/>
            <w:shd w:fill="auto" w:val="clear"/>
            <w:vAlign w:val="center"/>
          </w:tcPr>
          <w:p>
            <w:pPr>
              <w:pStyle w:val="TableContents"/>
              <w:spacing w:before="0" w:after="0"/>
              <w:ind w:left="0" w:right="0" w:firstLine="200"/>
              <w:jc w:val="center"/>
              <w:rPr/>
            </w:pPr>
            <w:r>
              <w:rPr/>
              <w:t> </w:t>
            </w:r>
          </w:p>
        </w:tc>
      </w:tr>
      <w:tr>
        <w:trPr/>
        <w:tc>
          <w:tcPr>
            <w:tcW w:w="20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Astellas Japan Agreement</w:t>
            </w:r>
          </w:p>
        </w:tc>
        <w:tc>
          <w:tcPr>
            <w:tcW w:w="146" w:type="dxa"/>
            <w:tcBorders/>
            <w:shd w:fill="auto" w:val="clear"/>
            <w:vAlign w:val="center"/>
          </w:tcPr>
          <w:p>
            <w:pPr>
              <w:pStyle w:val="TableContents"/>
              <w:spacing w:before="0" w:after="0"/>
              <w:ind w:left="0" w:right="0" w:hanging="0"/>
              <w:jc w:val="center"/>
              <w:rPr/>
            </w:pPr>
            <w:r>
              <w:rPr/>
              <w:t> </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105,093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172,593</w:t>
            </w:r>
          </w:p>
        </w:tc>
        <w:tc>
          <w:tcPr>
            <w:tcW w:w="795" w:type="dxa"/>
            <w:tcBorders/>
            <w:shd w:fill="auto" w:val="clear"/>
            <w:vAlign w:val="center"/>
          </w:tcPr>
          <w:p>
            <w:pPr>
              <w:pStyle w:val="TableContents"/>
              <w:spacing w:before="0" w:after="0"/>
              <w:ind w:left="0" w:right="0" w:firstLine="200"/>
              <w:jc w:val="left"/>
              <w:rPr/>
            </w:pPr>
            <w:r>
              <w:rPr/>
              <w:t> </w:t>
            </w:r>
          </w:p>
        </w:tc>
      </w:tr>
      <w:tr>
        <w:trPr/>
        <w:tc>
          <w:tcPr>
            <w:tcW w:w="20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Astellas Europe Agreement</w:t>
            </w:r>
          </w:p>
        </w:tc>
        <w:tc>
          <w:tcPr>
            <w:tcW w:w="146" w:type="dxa"/>
            <w:tcBorders/>
            <w:shd w:fill="auto" w:val="clear"/>
            <w:vAlign w:val="center"/>
          </w:tcPr>
          <w:p>
            <w:pPr>
              <w:pStyle w:val="TableContents"/>
              <w:spacing w:before="0" w:after="0"/>
              <w:ind w:left="0" w:right="0" w:hanging="0"/>
              <w:jc w:val="center"/>
              <w:rPr/>
            </w:pPr>
            <w:r>
              <w:rPr/>
              <w:t> </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685,000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745,000</w:t>
            </w:r>
          </w:p>
        </w:tc>
        <w:tc>
          <w:tcPr>
            <w:tcW w:w="7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072"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Astellas</w:t>
            </w:r>
          </w:p>
        </w:tc>
        <w:tc>
          <w:tcPr>
            <w:tcW w:w="146" w:type="dxa"/>
            <w:tcBorders/>
            <w:shd w:fill="auto" w:val="clear"/>
            <w:vAlign w:val="center"/>
          </w:tcPr>
          <w:p>
            <w:pPr>
              <w:pStyle w:val="TableContents"/>
              <w:spacing w:before="0" w:after="0"/>
              <w:ind w:left="0" w:right="0" w:hanging="0"/>
              <w:jc w:val="center"/>
              <w:rPr/>
            </w:pPr>
            <w:r>
              <w:rPr/>
              <w:t> </w:t>
            </w:r>
          </w:p>
        </w:tc>
        <w:tc>
          <w:tcPr>
            <w:tcW w:w="516" w:type="dxa"/>
            <w:tcBorders/>
            <w:shd w:fill="auto" w:val="clear"/>
            <w:vAlign w:val="center"/>
          </w:tcPr>
          <w:p>
            <w:pPr>
              <w:pStyle w:val="TableContents"/>
              <w:spacing w:before="0" w:after="0"/>
              <w:ind w:left="0" w:right="0" w:hanging="0"/>
              <w:jc w:val="left"/>
              <w:rPr/>
            </w:pPr>
            <w:r>
              <w:rPr/>
              <w:t> </w:t>
            </w:r>
          </w:p>
        </w:tc>
        <w:tc>
          <w:tcPr>
            <w:tcW w:w="22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790,093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3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0" w:type="dxa"/>
            <w:tcBorders/>
            <w:shd w:fill="auto" w:val="clear"/>
            <w:vAlign w:val="center"/>
          </w:tcPr>
          <w:p>
            <w:pPr>
              <w:pStyle w:val="TableContents"/>
              <w:spacing w:before="0" w:after="0"/>
              <w:ind w:left="0" w:right="0" w:hanging="0"/>
              <w:jc w:val="left"/>
              <w:rPr/>
            </w:pPr>
            <w:r>
              <w:rPr/>
              <w:t> </w:t>
            </w:r>
          </w:p>
        </w:tc>
        <w:tc>
          <w:tcPr>
            <w:tcW w:w="20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917,593</w:t>
            </w:r>
          </w:p>
        </w:tc>
        <w:tc>
          <w:tcPr>
            <w:tcW w:w="795" w:type="dxa"/>
            <w:tcBorders/>
            <w:shd w:fill="auto" w:val="clear"/>
            <w:vAlign w:val="center"/>
          </w:tcPr>
          <w:p>
            <w:pPr>
              <w:pStyle w:val="TableContents"/>
              <w:spacing w:before="0" w:after="0"/>
              <w:ind w:left="0" w:right="0" w:hanging="0"/>
              <w:jc w:val="left"/>
              <w:rPr/>
            </w:pPr>
            <w:r>
              <w:rPr/>
              <w:t> </w:t>
            </w:r>
          </w:p>
        </w:tc>
      </w:tr>
      <w:tr>
        <w:trPr/>
        <w:tc>
          <w:tcPr>
            <w:tcW w:w="207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AstraZeneca:</w:t>
            </w:r>
          </w:p>
        </w:tc>
        <w:tc>
          <w:tcPr>
            <w:tcW w:w="146" w:type="dxa"/>
            <w:tcBorders/>
            <w:shd w:fill="auto" w:val="clear"/>
            <w:vAlign w:val="center"/>
          </w:tcPr>
          <w:p>
            <w:pPr>
              <w:pStyle w:val="TableContents"/>
              <w:spacing w:before="0" w:after="0"/>
              <w:ind w:left="0" w:right="0" w:hanging="0"/>
              <w:jc w:val="center"/>
              <w:rPr/>
            </w:pPr>
            <w:r>
              <w:rPr/>
              <w:t> </w:t>
            </w:r>
          </w:p>
        </w:tc>
        <w:tc>
          <w:tcPr>
            <w:tcW w:w="2794"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93" w:type="dxa"/>
            <w:gridSpan w:val="2"/>
            <w:tcBorders/>
            <w:shd w:fill="auto" w:val="clear"/>
            <w:vAlign w:val="center"/>
          </w:tcPr>
          <w:p>
            <w:pPr>
              <w:pStyle w:val="TableContents"/>
              <w:spacing w:before="0" w:after="0"/>
              <w:ind w:left="0" w:right="0" w:hanging="0"/>
              <w:jc w:val="right"/>
              <w:rPr/>
            </w:pPr>
            <w:r>
              <w:rPr/>
              <w:t> </w:t>
            </w:r>
          </w:p>
        </w:tc>
        <w:tc>
          <w:tcPr>
            <w:tcW w:w="795" w:type="dxa"/>
            <w:tcBorders/>
            <w:shd w:fill="auto" w:val="clear"/>
            <w:vAlign w:val="center"/>
          </w:tcPr>
          <w:p>
            <w:pPr>
              <w:pStyle w:val="TableContents"/>
              <w:spacing w:before="0" w:after="0"/>
              <w:ind w:left="0" w:right="0" w:firstLine="200"/>
              <w:jc w:val="right"/>
              <w:rPr/>
            </w:pPr>
            <w:r>
              <w:rPr/>
              <w:t> </w:t>
            </w:r>
          </w:p>
        </w:tc>
      </w:tr>
      <w:tr>
        <w:trPr/>
        <w:tc>
          <w:tcPr>
            <w:tcW w:w="20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AstraZeneca U.S./RoW Agreement</w:t>
            </w:r>
          </w:p>
        </w:tc>
        <w:tc>
          <w:tcPr>
            <w:tcW w:w="146" w:type="dxa"/>
            <w:tcBorders/>
            <w:shd w:fill="auto" w:val="clear"/>
            <w:vAlign w:val="center"/>
          </w:tcPr>
          <w:p>
            <w:pPr>
              <w:pStyle w:val="TableContents"/>
              <w:spacing w:before="0" w:after="0"/>
              <w:ind w:left="0" w:right="0" w:hanging="0"/>
              <w:jc w:val="center"/>
              <w:rPr/>
            </w:pPr>
            <w:r>
              <w:rPr/>
              <w:t> </w:t>
            </w:r>
          </w:p>
        </w:tc>
        <w:tc>
          <w:tcPr>
            <w:tcW w:w="516" w:type="dxa"/>
            <w:tcBorders/>
            <w:shd w:fill="auto" w:val="clear"/>
            <w:vAlign w:val="center"/>
          </w:tcPr>
          <w:p>
            <w:pPr>
              <w:pStyle w:val="TableContents"/>
              <w:spacing w:before="0" w:after="0"/>
              <w:ind w:left="0" w:right="0" w:hanging="0"/>
              <w:jc w:val="left"/>
              <w:rPr/>
            </w:pPr>
            <w:r>
              <w:rPr/>
              <w:t> </w:t>
            </w:r>
          </w:p>
        </w:tc>
        <w:tc>
          <w:tcPr>
            <w:tcW w:w="22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439,000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3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0" w:type="dxa"/>
            <w:tcBorders/>
            <w:shd w:fill="auto" w:val="clear"/>
            <w:vAlign w:val="center"/>
          </w:tcPr>
          <w:p>
            <w:pPr>
              <w:pStyle w:val="TableContents"/>
              <w:spacing w:before="0" w:after="0"/>
              <w:ind w:left="0" w:right="0" w:hanging="0"/>
              <w:jc w:val="left"/>
              <w:rPr/>
            </w:pPr>
            <w:r>
              <w:rPr/>
              <w:t> </w:t>
            </w:r>
          </w:p>
        </w:tc>
        <w:tc>
          <w:tcPr>
            <w:tcW w:w="20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1,249,000</w:t>
            </w:r>
          </w:p>
        </w:tc>
        <w:tc>
          <w:tcPr>
            <w:tcW w:w="795" w:type="dxa"/>
            <w:tcBorders/>
            <w:shd w:fill="auto" w:val="clear"/>
            <w:vAlign w:val="center"/>
          </w:tcPr>
          <w:p>
            <w:pPr>
              <w:pStyle w:val="TableContents"/>
              <w:spacing w:before="0" w:after="0"/>
              <w:ind w:left="0" w:right="0" w:firstLine="200"/>
              <w:jc w:val="left"/>
              <w:rPr/>
            </w:pPr>
            <w:r>
              <w:rPr/>
              <w:t> </w:t>
            </w:r>
          </w:p>
        </w:tc>
      </w:tr>
      <w:tr>
        <w:trPr/>
        <w:tc>
          <w:tcPr>
            <w:tcW w:w="20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AstraZeneca China Agreement</w:t>
            </w:r>
          </w:p>
        </w:tc>
        <w:tc>
          <w:tcPr>
            <w:tcW w:w="146" w:type="dxa"/>
            <w:tcBorders/>
            <w:shd w:fill="auto" w:val="clear"/>
            <w:vAlign w:val="center"/>
          </w:tcPr>
          <w:p>
            <w:pPr>
              <w:pStyle w:val="TableContents"/>
              <w:spacing w:before="0" w:after="0"/>
              <w:ind w:left="0" w:right="0" w:hanging="0"/>
              <w:jc w:val="center"/>
              <w:rPr/>
            </w:pPr>
            <w:r>
              <w:rPr/>
              <w:t> </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77,200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299,500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376,700</w:t>
            </w:r>
          </w:p>
        </w:tc>
        <w:tc>
          <w:tcPr>
            <w:tcW w:w="7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072"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AstraZeneca</w:t>
            </w:r>
          </w:p>
        </w:tc>
        <w:tc>
          <w:tcPr>
            <w:tcW w:w="146" w:type="dxa"/>
            <w:tcBorders/>
            <w:shd w:fill="auto" w:val="clear"/>
            <w:vAlign w:val="center"/>
          </w:tcPr>
          <w:p>
            <w:pPr>
              <w:pStyle w:val="TableContents"/>
              <w:spacing w:before="0" w:after="0"/>
              <w:ind w:left="0" w:right="0" w:hanging="0"/>
              <w:jc w:val="center"/>
              <w:rPr/>
            </w:pPr>
            <w:r>
              <w:rPr/>
              <w:t> </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516,200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1,109,500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1,625,700</w:t>
            </w:r>
          </w:p>
        </w:tc>
        <w:tc>
          <w:tcPr>
            <w:tcW w:w="7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2072"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center"/>
              <w:rPr/>
            </w:pPr>
            <w:r>
              <w:rPr/>
              <w:t> </w:t>
            </w:r>
          </w:p>
        </w:tc>
        <w:tc>
          <w:tcPr>
            <w:tcW w:w="5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1,306,293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1,237,000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2,543,293</w:t>
            </w:r>
          </w:p>
        </w:tc>
        <w:tc>
          <w:tcPr>
            <w:tcW w:w="7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The above table does not include development cost reimbursement, transfer price payments, and royalties and profit share under our existing collaboration agreements. While we continue to commercialize roxadustat in China with AstraZeneca, and develop roxadustat in the U.S. for the treatment of anemia in patients with MDS, we have not been able to agree on a path forward for AstraZeneca to fund further roxadustat development for CKD anemia in the U.S. Therefore, we do not expect to receive most or all of these potential AstraZeneca U.S./RoW Agreement milestones from AstraZeneca.</w:t>
      </w:r>
    </w:p>
    <w:p>
      <w:pPr>
        <w:pStyle w:val="TextBody"/>
        <w:spacing w:before="360" w:after="0"/>
        <w:jc w:val="left"/>
        <w:rPr>
          <w:rFonts w:ascii="Times New Roman;serif" w:hAnsi="Times New Roman;serif"/>
          <w:b/>
          <w:sz w:val="20"/>
        </w:rPr>
      </w:pPr>
      <w:r>
        <w:rPr>
          <w:rFonts w:ascii="Times New Roman;serif" w:hAnsi="Times New Roman;serif"/>
          <w:b/>
          <w:sz w:val="20"/>
        </w:rPr>
        <w:t>RESULTS OF OPERATIONS</w:t>
      </w:r>
    </w:p>
    <w:p>
      <w:pPr>
        <w:pStyle w:val="TextBody"/>
        <w:spacing w:before="120" w:after="0"/>
        <w:jc w:val="left"/>
        <w:rPr>
          <w:rFonts w:ascii="Times New Roman;serif" w:hAnsi="Times New Roman;serif"/>
          <w:b/>
          <w:sz w:val="20"/>
        </w:rPr>
      </w:pPr>
      <w:r>
        <w:rPr>
          <w:rFonts w:ascii="Times New Roman;serif" w:hAnsi="Times New Roman;serif"/>
          <w:b/>
          <w:sz w:val="20"/>
        </w:rPr>
        <w:t>Revenue</w:t>
      </w:r>
    </w:p>
    <w:p>
      <w:pPr>
        <w:pStyle w:val="TextBody"/>
        <w:spacing w:before="0" w:after="0"/>
        <w:jc w:val="left"/>
        <w:rPr/>
      </w:pPr>
      <w:r>
        <w:rPr/>
        <w:t> </w:t>
      </w:r>
    </w:p>
    <w:tbl>
      <w:tblPr>
        <w:tblW w:w="8215" w:type="dxa"/>
        <w:jc w:val="left"/>
        <w:tblInd w:w="0" w:type="dxa"/>
        <w:tblCellMar>
          <w:top w:w="28" w:type="dxa"/>
          <w:left w:w="28" w:type="dxa"/>
          <w:bottom w:w="28" w:type="dxa"/>
          <w:right w:w="28" w:type="dxa"/>
        </w:tblCellMar>
      </w:tblPr>
      <w:tblGrid>
        <w:gridCol w:w="2716"/>
        <w:gridCol w:w="146"/>
        <w:gridCol w:w="245"/>
        <w:gridCol w:w="785"/>
        <w:gridCol w:w="169"/>
        <w:gridCol w:w="169"/>
        <w:gridCol w:w="245"/>
        <w:gridCol w:w="785"/>
        <w:gridCol w:w="146"/>
        <w:gridCol w:w="146"/>
        <w:gridCol w:w="211"/>
        <w:gridCol w:w="736"/>
        <w:gridCol w:w="166"/>
        <w:gridCol w:w="146"/>
        <w:gridCol w:w="146"/>
        <w:gridCol w:w="376"/>
        <w:gridCol w:w="166"/>
        <w:gridCol w:w="716"/>
      </w:tblGrid>
      <w:tr>
        <w:trPr/>
        <w:tc>
          <w:tcPr>
            <w:tcW w:w="27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8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16" w:type="dxa"/>
            <w:tcBorders/>
            <w:shd w:fill="auto" w:val="clear"/>
            <w:vAlign w:val="center"/>
          </w:tcPr>
          <w:p>
            <w:pPr>
              <w:pStyle w:val="TableContents"/>
              <w:spacing w:before="0" w:after="0"/>
              <w:ind w:left="0" w:right="0" w:hanging="0"/>
              <w:jc w:val="center"/>
              <w:rPr/>
            </w:pPr>
            <w:r>
              <w:rPr/>
              <w:t> </w:t>
            </w:r>
          </w:p>
        </w:tc>
      </w:tr>
      <w:tr>
        <w:trPr/>
        <w:tc>
          <w:tcPr>
            <w:tcW w:w="27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shd w:fill="auto" w:val="clear"/>
            <w:vAlign w:val="center"/>
          </w:tcPr>
          <w:p>
            <w:pPr>
              <w:pStyle w:val="TableContents"/>
              <w:spacing w:before="0" w:after="0"/>
              <w:ind w:left="0" w:right="0" w:hanging="0"/>
              <w:jc w:val="center"/>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16" w:type="dxa"/>
            <w:tcBorders/>
            <w:shd w:fill="auto" w:val="clear"/>
            <w:vAlign w:val="center"/>
          </w:tcPr>
          <w:p>
            <w:pPr>
              <w:pStyle w:val="TableContents"/>
              <w:spacing w:before="0" w:after="0"/>
              <w:ind w:left="0" w:right="0" w:hanging="0"/>
              <w:jc w:val="center"/>
              <w:rPr/>
            </w:pPr>
            <w:r>
              <w:rPr/>
              <w:t> </w:t>
            </w:r>
          </w:p>
        </w:tc>
      </w:tr>
      <w:tr>
        <w:trPr/>
        <w:tc>
          <w:tcPr>
            <w:tcW w:w="27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353" w:type="dxa"/>
            <w:gridSpan w:val="1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r>
      <w:tr>
        <w:trPr/>
        <w:tc>
          <w:tcPr>
            <w:tcW w:w="27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center"/>
              <w:rPr/>
            </w:pPr>
            <w:r>
              <w:rPr/>
              <w:t> </w:t>
            </w:r>
          </w:p>
        </w:tc>
        <w:tc>
          <w:tcPr>
            <w:tcW w:w="169" w:type="dxa"/>
            <w:tcBorders/>
            <w:shd w:fill="auto" w:val="clear"/>
            <w:vAlign w:val="center"/>
          </w:tcPr>
          <w:p>
            <w:pPr>
              <w:pStyle w:val="TableContents"/>
              <w:spacing w:before="0" w:after="0"/>
              <w:ind w:left="0" w:right="0" w:hanging="0"/>
              <w:jc w:val="center"/>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716" w:type="dxa"/>
            <w:tcBorders/>
            <w:shd w:fill="auto" w:val="clear"/>
            <w:vAlign w:val="center"/>
          </w:tcPr>
          <w:p>
            <w:pPr>
              <w:pStyle w:val="TableContents"/>
              <w:spacing w:before="0" w:after="0"/>
              <w:ind w:left="0" w:right="0" w:firstLine="200"/>
              <w:jc w:val="left"/>
              <w:rPr/>
            </w:pPr>
            <w:r>
              <w:rPr/>
              <w:t> </w:t>
            </w:r>
          </w:p>
        </w:tc>
      </w:tr>
      <w:tr>
        <w:trPr/>
        <w:tc>
          <w:tcPr>
            <w:tcW w:w="27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License revenue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6,000</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(16,590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7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Development and other revenue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3,891</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(7,871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7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Product revenue, net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24,161</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shd w:fill="auto" w:val="clear"/>
            <w:vAlign w:val="center"/>
          </w:tcPr>
          <w:p>
            <w:pPr>
              <w:pStyle w:val="TableContents"/>
              <w:spacing w:before="0" w:after="0"/>
              <w:ind w:left="0" w:right="0" w:hanging="0"/>
              <w:jc w:val="left"/>
              <w:rPr/>
            </w:pPr>
            <w:r>
              <w:rPr/>
              <w:t> </w:t>
            </w:r>
          </w:p>
        </w:tc>
        <w:tc>
          <w:tcPr>
            <w:tcW w:w="7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7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Drug product revenue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2,109</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7,594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7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36,161</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60,827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(24,666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 w:hAnsi="Times New Roman"/>
          <w:sz w:val="20"/>
        </w:rPr>
      </w:pPr>
      <w:r>
        <w:rPr>
          <w:rFonts w:ascii="Times New Roman;serif" w:hAnsi="Times New Roman;serif"/>
          <w:b w:val="false"/>
          <w:sz w:val="20"/>
        </w:rPr>
        <w:t>Under our revenue recognition policy, license revenue includes amounts from upfront, non-refundable license payments and amounts allocated pursuant to the standalone selling price method from other consideration received during the respective periods. This revenue is generally recognized as deliverables are met and services are performed.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Development revenue includes co-development and other development related services. We recognize development services as revenue in the period in which they are billed to our partners, excluding China. As of March 31, 2023, we expect the future development services to continue through 2024. For China co-development services, we defer revenue until we begin to transfer control of the manufactured commercial product to AstraZeneca, which commenced in the first quarter of 2021 and we expect to continue through 2028, which reflects our best estimates. Other revenues consist of contract manufacturing revenue and sales of research and development material and have not been material for any of the periods presented.</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recognize product revenue when our customer obtains control of promised goods or services in an amount that reflects the consideration we expect to receive in exchange for those goods or services.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 w:hAnsi="Times New Roman"/>
          <w:sz w:val="20"/>
        </w:rPr>
      </w:pPr>
      <w:r>
        <w:rPr>
          <w:rFonts w:ascii="Times New Roman;serif" w:hAnsi="Times New Roman;serif"/>
          <w:b w:val="false"/>
          <w:sz w:val="20"/>
        </w:rPr>
        <w:t>Drug product revenue includes commercial-grade API or bulk drug product sales to AstraZeneca, under the AstraZeneca U.S./RoW Agreement, and Astellas in support of pre-commercial preparation prior to the New Drug Application or marketing authorization application approval, and to Astellas for ongoing commercial launch in Japan and Europe. We recognize drug product revenue when we fulfill the inventory transfer obligations. 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Actual amounts of consideration ultimately received in the future may differ from our estimates, for which we will adjust these estimates and affect the drug product revenue in the period such variances become known.</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the future, we will continue generating revenue from collaboration agreements in the form of license fees, milestone payments, reimbursements for collaboration services and royalties on drug product sales, and from product sales. We expect that any revenues we generate will fluctuate from quarter to quarter due to the uncertain timing and amount of such payments and sales.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Total revenue decreased $24.7 million, or 41% for the three months ended March 31, 2023, compared to the same period a year ago for the reasons discussed in the sections below.</w:t>
      </w:r>
    </w:p>
    <w:p>
      <w:pPr>
        <w:pStyle w:val="TextBody"/>
        <w:spacing w:before="360" w:after="0"/>
        <w:jc w:val="left"/>
        <w:rPr>
          <w:rFonts w:ascii="Times New Roman;serif" w:hAnsi="Times New Roman;serif"/>
          <w:b/>
          <w:sz w:val="20"/>
          <w:u w:val="single"/>
        </w:rPr>
      </w:pPr>
      <w:r>
        <w:rPr>
          <w:rFonts w:ascii="Times New Roman;serif" w:hAnsi="Times New Roman;serif"/>
          <w:b/>
          <w:sz w:val="20"/>
          <w:u w:val="single"/>
        </w:rPr>
        <w:t>License Revenue</w:t>
      </w:r>
    </w:p>
    <w:tbl>
      <w:tblPr>
        <w:tblW w:w="7235" w:type="dxa"/>
        <w:jc w:val="left"/>
        <w:tblInd w:w="0" w:type="dxa"/>
        <w:tblCellMar>
          <w:top w:w="28" w:type="dxa"/>
          <w:left w:w="28" w:type="dxa"/>
          <w:bottom w:w="28" w:type="dxa"/>
          <w:right w:w="28" w:type="dxa"/>
        </w:tblCellMar>
      </w:tblPr>
      <w:tblGrid>
        <w:gridCol w:w="1861"/>
        <w:gridCol w:w="146"/>
        <w:gridCol w:w="258"/>
        <w:gridCol w:w="699"/>
        <w:gridCol w:w="178"/>
        <w:gridCol w:w="178"/>
        <w:gridCol w:w="258"/>
        <w:gridCol w:w="827"/>
        <w:gridCol w:w="146"/>
        <w:gridCol w:w="146"/>
        <w:gridCol w:w="211"/>
        <w:gridCol w:w="736"/>
        <w:gridCol w:w="166"/>
        <w:gridCol w:w="146"/>
        <w:gridCol w:w="146"/>
        <w:gridCol w:w="376"/>
        <w:gridCol w:w="166"/>
        <w:gridCol w:w="591"/>
      </w:tblGrid>
      <w:tr>
        <w:trPr/>
        <w:tc>
          <w:tcPr>
            <w:tcW w:w="18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18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8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18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8" w:type="dxa"/>
            <w:tcBorders/>
            <w:shd w:fill="auto" w:val="clear"/>
            <w:vAlign w:val="center"/>
          </w:tcPr>
          <w:p>
            <w:pPr>
              <w:pStyle w:val="TableContents"/>
              <w:spacing w:before="0" w:after="0"/>
              <w:ind w:left="0" w:right="0" w:hanging="0"/>
              <w:jc w:val="center"/>
              <w:rPr/>
            </w:pPr>
            <w:r>
              <w:rPr/>
              <w:t> </w:t>
            </w:r>
          </w:p>
        </w:tc>
        <w:tc>
          <w:tcPr>
            <w:tcW w:w="10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18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8" w:type="dxa"/>
            <w:gridSpan w:val="1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License revenue:</w:t>
            </w:r>
          </w:p>
        </w:tc>
        <w:tc>
          <w:tcPr>
            <w:tcW w:w="146" w:type="dxa"/>
            <w:tcBorders/>
            <w:shd w:fill="auto" w:val="clear"/>
            <w:vAlign w:val="center"/>
          </w:tcPr>
          <w:p>
            <w:pPr>
              <w:pStyle w:val="TableContents"/>
              <w:spacing w:before="0" w:after="0"/>
              <w:ind w:left="0" w:right="0" w:hanging="0"/>
              <w:jc w:val="center"/>
              <w:rPr/>
            </w:pPr>
            <w:r>
              <w:rPr/>
              <w:t> </w:t>
            </w:r>
          </w:p>
        </w:tc>
        <w:tc>
          <w:tcPr>
            <w:tcW w:w="957" w:type="dxa"/>
            <w:gridSpan w:val="2"/>
            <w:tcBorders/>
            <w:shd w:fill="auto" w:val="clear"/>
            <w:vAlign w:val="center"/>
          </w:tcPr>
          <w:p>
            <w:pPr>
              <w:pStyle w:val="TableContents"/>
              <w:spacing w:before="0" w:after="0"/>
              <w:ind w:left="0" w:right="0" w:hanging="0"/>
              <w:jc w:val="center"/>
              <w:rPr/>
            </w:pPr>
            <w:r>
              <w:rPr/>
              <w:t> </w:t>
            </w:r>
          </w:p>
        </w:tc>
        <w:tc>
          <w:tcPr>
            <w:tcW w:w="178" w:type="dxa"/>
            <w:tcBorders/>
            <w:shd w:fill="auto" w:val="clear"/>
            <w:vAlign w:val="center"/>
          </w:tcPr>
          <w:p>
            <w:pPr>
              <w:pStyle w:val="TableContents"/>
              <w:spacing w:before="0" w:after="0"/>
              <w:ind w:left="0" w:right="0" w:hanging="0"/>
              <w:jc w:val="center"/>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08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18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Astellas</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9" w:type="dxa"/>
            <w:tcBorders/>
            <w:shd w:fill="auto" w:val="clear"/>
            <w:vAlign w:val="center"/>
          </w:tcPr>
          <w:p>
            <w:pPr>
              <w:pStyle w:val="TableContents"/>
              <w:spacing w:before="0" w:after="0"/>
              <w:ind w:left="0" w:right="0" w:hanging="0"/>
              <w:jc w:val="right"/>
              <w:rPr/>
            </w:pPr>
            <w:r>
              <w:rPr/>
              <w:t>—</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(22,590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NM</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18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Eluminex</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6,000</w:t>
            </w:r>
          </w:p>
        </w:tc>
        <w:tc>
          <w:tcPr>
            <w:tcW w:w="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NM</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186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license revenue</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6,000</w:t>
            </w:r>
          </w:p>
        </w:tc>
        <w:tc>
          <w:tcPr>
            <w:tcW w:w="1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22,590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(16,590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pBdr>
          <w:bottom w:val="single" w:sz="8" w:space="1" w:color="000000"/>
        </w:pBdr>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NM = Not meaningful</w:t>
      </w:r>
    </w:p>
    <w:p>
      <w:pPr>
        <w:pStyle w:val="TextBody"/>
        <w:spacing w:before="240" w:after="0"/>
        <w:jc w:val="left"/>
        <w:rPr>
          <w:rFonts w:ascii="Times New Roman" w:hAnsi="Times New Roman"/>
          <w:sz w:val="20"/>
        </w:rPr>
      </w:pPr>
      <w:r>
        <w:rPr>
          <w:rFonts w:ascii="Times New Roman;serif" w:hAnsi="Times New Roman;serif"/>
          <w:b w:val="false"/>
          <w:sz w:val="20"/>
        </w:rPr>
        <w:t>License revenue decreased $16.6 million, or 73% for the three months ended March 31, 2023, compared to the same period a year ago.</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License revenue recognized under our collaboration agreements with Astellas for the three months ended March 31, 2022 represented the allocated revenue related to a $25.0 million regulatory milestone payment associated with the approval of EVRENZO</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(roxadustat) in Russia that was included in the transaction price during the first quarter of 2022 when such milestone was achieved.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License revenue recognized under our license agreement with Eluminex for the three months ended March 31, 2023 represented a $3.0 million milestone payment based on Eluminex implanting a biosynthetic cornea in the first patient of its clinical trial in China, and a $3.0 million manufacturing related milestone payment when such milestones were achieved.</w:t>
      </w:r>
    </w:p>
    <w:p>
      <w:pPr>
        <w:pStyle w:val="TextBody"/>
        <w:spacing w:before="360" w:after="0"/>
        <w:jc w:val="left"/>
        <w:rPr>
          <w:rFonts w:ascii="Times New Roman;serif" w:hAnsi="Times New Roman;serif"/>
          <w:b/>
          <w:sz w:val="20"/>
          <w:u w:val="single"/>
        </w:rPr>
      </w:pPr>
      <w:r>
        <w:rPr>
          <w:rFonts w:ascii="Times New Roman;serif" w:hAnsi="Times New Roman;serif"/>
          <w:b/>
          <w:sz w:val="20"/>
          <w:u w:val="single"/>
        </w:rPr>
        <w:t>Development and Other Revenue</w:t>
      </w:r>
    </w:p>
    <w:p>
      <w:pPr>
        <w:pStyle w:val="TextBody"/>
        <w:spacing w:before="0" w:after="0"/>
        <w:jc w:val="left"/>
        <w:rPr/>
      </w:pPr>
      <w:r>
        <w:rPr/>
        <w:t> </w:t>
      </w:r>
    </w:p>
    <w:tbl>
      <w:tblPr>
        <w:tblW w:w="8560" w:type="dxa"/>
        <w:jc w:val="left"/>
        <w:tblInd w:w="0" w:type="dxa"/>
        <w:tblCellMar>
          <w:top w:w="28" w:type="dxa"/>
          <w:left w:w="28" w:type="dxa"/>
          <w:bottom w:w="28" w:type="dxa"/>
          <w:right w:w="28" w:type="dxa"/>
        </w:tblCellMar>
      </w:tblPr>
      <w:tblGrid>
        <w:gridCol w:w="3166"/>
        <w:gridCol w:w="146"/>
        <w:gridCol w:w="258"/>
        <w:gridCol w:w="699"/>
        <w:gridCol w:w="178"/>
        <w:gridCol w:w="178"/>
        <w:gridCol w:w="258"/>
        <w:gridCol w:w="827"/>
        <w:gridCol w:w="146"/>
        <w:gridCol w:w="146"/>
        <w:gridCol w:w="211"/>
        <w:gridCol w:w="631"/>
        <w:gridCol w:w="166"/>
        <w:gridCol w:w="146"/>
        <w:gridCol w:w="146"/>
        <w:gridCol w:w="376"/>
        <w:gridCol w:w="166"/>
        <w:gridCol w:w="716"/>
      </w:tblGrid>
      <w:tr>
        <w:trPr/>
        <w:tc>
          <w:tcPr>
            <w:tcW w:w="3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16" w:type="dxa"/>
            <w:tcBorders/>
            <w:shd w:fill="auto" w:val="cle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8" w:type="dxa"/>
            <w:tcBorders/>
            <w:shd w:fill="auto" w:val="clear"/>
            <w:vAlign w:val="center"/>
          </w:tcPr>
          <w:p>
            <w:pPr>
              <w:pStyle w:val="TableContents"/>
              <w:spacing w:before="0" w:after="0"/>
              <w:ind w:left="0" w:right="0" w:hanging="0"/>
              <w:jc w:val="center"/>
              <w:rPr/>
            </w:pPr>
            <w:r>
              <w:rPr/>
              <w:t> </w:t>
            </w:r>
          </w:p>
        </w:tc>
        <w:tc>
          <w:tcPr>
            <w:tcW w:w="10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16" w:type="dxa"/>
            <w:tcBorders/>
            <w:shd w:fill="auto" w:val="cle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48" w:type="dxa"/>
            <w:gridSpan w:val="1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Development revenue:</w:t>
            </w:r>
          </w:p>
        </w:tc>
        <w:tc>
          <w:tcPr>
            <w:tcW w:w="146" w:type="dxa"/>
            <w:tcBorders/>
            <w:shd w:fill="auto" w:val="clear"/>
            <w:vAlign w:val="center"/>
          </w:tcPr>
          <w:p>
            <w:pPr>
              <w:pStyle w:val="TableContents"/>
              <w:spacing w:before="0" w:after="0"/>
              <w:ind w:left="0" w:right="0" w:hanging="0"/>
              <w:jc w:val="center"/>
              <w:rPr/>
            </w:pPr>
            <w:r>
              <w:rPr/>
              <w:t> </w:t>
            </w:r>
          </w:p>
        </w:tc>
        <w:tc>
          <w:tcPr>
            <w:tcW w:w="957" w:type="dxa"/>
            <w:gridSpan w:val="2"/>
            <w:tcBorders/>
            <w:shd w:fill="auto" w:val="clear"/>
            <w:vAlign w:val="center"/>
          </w:tcPr>
          <w:p>
            <w:pPr>
              <w:pStyle w:val="TableContents"/>
              <w:spacing w:before="0" w:after="0"/>
              <w:ind w:left="0" w:right="0" w:hanging="0"/>
              <w:jc w:val="center"/>
              <w:rPr/>
            </w:pPr>
            <w:r>
              <w:rPr/>
              <w:t> </w:t>
            </w:r>
          </w:p>
        </w:tc>
        <w:tc>
          <w:tcPr>
            <w:tcW w:w="178" w:type="dxa"/>
            <w:tcBorders/>
            <w:shd w:fill="auto" w:val="clear"/>
            <w:vAlign w:val="center"/>
          </w:tcPr>
          <w:p>
            <w:pPr>
              <w:pStyle w:val="TableContents"/>
              <w:spacing w:before="0" w:after="0"/>
              <w:ind w:left="0" w:right="0" w:hanging="0"/>
              <w:jc w:val="center"/>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08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716" w:type="dxa"/>
            <w:tcBorders/>
            <w:shd w:fill="auto" w:val="clear"/>
            <w:vAlign w:val="center"/>
          </w:tcPr>
          <w:p>
            <w:pPr>
              <w:pStyle w:val="TableContents"/>
              <w:spacing w:before="0" w:after="0"/>
              <w:ind w:left="0" w:right="0" w:firstLine="200"/>
              <w:jc w:val="left"/>
              <w:rPr/>
            </w:pPr>
            <w:r>
              <w:rPr/>
              <w:t> </w:t>
            </w:r>
          </w:p>
        </w:tc>
      </w:tr>
      <w:tr>
        <w:trPr/>
        <w:tc>
          <w:tcPr>
            <w:tcW w:w="31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Astellas</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1,624</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(3,556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1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AstraZeneca</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2,032</w:t>
            </w:r>
          </w:p>
        </w:tc>
        <w:tc>
          <w:tcPr>
            <w:tcW w:w="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(3,787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1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development revenue</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6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3,656</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(7,343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revenue</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w:t>
            </w:r>
          </w:p>
        </w:tc>
        <w:tc>
          <w:tcPr>
            <w:tcW w:w="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1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development and other revenue</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3,891</w:t>
            </w:r>
          </w:p>
        </w:tc>
        <w:tc>
          <w:tcPr>
            <w:tcW w:w="1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11,762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(7,871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 w:hAnsi="Times New Roman"/>
          <w:sz w:val="20"/>
        </w:rPr>
      </w:pPr>
      <w:r>
        <w:rPr>
          <w:rFonts w:ascii="Times New Roman;serif" w:hAnsi="Times New Roman;serif"/>
          <w:b w:val="false"/>
          <w:sz w:val="20"/>
        </w:rPr>
        <w:t>Development and other revenue decreased $7.9 million, or 67% for the three months ended March 31, 2023, compared to the same period a year ago.</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Development revenue recognized under our collaboration agreements with Astellas for the three months ended March 31, 2022 included the allocated revenue of $2.4 million related to the above-mentioned $25.0 million regulatory milestone payment associated with the approval in Russia during the first quarter of 2022. In addition, development revenue recognized under our collaboration agreements with Astellas for the three months ended March 31, 2023 was impacted by the decrease in co-development billings related to the development of roxadustat under our collaboration agreements with Astellas as a result of the substantial completion of Phase 3 trials for roxadustat.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Development revenue recognized under our collaboration agreements with AstraZeneca for the three months ended March 31, 2023 was impacted by the decrease in CKD-related co-development billings in the U.S.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Other revenue recognized for the three months ended March 31, 2023 was primarily related to our contract manufacturing agreement with Eluminex, under which we are responsible for supplying the cornea product at 110% of our product manufacturing costs until our manufacturing technology is fully transferred to Eluminex.</w:t>
      </w:r>
      <w:r>
        <w:rPr>
          <w:rFonts w:ascii="Times New Roman" w:hAnsi="Times New Roman"/>
          <w:sz w:val="20"/>
        </w:rPr>
        <w:t xml:space="preserve"> </w:t>
      </w:r>
    </w:p>
    <w:p>
      <w:pPr>
        <w:pStyle w:val="TextBody"/>
        <w:spacing w:before="360" w:after="0"/>
        <w:jc w:val="left"/>
        <w:rPr>
          <w:rFonts w:ascii="Times New Roman;serif" w:hAnsi="Times New Roman;serif"/>
          <w:b/>
          <w:sz w:val="20"/>
          <w:u w:val="single"/>
        </w:rPr>
      </w:pPr>
      <w:r>
        <w:rPr>
          <w:rFonts w:ascii="Times New Roman;serif" w:hAnsi="Times New Roman;serif"/>
          <w:b/>
          <w:sz w:val="20"/>
          <w:u w:val="single"/>
        </w:rPr>
        <w:t>Product Revenue, Net</w:t>
      </w:r>
    </w:p>
    <w:p>
      <w:pPr>
        <w:pStyle w:val="TextBody"/>
        <w:spacing w:before="0" w:after="0"/>
        <w:jc w:val="left"/>
        <w:rPr/>
      </w:pPr>
      <w:r>
        <w:rPr/>
        <w:t> </w:t>
      </w:r>
    </w:p>
    <w:tbl>
      <w:tblPr>
        <w:tblW w:w="8011" w:type="dxa"/>
        <w:jc w:val="left"/>
        <w:tblInd w:w="0" w:type="dxa"/>
        <w:tblCellMar>
          <w:top w:w="28" w:type="dxa"/>
          <w:left w:w="28" w:type="dxa"/>
          <w:bottom w:w="28" w:type="dxa"/>
          <w:right w:w="28" w:type="dxa"/>
        </w:tblCellMar>
      </w:tblPr>
      <w:tblGrid>
        <w:gridCol w:w="2551"/>
        <w:gridCol w:w="146"/>
        <w:gridCol w:w="236"/>
        <w:gridCol w:w="823"/>
        <w:gridCol w:w="185"/>
        <w:gridCol w:w="163"/>
        <w:gridCol w:w="236"/>
        <w:gridCol w:w="756"/>
        <w:gridCol w:w="166"/>
        <w:gridCol w:w="146"/>
        <w:gridCol w:w="211"/>
        <w:gridCol w:w="676"/>
        <w:gridCol w:w="166"/>
        <w:gridCol w:w="146"/>
        <w:gridCol w:w="146"/>
        <w:gridCol w:w="376"/>
        <w:gridCol w:w="166"/>
        <w:gridCol w:w="716"/>
      </w:tblGrid>
      <w:tr>
        <w:trPr/>
        <w:tc>
          <w:tcPr>
            <w:tcW w:w="2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r>
      <w:tr>
        <w:trPr/>
        <w:tc>
          <w:tcPr>
            <w:tcW w:w="25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2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16" w:type="dxa"/>
            <w:tcBorders/>
            <w:shd w:fill="auto" w:val="clear"/>
            <w:vAlign w:val="center"/>
          </w:tcPr>
          <w:p>
            <w:pPr>
              <w:pStyle w:val="TableContents"/>
              <w:spacing w:before="0" w:after="0"/>
              <w:ind w:left="0" w:right="0" w:hanging="0"/>
              <w:jc w:val="center"/>
              <w:rPr/>
            </w:pPr>
            <w:r>
              <w:rPr/>
              <w:t> </w:t>
            </w:r>
          </w:p>
        </w:tc>
      </w:tr>
      <w:tr>
        <w:trPr/>
        <w:tc>
          <w:tcPr>
            <w:tcW w:w="25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3"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16" w:type="dxa"/>
            <w:tcBorders/>
            <w:shd w:fill="auto" w:val="clear"/>
            <w:vAlign w:val="center"/>
          </w:tcPr>
          <w:p>
            <w:pPr>
              <w:pStyle w:val="TableContents"/>
              <w:spacing w:before="0" w:after="0"/>
              <w:ind w:left="0" w:right="0" w:hanging="0"/>
              <w:jc w:val="center"/>
              <w:rPr/>
            </w:pPr>
            <w:r>
              <w:rPr/>
              <w:t> </w:t>
            </w:r>
          </w:p>
        </w:tc>
      </w:tr>
      <w:tr>
        <w:trPr/>
        <w:tc>
          <w:tcPr>
            <w:tcW w:w="25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314" w:type="dxa"/>
            <w:gridSpan w:val="1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Direct Sales:</w:t>
            </w:r>
          </w:p>
        </w:tc>
        <w:tc>
          <w:tcPr>
            <w:tcW w:w="146" w:type="dxa"/>
            <w:tcBorders/>
            <w:shd w:fill="auto" w:val="clear"/>
            <w:vAlign w:val="center"/>
          </w:tcPr>
          <w:p>
            <w:pPr>
              <w:pStyle w:val="TableContents"/>
              <w:spacing w:before="0" w:after="0"/>
              <w:ind w:left="0" w:right="0" w:hanging="0"/>
              <w:jc w:val="center"/>
              <w:rPr/>
            </w:pPr>
            <w:r>
              <w:rPr/>
              <w:t> </w:t>
            </w:r>
          </w:p>
        </w:tc>
        <w:tc>
          <w:tcPr>
            <w:tcW w:w="1059" w:type="dxa"/>
            <w:gridSpan w:val="2"/>
            <w:tcBorders/>
            <w:shd w:fill="auto" w:val="clear"/>
            <w:vAlign w:val="center"/>
          </w:tcPr>
          <w:p>
            <w:pPr>
              <w:pStyle w:val="TableContents"/>
              <w:spacing w:before="0" w:after="0"/>
              <w:ind w:left="0" w:right="0" w:hanging="0"/>
              <w:jc w:val="right"/>
              <w:rPr/>
            </w:pPr>
            <w:r>
              <w:rPr/>
              <w:t> </w:t>
            </w:r>
          </w:p>
        </w:tc>
        <w:tc>
          <w:tcPr>
            <w:tcW w:w="185" w:type="dxa"/>
            <w:tcBorders/>
            <w:shd w:fill="auto" w:val="clear"/>
            <w:vAlign w:val="center"/>
          </w:tcPr>
          <w:p>
            <w:pPr>
              <w:pStyle w:val="TableContents"/>
              <w:spacing w:before="0" w:after="0"/>
              <w:ind w:left="0" w:right="0" w:hanging="0"/>
              <w:jc w:val="righ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716"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revenue</w:t>
            </w:r>
          </w:p>
        </w:tc>
        <w:tc>
          <w:tcPr>
            <w:tcW w:w="146" w:type="dxa"/>
            <w:tcBorders/>
            <w:shd w:fill="auto" w:val="clear"/>
            <w:vAlign w:val="center"/>
          </w:tcPr>
          <w:p>
            <w:pPr>
              <w:pStyle w:val="TableContents"/>
              <w:spacing w:before="0" w:after="0"/>
              <w:ind w:left="0" w:right="0" w:hanging="0"/>
              <w:jc w:val="center"/>
              <w:rPr/>
            </w:pPr>
            <w:r>
              <w:rPr/>
              <w:t> </w:t>
            </w:r>
          </w:p>
        </w:tc>
        <w:tc>
          <w:tcPr>
            <w:tcW w:w="2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3,060</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shd w:fill="auto" w:val="clear"/>
            <w:vAlign w:val="center"/>
          </w:tcPr>
          <w:p>
            <w:pPr>
              <w:pStyle w:val="TableContents"/>
              <w:spacing w:before="0" w:after="0"/>
              <w:ind w:left="0" w:right="0" w:hanging="0"/>
              <w:jc w:val="left"/>
              <w:rPr/>
            </w:pPr>
            <w:r>
              <w:rPr/>
              <w:t> </w:t>
            </w:r>
          </w:p>
        </w:tc>
        <w:tc>
          <w:tcPr>
            <w:tcW w:w="7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Discounts and rebates</w:t>
            </w:r>
          </w:p>
        </w:tc>
        <w:tc>
          <w:tcPr>
            <w:tcW w:w="146" w:type="dxa"/>
            <w:tcBorders/>
            <w:shd w:fill="auto" w:val="clear"/>
            <w:vAlign w:val="center"/>
          </w:tcPr>
          <w:p>
            <w:pPr>
              <w:pStyle w:val="TableContents"/>
              <w:spacing w:before="0" w:after="0"/>
              <w:ind w:left="0" w:right="0" w:hanging="0"/>
              <w:jc w:val="center"/>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w:t>
            </w:r>
          </w:p>
        </w:tc>
        <w:tc>
          <w:tcPr>
            <w:tcW w:w="1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166" w:type="dxa"/>
            <w:tcBorders/>
            <w:shd w:fill="auto" w:val="clear"/>
            <w:vAlign w:val="center"/>
          </w:tcPr>
          <w:p>
            <w:pPr>
              <w:pStyle w:val="TableContents"/>
              <w:spacing w:before="0" w:after="0"/>
              <w:ind w:left="0" w:right="0" w:hanging="0"/>
              <w:jc w:val="left"/>
              <w:rPr/>
            </w:pPr>
            <w:r>
              <w:rPr/>
              <w:t> </w:t>
            </w:r>
          </w:p>
        </w:tc>
        <w:tc>
          <w:tcPr>
            <w:tcW w:w="7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Sales returns</w:t>
            </w:r>
          </w:p>
        </w:tc>
        <w:tc>
          <w:tcPr>
            <w:tcW w:w="146" w:type="dxa"/>
            <w:tcBorders/>
            <w:shd w:fill="auto" w:val="clear"/>
            <w:vAlign w:val="center"/>
          </w:tcPr>
          <w:p>
            <w:pPr>
              <w:pStyle w:val="TableContents"/>
              <w:spacing w:before="0" w:after="0"/>
              <w:ind w:left="0" w:right="0" w:hanging="0"/>
              <w:jc w:val="center"/>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shd w:fill="auto" w:val="clear"/>
            <w:vAlign w:val="center"/>
          </w:tcPr>
          <w:p>
            <w:pPr>
              <w:pStyle w:val="TableContents"/>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Direct sales revenue, net</w:t>
            </w:r>
          </w:p>
        </w:tc>
        <w:tc>
          <w:tcPr>
            <w:tcW w:w="146" w:type="dxa"/>
            <w:tcBorders/>
            <w:shd w:fill="auto" w:val="clear"/>
            <w:vAlign w:val="center"/>
          </w:tcPr>
          <w:p>
            <w:pPr>
              <w:pStyle w:val="TableContents"/>
              <w:spacing w:before="0" w:after="0"/>
              <w:ind w:left="0" w:right="0" w:hanging="0"/>
              <w:jc w:val="center"/>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2,789</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shd w:fill="auto" w:val="clear"/>
            <w:vAlign w:val="center"/>
          </w:tcPr>
          <w:p>
            <w:pPr>
              <w:pStyle w:val="TableContents"/>
              <w:spacing w:before="0" w:after="0"/>
              <w:ind w:left="0" w:right="0" w:hanging="0"/>
              <w:jc w:val="left"/>
              <w:rPr/>
            </w:pPr>
            <w:r>
              <w:rPr/>
              <w:t> </w:t>
            </w:r>
          </w:p>
        </w:tc>
        <w:tc>
          <w:tcPr>
            <w:tcW w:w="7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9" w:type="dxa"/>
            <w:gridSpan w:val="2"/>
            <w:tcBorders/>
            <w:shd w:fill="auto" w:val="clear"/>
            <w:vAlign w:val="center"/>
          </w:tcPr>
          <w:p>
            <w:pPr>
              <w:pStyle w:val="TableContents"/>
              <w:spacing w:before="0" w:after="0"/>
              <w:ind w:left="0" w:right="0" w:hanging="0"/>
              <w:jc w:val="right"/>
              <w:rPr/>
            </w:pPr>
            <w:r>
              <w:rPr/>
              <w:t> </w:t>
            </w:r>
          </w:p>
        </w:tc>
        <w:tc>
          <w:tcPr>
            <w:tcW w:w="185" w:type="dxa"/>
            <w:tcBorders/>
            <w:shd w:fill="auto" w:val="clear"/>
            <w:vAlign w:val="center"/>
          </w:tcPr>
          <w:p>
            <w:pPr>
              <w:pStyle w:val="TableContents"/>
              <w:spacing w:before="0" w:after="0"/>
              <w:ind w:left="0" w:right="0" w:hanging="0"/>
              <w:jc w:val="righ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716"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Sales to Falikang:</w:t>
            </w:r>
          </w:p>
        </w:tc>
        <w:tc>
          <w:tcPr>
            <w:tcW w:w="146" w:type="dxa"/>
            <w:tcBorders/>
            <w:shd w:fill="auto" w:val="clear"/>
            <w:vAlign w:val="center"/>
          </w:tcPr>
          <w:p>
            <w:pPr>
              <w:pStyle w:val="TableContents"/>
              <w:spacing w:before="0" w:after="0"/>
              <w:ind w:left="0" w:right="0" w:hanging="0"/>
              <w:jc w:val="center"/>
              <w:rPr/>
            </w:pPr>
            <w:r>
              <w:rPr/>
              <w:t> </w:t>
            </w:r>
          </w:p>
        </w:tc>
        <w:tc>
          <w:tcPr>
            <w:tcW w:w="1059" w:type="dxa"/>
            <w:gridSpan w:val="2"/>
            <w:tcBorders/>
            <w:shd w:fill="auto" w:val="clear"/>
            <w:vAlign w:val="center"/>
          </w:tcPr>
          <w:p>
            <w:pPr>
              <w:pStyle w:val="TableContents"/>
              <w:spacing w:before="0" w:after="0"/>
              <w:ind w:left="0" w:right="0" w:hanging="0"/>
              <w:jc w:val="right"/>
              <w:rPr/>
            </w:pPr>
            <w:r>
              <w:rPr/>
              <w:t> </w:t>
            </w:r>
          </w:p>
        </w:tc>
        <w:tc>
          <w:tcPr>
            <w:tcW w:w="185" w:type="dxa"/>
            <w:tcBorders/>
            <w:shd w:fill="auto" w:val="clear"/>
            <w:vAlign w:val="center"/>
          </w:tcPr>
          <w:p>
            <w:pPr>
              <w:pStyle w:val="TableContents"/>
              <w:spacing w:before="0" w:after="0"/>
              <w:ind w:left="0" w:right="0" w:hanging="0"/>
              <w:jc w:val="righ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716"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transaction price</w:t>
            </w:r>
          </w:p>
        </w:tc>
        <w:tc>
          <w:tcPr>
            <w:tcW w:w="146" w:type="dxa"/>
            <w:tcBorders/>
            <w:shd w:fill="auto" w:val="clear"/>
            <w:vAlign w:val="center"/>
          </w:tcPr>
          <w:p>
            <w:pPr>
              <w:pStyle w:val="TableContents"/>
              <w:spacing w:before="0" w:after="0"/>
              <w:ind w:left="0" w:right="0" w:hanging="0"/>
              <w:jc w:val="center"/>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34,249</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66" w:type="dxa"/>
            <w:tcBorders/>
            <w:shd w:fill="auto" w:val="clear"/>
            <w:vAlign w:val="center"/>
          </w:tcPr>
          <w:p>
            <w:pPr>
              <w:pStyle w:val="TableContents"/>
              <w:spacing w:before="0" w:after="0"/>
              <w:ind w:left="0" w:right="0" w:hanging="0"/>
              <w:jc w:val="left"/>
              <w:rPr/>
            </w:pPr>
            <w:r>
              <w:rPr/>
              <w:t> </w:t>
            </w:r>
          </w:p>
        </w:tc>
        <w:tc>
          <w:tcPr>
            <w:tcW w:w="7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Profit share</w:t>
            </w:r>
          </w:p>
        </w:tc>
        <w:tc>
          <w:tcPr>
            <w:tcW w:w="146" w:type="dxa"/>
            <w:tcBorders/>
            <w:shd w:fill="auto" w:val="clear"/>
            <w:vAlign w:val="center"/>
          </w:tcPr>
          <w:p>
            <w:pPr>
              <w:pStyle w:val="TableContents"/>
              <w:spacing w:before="0" w:after="0"/>
              <w:ind w:left="0" w:right="0" w:hanging="0"/>
              <w:jc w:val="center"/>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(14,988</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66" w:type="dxa"/>
            <w:tcBorders/>
            <w:shd w:fill="auto" w:val="clear"/>
            <w:vAlign w:val="center"/>
          </w:tcPr>
          <w:p>
            <w:pPr>
              <w:pStyle w:val="TableContents"/>
              <w:spacing w:before="0" w:after="0"/>
              <w:ind w:left="0" w:right="0" w:hanging="0"/>
              <w:jc w:val="left"/>
              <w:rPr/>
            </w:pPr>
            <w:r>
              <w:rPr/>
              <w:t> </w:t>
            </w:r>
          </w:p>
        </w:tc>
        <w:tc>
          <w:tcPr>
            <w:tcW w:w="7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transaction price</w:t>
            </w:r>
          </w:p>
        </w:tc>
        <w:tc>
          <w:tcPr>
            <w:tcW w:w="146" w:type="dxa"/>
            <w:tcBorders/>
            <w:shd w:fill="auto" w:val="clear"/>
            <w:vAlign w:val="center"/>
          </w:tcPr>
          <w:p>
            <w:pPr>
              <w:pStyle w:val="TableContents"/>
              <w:spacing w:before="0" w:after="0"/>
              <w:ind w:left="0" w:right="0" w:hanging="0"/>
              <w:jc w:val="center"/>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19,261</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5,384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66" w:type="dxa"/>
            <w:tcBorders/>
            <w:shd w:fill="auto" w:val="clear"/>
            <w:vAlign w:val="center"/>
          </w:tcPr>
          <w:p>
            <w:pPr>
              <w:pStyle w:val="TableContents"/>
              <w:spacing w:before="0" w:after="0"/>
              <w:ind w:left="0" w:right="0" w:hanging="0"/>
              <w:jc w:val="left"/>
              <w:rPr/>
            </w:pPr>
            <w:r>
              <w:rPr/>
              <w:t> </w:t>
            </w:r>
          </w:p>
        </w:tc>
        <w:tc>
          <w:tcPr>
            <w:tcW w:w="7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Decrease in deferred revenue</w:t>
            </w:r>
          </w:p>
        </w:tc>
        <w:tc>
          <w:tcPr>
            <w:tcW w:w="146" w:type="dxa"/>
            <w:tcBorders/>
            <w:shd w:fill="auto" w:val="clear"/>
            <w:vAlign w:val="center"/>
          </w:tcPr>
          <w:p>
            <w:pPr>
              <w:pStyle w:val="TableContents"/>
              <w:spacing w:before="0" w:after="0"/>
              <w:ind w:left="0" w:right="0" w:hanging="0"/>
              <w:jc w:val="center"/>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2,111</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shd w:fill="auto" w:val="clear"/>
            <w:vAlign w:val="center"/>
          </w:tcPr>
          <w:p>
            <w:pPr>
              <w:pStyle w:val="TableContents"/>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Sales to Falikang revenue, net</w:t>
            </w:r>
          </w:p>
        </w:tc>
        <w:tc>
          <w:tcPr>
            <w:tcW w:w="146" w:type="dxa"/>
            <w:tcBorders/>
            <w:shd w:fill="auto" w:val="clear"/>
            <w:vAlign w:val="center"/>
          </w:tcPr>
          <w:p>
            <w:pPr>
              <w:pStyle w:val="TableContents"/>
              <w:spacing w:before="0" w:after="0"/>
              <w:ind w:left="0" w:right="0" w:hanging="0"/>
              <w:jc w:val="center"/>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21,372</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66" w:type="dxa"/>
            <w:tcBorders/>
            <w:shd w:fill="auto" w:val="clear"/>
            <w:vAlign w:val="center"/>
          </w:tcPr>
          <w:p>
            <w:pPr>
              <w:pStyle w:val="TableContents"/>
              <w:spacing w:before="0" w:after="0"/>
              <w:ind w:left="0" w:right="0" w:hanging="0"/>
              <w:jc w:val="left"/>
              <w:rPr/>
            </w:pPr>
            <w:r>
              <w:rPr/>
              <w:t> </w:t>
            </w:r>
          </w:p>
        </w:tc>
        <w:tc>
          <w:tcPr>
            <w:tcW w:w="716"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product revenue, net</w:t>
            </w:r>
          </w:p>
        </w:tc>
        <w:tc>
          <w:tcPr>
            <w:tcW w:w="146" w:type="dxa"/>
            <w:tcBorders/>
            <w:shd w:fill="auto" w:val="clear"/>
            <w:vAlign w:val="center"/>
          </w:tcPr>
          <w:p>
            <w:pPr>
              <w:pStyle w:val="TableContents"/>
              <w:spacing w:before="0" w:after="0"/>
              <w:ind w:left="0" w:right="0" w:hanging="0"/>
              <w:jc w:val="center"/>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24,161</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18,881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5,280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shd w:fill="auto" w:val="clear"/>
            <w:vAlign w:val="center"/>
          </w:tcPr>
          <w:p>
            <w:pPr>
              <w:pStyle w:val="TableContents"/>
              <w:spacing w:before="0" w:after="0"/>
              <w:ind w:left="0" w:right="0" w:hanging="0"/>
              <w:jc w:val="left"/>
              <w:rPr/>
            </w:pPr>
            <w:r>
              <w:rPr/>
              <w:t> </w:t>
            </w:r>
          </w:p>
        </w:tc>
        <w:tc>
          <w:tcPr>
            <w:tcW w:w="7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Substantially all direct product sales to distributors in China have been made by Falikang, while FibroGen Beijing continues to sell product directly in one province in China. Total product revenue, net increased $5.3 million, or 28% for the three months ended March 31, 2023, compared to the same period a year ago.</w:t>
      </w:r>
    </w:p>
    <w:p>
      <w:pPr>
        <w:pStyle w:val="TextBody"/>
        <w:spacing w:before="240" w:after="0"/>
        <w:jc w:val="left"/>
        <w:rPr>
          <w:rFonts w:ascii="Times New Roman" w:hAnsi="Times New Roman"/>
          <w:sz w:val="20"/>
        </w:rPr>
      </w:pPr>
      <w:r>
        <w:rPr>
          <w:rFonts w:ascii="Times New Roman;serif" w:hAnsi="Times New Roman;serif"/>
          <w:b w:val="false"/>
          <w:sz w:val="20"/>
        </w:rPr>
        <w:t>We recognize product revenue from direct sales to distributors in an amount that reflects the consideration that we expect to be entitled to in exchange for those products, net of various sales rebates and discounts. The discounts and rebates primarily consisted of the contractual sales rebate that were calculated based on the stated percentage of gross sales by each distributor in the distribution agreement, and non-key account hospital listing award that was calculated based on eligible non-key account hospital listing to date achieved by each distributor with certain requirements met during the period.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Product revenue from direct sales, net remained relatively flat for the three months ended March 31, 2023, compared to the same period a year ago. The total discounts and rebates were immaterial for each of the three months ended March 31, 2023 and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FibroGen Beijing manufactures and supplies commercial product to Falikang based on an agreed upon transfer price, which includes gross transfer price, net of calculated profit share. We recognize revenue upon the transfer of control of commercial products to Falikang in an amount that reflects the allocation of the China performance obligation transaction price to the performance obligation satisfied during the reporting period. The variable consideration components that are included in the transaction price may be constrained, and are included in the product revenue only to the extent that it is probable that a significant reversal in the amount of the cumulative revenue recognized will not occur in a future period when the uncertainty associated with the variable consideration is subsequently resolved.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val="false"/>
          <w:sz w:val="20"/>
        </w:rPr>
      </w:pPr>
      <w:r>
        <w:rPr>
          <w:rFonts w:ascii="Times New Roman;serif" w:hAnsi="Times New Roman;serif"/>
          <w:b w:val="false"/>
          <w:sz w:val="20"/>
        </w:rPr>
        <w:t>Sales to Falikang revenue, net increased $5.1 million, or 32% for the three months ended March 31, 2023, compared to the same periods a year ago. The gross transfer price increased $11.5 million and the calculated profit share increased $6.1 million for the three months ended March 31, 2023, compared to the same period a year ago, respectively, primarily due to the increase in sales volume during the current year period.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Periodically, we update our assumptions such as total sales quantity, performance period and other inputs including foreign currency translation impact, among others. Following updates to our estimates, we recognized $2.1 million and $2.3 million for the three months ended March 31, 2023 and 2022, respectively, from the previously deferred revenue of the China performance obligation.</w:t>
      </w:r>
    </w:p>
    <w:p>
      <w:pPr>
        <w:pStyle w:val="TextBody"/>
        <w:spacing w:before="360" w:after="0"/>
        <w:jc w:val="left"/>
        <w:rPr>
          <w:rFonts w:ascii="Times New Roman;serif" w:hAnsi="Times New Roman;serif"/>
          <w:b/>
          <w:sz w:val="20"/>
          <w:u w:val="single"/>
        </w:rPr>
      </w:pPr>
      <w:r>
        <w:rPr>
          <w:rFonts w:ascii="Times New Roman;serif" w:hAnsi="Times New Roman;serif"/>
          <w:b/>
          <w:sz w:val="20"/>
          <w:u w:val="single"/>
        </w:rPr>
        <w:t>Drug Product Revenue</w:t>
      </w:r>
    </w:p>
    <w:tbl>
      <w:tblPr>
        <w:tblW w:w="7668" w:type="dxa"/>
        <w:jc w:val="left"/>
        <w:tblInd w:w="0" w:type="dxa"/>
        <w:tblCellMar>
          <w:top w:w="28" w:type="dxa"/>
          <w:left w:w="28" w:type="dxa"/>
          <w:bottom w:w="28" w:type="dxa"/>
          <w:right w:w="28" w:type="dxa"/>
        </w:tblCellMar>
      </w:tblPr>
      <w:tblGrid>
        <w:gridCol w:w="2401"/>
        <w:gridCol w:w="146"/>
        <w:gridCol w:w="272"/>
        <w:gridCol w:w="738"/>
        <w:gridCol w:w="188"/>
        <w:gridCol w:w="188"/>
        <w:gridCol w:w="272"/>
        <w:gridCol w:w="738"/>
        <w:gridCol w:w="146"/>
        <w:gridCol w:w="146"/>
        <w:gridCol w:w="211"/>
        <w:gridCol w:w="631"/>
        <w:gridCol w:w="166"/>
        <w:gridCol w:w="146"/>
        <w:gridCol w:w="146"/>
        <w:gridCol w:w="376"/>
        <w:gridCol w:w="166"/>
        <w:gridCol w:w="591"/>
      </w:tblGrid>
      <w:tr>
        <w:trPr/>
        <w:tc>
          <w:tcPr>
            <w:tcW w:w="24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24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24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center"/>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24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121" w:type="dxa"/>
            <w:gridSpan w:val="1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r>
      <w:tr>
        <w:trPr/>
        <w:tc>
          <w:tcPr>
            <w:tcW w:w="2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Drug product revenue:</w:t>
            </w:r>
          </w:p>
        </w:tc>
        <w:tc>
          <w:tcPr>
            <w:tcW w:w="146" w:type="dxa"/>
            <w:tcBorders/>
            <w:shd w:fill="auto" w:val="clear"/>
            <w:vAlign w:val="center"/>
          </w:tcPr>
          <w:p>
            <w:pPr>
              <w:pStyle w:val="TableContents"/>
              <w:spacing w:before="0" w:after="0"/>
              <w:ind w:left="0" w:right="0" w:hanging="0"/>
              <w:jc w:val="center"/>
              <w:rPr/>
            </w:pPr>
            <w:r>
              <w:rPr/>
              <w:t> </w:t>
            </w:r>
          </w:p>
        </w:tc>
        <w:tc>
          <w:tcPr>
            <w:tcW w:w="1010" w:type="dxa"/>
            <w:gridSpan w:val="2"/>
            <w:tcBorders/>
            <w:shd w:fill="auto" w:val="cle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24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Astellas Japan Agreement</w:t>
            </w:r>
          </w:p>
        </w:tc>
        <w:tc>
          <w:tcPr>
            <w:tcW w:w="146" w:type="dxa"/>
            <w:tcBorders/>
            <w:shd w:fill="auto" w:val="clear"/>
            <w:vAlign w:val="center"/>
          </w:tcPr>
          <w:p>
            <w:pPr>
              <w:pStyle w:val="TableContents"/>
              <w:spacing w:before="0" w:after="0"/>
              <w:ind w:left="0" w:right="0" w:hanging="0"/>
              <w:jc w:val="center"/>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1,732</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(5,862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4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Astellas Europe Agreement</w:t>
            </w:r>
          </w:p>
        </w:tc>
        <w:tc>
          <w:tcPr>
            <w:tcW w:w="146" w:type="dxa"/>
            <w:tcBorders/>
            <w:shd w:fill="auto" w:val="clear"/>
            <w:vAlign w:val="center"/>
          </w:tcPr>
          <w:p>
            <w:pPr>
              <w:pStyle w:val="TableContents"/>
              <w:spacing w:before="0" w:after="0"/>
              <w:ind w:left="0" w:right="0" w:hanging="0"/>
              <w:jc w:val="center"/>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377</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NM</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240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drug product revenue:</w:t>
            </w:r>
          </w:p>
        </w:tc>
        <w:tc>
          <w:tcPr>
            <w:tcW w:w="146" w:type="dxa"/>
            <w:tcBorders/>
            <w:shd w:fill="auto" w:val="clear"/>
            <w:vAlign w:val="center"/>
          </w:tcPr>
          <w:p>
            <w:pPr>
              <w:pStyle w:val="TableContents"/>
              <w:spacing w:before="0" w:after="0"/>
              <w:ind w:left="0" w:right="0" w:hanging="0"/>
              <w:jc w:val="center"/>
              <w:rPr/>
            </w:pPr>
            <w:r>
              <w:rPr/>
              <w:t> </w:t>
            </w:r>
          </w:p>
        </w:tc>
        <w:tc>
          <w:tcPr>
            <w:tcW w:w="27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2,109</w:t>
            </w:r>
          </w:p>
        </w:tc>
        <w:tc>
          <w:tcPr>
            <w:tcW w:w="18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7,594</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(5,485</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pBdr>
          <w:bottom w:val="single" w:sz="8" w:space="1" w:color="000000"/>
        </w:pBdr>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NM = Not meaningful</w:t>
      </w:r>
    </w:p>
    <w:p>
      <w:pPr>
        <w:pStyle w:val="TextBody"/>
        <w:spacing w:before="240" w:after="0"/>
        <w:jc w:val="left"/>
        <w:rPr>
          <w:rFonts w:ascii="Times New Roman" w:hAnsi="Times New Roman"/>
          <w:sz w:val="20"/>
        </w:rPr>
      </w:pPr>
      <w:r>
        <w:rPr>
          <w:rFonts w:ascii="Times New Roman;serif" w:hAnsi="Times New Roman;serif"/>
          <w:b w:val="false"/>
          <w:sz w:val="20"/>
        </w:rPr>
        <w:t>Drug product revenue decreased $5.5 million, or 72% for the three months ended March 31, 2023, compared to the same period a year ago.</w:t>
      </w:r>
      <w:r>
        <w:rPr>
          <w:rFonts w:ascii="Times New Roman" w:hAnsi="Times New Roman"/>
          <w:sz w:val="20"/>
        </w:rPr>
        <w:t xml:space="preserve"> </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Astellas Japan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first quarter of 2023, we updated our estimate of variable consideration related to the API shipments fulfilled under the terms of Astellas Japan Amendment, and accordingly recorded adjustments to the drug product revenue of $1.7 million. Specifically, the change in estimated variable consideration was based on the API held by Astellas at period end, adjusted to reflect the changes in the estimated bulk product strength mix intended to be manufactured by Astellas, and estimated yield from the manufacture of bulk product tablets, among others.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During the first quarter of 2022, we fulfilled a shipment obligation under the terms of Astellas Japan Amendment and recognized related drug product revenue of $9.8 million in the same period. In addition, during the first quarter of 2022, we updated our estimate of variable consideration related to the API shipments fulfilled under the terms of Astellas Japan Amendment, and recorded a reduction to the drug product revenue of $2.2 million. Specifically, the change in estimated variable consideration was based on the API held by Astellas at period end, adjusted to reflect the changes in the estimated bulk product strength mix intended to be manufactured by Astellas, estimated cost to convert the API to bulk product tablets, and estimated yield from the manufacture of bulk product tablets, among others.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Astellas Europe Agreement</w:t>
      </w:r>
    </w:p>
    <w:p>
      <w:pPr>
        <w:pStyle w:val="TextBody"/>
        <w:spacing w:before="120" w:after="0"/>
        <w:jc w:val="left"/>
        <w:rPr>
          <w:rFonts w:ascii="Times New Roman" w:hAnsi="Times New Roman"/>
          <w:sz w:val="20"/>
        </w:rPr>
      </w:pPr>
      <w:r>
        <w:rPr>
          <w:rFonts w:ascii="Times New Roman;serif" w:hAnsi="Times New Roman;serif"/>
          <w:b w:val="false"/>
          <w:sz w:val="20"/>
        </w:rPr>
        <w:t>During the first quarter of 2022, we updated our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we reclassified the related deferred revenue to accrued liabilities during the year ended December 31, 2022. As of December 31, 2022, the related balance was $57.4 million in accrued liabilities. Further during the first quarter of 2023, we reclassified $16.6 million from the related deferred revenue to accrued liabilities. As of March 31, 2023, the balances related to the bulk drug product price true-up under the Astellas Europe Agreement and the Astellas EU Supply Agreement were $57.5 million in accounts payable and $16.4 million in accrued liabilities, representing our best estimate that these amounts will be paid within the next 12 months.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we recognized royalty revenue of $0.4 million as drug product revenue from the deferred revenue under the Astellas Europe Agreement for the three months ended March 31, 2023. It is our best estimate that the remainder of the deferred revenue will be recognized as revenue and when uncertainty is resolved, based on the performance of roxadustat product sales in the Astellas territory.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 w:hAnsi="Times New Roman"/>
          <w:sz w:val="20"/>
        </w:rPr>
      </w:pPr>
      <w:r>
        <w:rPr>
          <w:rFonts w:ascii="Times New Roman;serif" w:hAnsi="Times New Roman;serif"/>
          <w:b w:val="false"/>
          <w:i/>
          <w:sz w:val="20"/>
        </w:rPr>
        <w:t>AstraZeneca U.S./RoW Agreement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There was no shipment of bulk drug product to AstraZeneca as commercial supply under the terms of the AstraZeneca Master Supply Agreement during the three months ended March 31, 2023 and 2022.</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During the first quarter of 2022, we evaluated the current developments in the U.S. market, and updated our estimates of variable consideration associated with bulk drug product shipments to AstraZeneca in prior years as commercial supply under the terms of the AstraZeneca Master Supply Agreement. As a result, we reclassified $11.2 million from the related deferred revenue to accrued liabilities during the year ended December 31, 2022. As of each of March 31, 2023 and December 31, 2022, the related balance in accrued liabilities was $11.2 million, representing our best estimate that this amount will be paid within the next 12 months.</w:t>
      </w:r>
    </w:p>
    <w:p>
      <w:pPr>
        <w:pStyle w:val="TextBody"/>
        <w:spacing w:before="360" w:after="0"/>
        <w:jc w:val="left"/>
        <w:rPr>
          <w:rFonts w:ascii="Times New Roman;serif" w:hAnsi="Times New Roman;serif"/>
          <w:b/>
          <w:sz w:val="20"/>
        </w:rPr>
      </w:pPr>
      <w:r>
        <w:rPr>
          <w:rFonts w:ascii="Times New Roman;serif" w:hAnsi="Times New Roman;serif"/>
          <w:b/>
          <w:sz w:val="20"/>
        </w:rPr>
        <w:t>Operating Costs and Expenses</w:t>
      </w:r>
    </w:p>
    <w:tbl>
      <w:tblPr>
        <w:tblW w:w="8455" w:type="dxa"/>
        <w:jc w:val="left"/>
        <w:tblInd w:w="0" w:type="dxa"/>
        <w:tblCellMar>
          <w:top w:w="28" w:type="dxa"/>
          <w:left w:w="28" w:type="dxa"/>
          <w:bottom w:w="28" w:type="dxa"/>
          <w:right w:w="28" w:type="dxa"/>
        </w:tblCellMar>
      </w:tblPr>
      <w:tblGrid>
        <w:gridCol w:w="2956"/>
        <w:gridCol w:w="146"/>
        <w:gridCol w:w="222"/>
        <w:gridCol w:w="823"/>
        <w:gridCol w:w="154"/>
        <w:gridCol w:w="154"/>
        <w:gridCol w:w="222"/>
        <w:gridCol w:w="823"/>
        <w:gridCol w:w="146"/>
        <w:gridCol w:w="146"/>
        <w:gridCol w:w="211"/>
        <w:gridCol w:w="736"/>
        <w:gridCol w:w="166"/>
        <w:gridCol w:w="146"/>
        <w:gridCol w:w="146"/>
        <w:gridCol w:w="376"/>
        <w:gridCol w:w="166"/>
        <w:gridCol w:w="716"/>
      </w:tblGrid>
      <w:tr>
        <w:trPr/>
        <w:tc>
          <w:tcPr>
            <w:tcW w:w="29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8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16" w:type="dxa"/>
            <w:tcBorders/>
            <w:shd w:fill="auto" w:val="cle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center"/>
              <w:rPr/>
            </w:pPr>
            <w:r>
              <w:rPr/>
              <w:t> </w:t>
            </w:r>
          </w:p>
        </w:tc>
        <w:tc>
          <w:tcPr>
            <w:tcW w:w="10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16" w:type="dxa"/>
            <w:tcBorders/>
            <w:shd w:fill="auto" w:val="cle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353" w:type="dxa"/>
            <w:gridSpan w:val="1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costs and expenses</w:t>
            </w:r>
          </w:p>
        </w:tc>
        <w:tc>
          <w:tcPr>
            <w:tcW w:w="146" w:type="dxa"/>
            <w:tcBorders/>
            <w:shd w:fill="auto" w:val="clear"/>
            <w:vAlign w:val="center"/>
          </w:tcPr>
          <w:p>
            <w:pPr>
              <w:pStyle w:val="TableContents"/>
              <w:spacing w:before="0" w:after="0"/>
              <w:ind w:left="0" w:right="0" w:hanging="0"/>
              <w:jc w:val="center"/>
              <w:rPr/>
            </w:pPr>
            <w:r>
              <w:rPr/>
              <w:t> </w:t>
            </w:r>
          </w:p>
        </w:tc>
        <w:tc>
          <w:tcPr>
            <w:tcW w:w="1045" w:type="dxa"/>
            <w:gridSpan w:val="2"/>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104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716" w:type="dxa"/>
            <w:tcBorders/>
            <w:shd w:fill="auto" w:val="clear"/>
            <w:vAlign w:val="center"/>
          </w:tcPr>
          <w:p>
            <w:pPr>
              <w:pStyle w:val="TableContents"/>
              <w:spacing w:before="0" w:after="0"/>
              <w:ind w:left="0" w:right="0" w:firstLine="200"/>
              <w:jc w:val="left"/>
              <w:rPr/>
            </w:pPr>
            <w:r>
              <w:rPr/>
              <w:t> </w:t>
            </w:r>
          </w:p>
        </w:tc>
      </w:tr>
      <w:tr>
        <w:trPr/>
        <w:tc>
          <w:tcPr>
            <w:tcW w:w="29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goods sold</w:t>
            </w:r>
          </w:p>
        </w:tc>
        <w:tc>
          <w:tcPr>
            <w:tcW w:w="146" w:type="dxa"/>
            <w:tcBorders/>
            <w:shd w:fill="auto" w:val="clear"/>
            <w:vAlign w:val="center"/>
          </w:tcPr>
          <w:p>
            <w:pPr>
              <w:pStyle w:val="TableContents"/>
              <w:spacing w:before="0" w:after="0"/>
              <w:ind w:left="0" w:right="0" w:hanging="0"/>
              <w:jc w:val="center"/>
              <w:rPr/>
            </w:pPr>
            <w:r>
              <w:rPr/>
              <w:t> </w:t>
            </w:r>
          </w:p>
        </w:tc>
        <w:tc>
          <w:tcPr>
            <w:tcW w:w="2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3,491</w:t>
            </w:r>
          </w:p>
        </w:tc>
        <w:tc>
          <w:tcPr>
            <w:tcW w:w="154"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9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center"/>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74,486</w:t>
            </w:r>
          </w:p>
        </w:tc>
        <w:tc>
          <w:tcPr>
            <w:tcW w:w="154"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89,018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(14,532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9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shd w:fill="auto" w:val="clear"/>
            <w:vAlign w:val="center"/>
          </w:tcPr>
          <w:p>
            <w:pPr>
              <w:pStyle w:val="TableContents"/>
              <w:spacing w:before="0" w:after="0"/>
              <w:ind w:left="0" w:right="0" w:hanging="0"/>
              <w:jc w:val="center"/>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34,275</w:t>
            </w:r>
          </w:p>
        </w:tc>
        <w:tc>
          <w:tcPr>
            <w:tcW w:w="1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30,564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shd w:fill="auto" w:val="clear"/>
            <w:vAlign w:val="center"/>
          </w:tcPr>
          <w:p>
            <w:pPr>
              <w:pStyle w:val="TableContents"/>
              <w:spacing w:before="0" w:after="0"/>
              <w:ind w:left="0" w:right="0" w:hanging="0"/>
              <w:jc w:val="left"/>
              <w:rPr/>
            </w:pPr>
            <w:r>
              <w:rPr/>
              <w:t> </w:t>
            </w:r>
          </w:p>
        </w:tc>
        <w:tc>
          <w:tcPr>
            <w:tcW w:w="716"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95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costs and expenses</w:t>
            </w:r>
          </w:p>
        </w:tc>
        <w:tc>
          <w:tcPr>
            <w:tcW w:w="146" w:type="dxa"/>
            <w:tcBorders/>
            <w:shd w:fill="auto" w:val="clear"/>
            <w:vAlign w:val="center"/>
          </w:tcPr>
          <w:p>
            <w:pPr>
              <w:pStyle w:val="TableContents"/>
              <w:spacing w:before="0" w:after="0"/>
              <w:ind w:left="0" w:right="0" w:hanging="0"/>
              <w:jc w:val="center"/>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112,252</w:t>
            </w:r>
          </w:p>
        </w:tc>
        <w:tc>
          <w:tcPr>
            <w:tcW w:w="1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123,820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(11,568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Total operating costs and expenses increased $11.6 million, or 9% for the three months ended March 31, 2023, compared to the same period a year ago for the reasons discussed in the sections below.</w:t>
      </w:r>
    </w:p>
    <w:p>
      <w:pPr>
        <w:pStyle w:val="TextBody"/>
        <w:spacing w:before="360" w:after="0"/>
        <w:jc w:val="left"/>
        <w:rPr>
          <w:rFonts w:ascii="Times New Roman;serif" w:hAnsi="Times New Roman;serif"/>
          <w:b/>
          <w:sz w:val="20"/>
          <w:u w:val="single"/>
        </w:rPr>
      </w:pPr>
      <w:r>
        <w:rPr>
          <w:rFonts w:ascii="Times New Roman;serif" w:hAnsi="Times New Roman;serif"/>
          <w:b/>
          <w:sz w:val="20"/>
          <w:u w:val="single"/>
        </w:rPr>
        <w:t>Cost of Goods Sold</w:t>
      </w:r>
    </w:p>
    <w:p>
      <w:pPr>
        <w:pStyle w:val="TextBody"/>
        <w:spacing w:before="120" w:after="0"/>
        <w:jc w:val="left"/>
        <w:rPr>
          <w:rFonts w:ascii="Times New Roman" w:hAnsi="Times New Roman"/>
          <w:sz w:val="20"/>
        </w:rPr>
      </w:pPr>
      <w:r>
        <w:rPr>
          <w:rFonts w:ascii="Times New Roman;serif" w:hAnsi="Times New Roman;serif"/>
          <w:b w:val="false"/>
          <w:sz w:val="20"/>
        </w:rPr>
        <w:t>Cost of goods sold decreased $0.7 million, or 18% for the three months ended March 31, 2023, compared to the same period a year ago.</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Cost of goods sold, associated with the roxadustat commercial sales in China, consists of direct costs to manufacture commercial product, as well as indirect costs including factory overhead, storage, shipping, quality assurance, idle capacity charges, and inventory valuation adjustments. Cost of goods sold associated with the roxadustat commercial sales in China was $3.2 million for the three months ended March 31, 2023, as compared to $2.6 million to the same period a year ago, an increase of $0.6 million, or 21%, resulting from the increase in the sales volume, partially offset by improved unit cost efficiency due to higher production volume.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Cost of goods sold in the U.S., associated with costs of the roxadustat API or bulk drug product delivered to Astellas and AstraZeneca, was immaterial for the three months ended March 31, 2023 and 2022. We expect costs of goods sold to increase in relation to drug product revenue as we deplete inventories that we had expensed prior to receiving regulatory approvals.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Cost of goods sold also included manufacturing costs related to our contract manufacturing revenue from Eluminex, which was immaterial for the three months ended March 31, 2023 and 2022.</w:t>
      </w:r>
    </w:p>
    <w:p>
      <w:pPr>
        <w:pStyle w:val="TextBody"/>
        <w:spacing w:before="360" w:after="0"/>
        <w:jc w:val="left"/>
        <w:rPr>
          <w:rFonts w:ascii="Times New Roman;serif" w:hAnsi="Times New Roman;serif"/>
          <w:b/>
          <w:sz w:val="20"/>
          <w:u w:val="single"/>
        </w:rPr>
      </w:pPr>
      <w:r>
        <w:rPr>
          <w:rFonts w:ascii="Times New Roman;serif" w:hAnsi="Times New Roman;serif"/>
          <w:b/>
          <w:sz w:val="20"/>
          <w:u w:val="single"/>
        </w:rPr>
        <w:t>Research and Development Expenses</w:t>
      </w:r>
    </w:p>
    <w:p>
      <w:pPr>
        <w:pStyle w:val="TextBody"/>
        <w:spacing w:before="120" w:after="0"/>
        <w:jc w:val="left"/>
        <w:rPr>
          <w:rFonts w:ascii="Times New Roman" w:hAnsi="Times New Roman"/>
          <w:sz w:val="20"/>
        </w:rPr>
      </w:pPr>
      <w:r>
        <w:rPr>
          <w:rFonts w:ascii="Times New Roman;serif" w:hAnsi="Times New Roman;serif"/>
          <w:b w:val="false"/>
          <w:sz w:val="20"/>
        </w:rPr>
        <w:t>Research and development expenses consist of third-party research and development costs and the fully-burdened amount of costs associated with work performed under collaboration agreements. Research and development expenses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We expense research and development costs as incurred. We recognize costs for certain development activities based on an evaluation of the progress to completion of specific tasks using information and data provided to us by our vendors and our clinical sites. Research and development expenses also include in-process research and development assets that have no alternative future use other than in a particular research and development project.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summarizes our research and development expenses incurred during the three months ended March 31, 2023 and 2022:</w:t>
      </w:r>
    </w:p>
    <w:tbl>
      <w:tblPr>
        <w:tblW w:w="6470" w:type="dxa"/>
        <w:jc w:val="left"/>
        <w:tblInd w:w="0" w:type="dxa"/>
        <w:tblCellMar>
          <w:top w:w="28" w:type="dxa"/>
          <w:left w:w="28" w:type="dxa"/>
          <w:bottom w:w="28" w:type="dxa"/>
          <w:right w:w="28" w:type="dxa"/>
        </w:tblCellMar>
      </w:tblPr>
      <w:tblGrid>
        <w:gridCol w:w="2079"/>
        <w:gridCol w:w="201"/>
        <w:gridCol w:w="1455"/>
        <w:gridCol w:w="146"/>
        <w:gridCol w:w="245"/>
        <w:gridCol w:w="785"/>
        <w:gridCol w:w="169"/>
        <w:gridCol w:w="169"/>
        <w:gridCol w:w="245"/>
        <w:gridCol w:w="785"/>
        <w:gridCol w:w="191"/>
      </w:tblGrid>
      <w:tr>
        <w:trPr/>
        <w:tc>
          <w:tcPr>
            <w:tcW w:w="207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4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079" w:type="dxa"/>
            <w:tcBorders/>
            <w:shd w:fill="auto" w:val="clear"/>
            <w:vAlign w:val="center"/>
          </w:tcPr>
          <w:p>
            <w:pPr>
              <w:pStyle w:val="TableContents"/>
              <w:spacing w:before="0" w:after="0"/>
              <w:ind w:left="0" w:right="0" w:hanging="0"/>
              <w:jc w:val="center"/>
              <w:rPr/>
            </w:pPr>
            <w:r>
              <w:rPr/>
              <w:t> </w:t>
            </w:r>
          </w:p>
        </w:tc>
        <w:tc>
          <w:tcPr>
            <w:tcW w:w="201" w:type="dxa"/>
            <w:tcBorders/>
            <w:shd w:fill="auto" w:val="clear"/>
            <w:vAlign w:val="center"/>
          </w:tcPr>
          <w:p>
            <w:pPr>
              <w:pStyle w:val="TableContents"/>
              <w:spacing w:before="0" w:after="0"/>
              <w:ind w:left="0" w:right="0" w:hanging="0"/>
              <w:jc w:val="center"/>
              <w:rPr/>
            </w:pPr>
            <w:r>
              <w:rPr/>
              <w:t> </w:t>
            </w:r>
          </w:p>
        </w:tc>
        <w:tc>
          <w:tcPr>
            <w:tcW w:w="1455"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Phase of</w:t>
            </w:r>
          </w:p>
        </w:tc>
        <w:tc>
          <w:tcPr>
            <w:tcW w:w="146" w:type="dxa"/>
            <w:tcBorders/>
            <w:shd w:fill="auto" w:val="clear"/>
            <w:vAlign w:val="center"/>
          </w:tcPr>
          <w:p>
            <w:pPr>
              <w:pStyle w:val="TableContents"/>
              <w:spacing w:before="0" w:after="0"/>
              <w:ind w:left="0" w:right="0" w:hanging="0"/>
              <w:jc w:val="center"/>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Product Candidate</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Development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shd w:fill="auto" w:val="clear"/>
            <w:vAlign w:val="center"/>
          </w:tcPr>
          <w:p>
            <w:pPr>
              <w:pStyle w:val="TableContents"/>
              <w:spacing w:before="0" w:after="0"/>
              <w:ind w:left="0" w:right="0" w:hanging="0"/>
              <w:jc w:val="center"/>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79" w:type="dxa"/>
            <w:tcBorders/>
            <w:shd w:fill="auto" w:val="clear"/>
            <w:vAlign w:val="center"/>
          </w:tcPr>
          <w:p>
            <w:pPr>
              <w:pStyle w:val="TableContents"/>
              <w:spacing w:before="0" w:after="0"/>
              <w:ind w:left="0" w:right="0" w:hanging="0"/>
              <w:jc w:val="center"/>
              <w:rPr/>
            </w:pPr>
            <w:r>
              <w:rPr/>
              <w:t> </w:t>
            </w:r>
          </w:p>
        </w:tc>
        <w:tc>
          <w:tcPr>
            <w:tcW w:w="201" w:type="dxa"/>
            <w:tcBorders/>
            <w:shd w:fill="auto" w:val="clear"/>
            <w:vAlign w:val="center"/>
          </w:tcPr>
          <w:p>
            <w:pPr>
              <w:pStyle w:val="TableContents"/>
              <w:spacing w:before="0" w:after="0"/>
              <w:ind w:left="0" w:right="0" w:hanging="0"/>
              <w:jc w:val="center"/>
              <w:rPr/>
            </w:pPr>
            <w:r>
              <w:rPr/>
              <w:t> </w:t>
            </w:r>
          </w:p>
        </w:tc>
        <w:tc>
          <w:tcPr>
            <w:tcW w:w="145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20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Pamrevlumab</w:t>
            </w:r>
          </w:p>
        </w:tc>
        <w:tc>
          <w:tcPr>
            <w:tcW w:w="201" w:type="dxa"/>
            <w:tcBorders/>
            <w:shd w:fill="auto" w:val="clear"/>
            <w:vAlign w:val="center"/>
          </w:tcPr>
          <w:p>
            <w:pPr>
              <w:pStyle w:val="TableContents"/>
              <w:spacing w:before="0" w:after="0"/>
              <w:ind w:left="0" w:right="0" w:hanging="0"/>
              <w:jc w:val="left"/>
              <w:rPr/>
            </w:pPr>
            <w:r>
              <w:rPr/>
              <w:t> </w:t>
            </w:r>
          </w:p>
        </w:tc>
        <w:tc>
          <w:tcPr>
            <w:tcW w:w="145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Phase 2/3</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40,865</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61,013</w:t>
            </w:r>
          </w:p>
        </w:tc>
        <w:tc>
          <w:tcPr>
            <w:tcW w:w="191" w:type="dxa"/>
            <w:tcBorders/>
            <w:shd w:fill="auto" w:val="clear"/>
            <w:vAlign w:val="center"/>
          </w:tcPr>
          <w:p>
            <w:pPr>
              <w:pStyle w:val="TableContents"/>
              <w:spacing w:before="0" w:after="0"/>
              <w:ind w:left="0" w:right="0" w:hanging="0"/>
              <w:jc w:val="left"/>
              <w:rPr/>
            </w:pPr>
            <w:r>
              <w:rPr/>
              <w:t> </w:t>
            </w:r>
          </w:p>
        </w:tc>
      </w:tr>
      <w:tr>
        <w:trPr/>
        <w:tc>
          <w:tcPr>
            <w:tcW w:w="20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Roxadustat</w:t>
            </w:r>
          </w:p>
        </w:tc>
        <w:tc>
          <w:tcPr>
            <w:tcW w:w="201" w:type="dxa"/>
            <w:tcBorders/>
            <w:shd w:fill="auto" w:val="clear"/>
            <w:vAlign w:val="center"/>
          </w:tcPr>
          <w:p>
            <w:pPr>
              <w:pStyle w:val="TableContents"/>
              <w:spacing w:before="0" w:after="0"/>
              <w:ind w:left="0" w:right="0" w:hanging="0"/>
              <w:jc w:val="left"/>
              <w:rPr/>
            </w:pPr>
            <w:r>
              <w:rPr/>
              <w:t> </w:t>
            </w:r>
          </w:p>
        </w:tc>
        <w:tc>
          <w:tcPr>
            <w:tcW w:w="145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Phase 3</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7,706</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16,530</w:t>
            </w:r>
          </w:p>
        </w:tc>
        <w:tc>
          <w:tcPr>
            <w:tcW w:w="191" w:type="dxa"/>
            <w:tcBorders/>
            <w:shd w:fill="auto" w:val="clear"/>
            <w:vAlign w:val="center"/>
          </w:tcPr>
          <w:p>
            <w:pPr>
              <w:pStyle w:val="TableContents"/>
              <w:spacing w:before="0" w:after="0"/>
              <w:ind w:left="0" w:right="0" w:hanging="0"/>
              <w:jc w:val="left"/>
              <w:rPr/>
            </w:pPr>
            <w:r>
              <w:rPr/>
              <w:t> </w:t>
            </w:r>
          </w:p>
        </w:tc>
      </w:tr>
      <w:tr>
        <w:trPr/>
        <w:tc>
          <w:tcPr>
            <w:tcW w:w="3735" w:type="dxa"/>
            <w:gridSpan w:val="3"/>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25,915</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11,475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35" w:type="dxa"/>
            <w:gridSpan w:val="3"/>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Total 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74,486</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89,018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sz w:val="20"/>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Research and development expenses decreased $14.5 million, or 16% for the three months ended March 31, 2023, compared to the same period a year ago, primarily as a result of the net effect of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Decrease of $13.8 million in drug development expenses associated with drug substance and drug product manufacturing activities primarily related to pamrevlumab, which incurred significant activities in the prior year period;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Decrease of $4.7 million in clinical trials costs, primarily due to Phase 3 trials for pamrevlumab and CKD studies for roxadustat reaching to their completion;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Increase of $2.1 million in employee-related costs primarily due to overall merit increase during the current year period.</w:t>
      </w:r>
    </w:p>
    <w:p>
      <w:pPr>
        <w:pStyle w:val="TextBody"/>
        <w:spacing w:before="360" w:after="0"/>
        <w:jc w:val="left"/>
        <w:rPr>
          <w:rFonts w:ascii="Times New Roman;serif" w:hAnsi="Times New Roman;serif"/>
          <w:b/>
          <w:sz w:val="20"/>
          <w:u w:val="single"/>
        </w:rPr>
      </w:pPr>
      <w:r>
        <w:rPr>
          <w:rFonts w:ascii="Times New Roman;serif" w:hAnsi="Times New Roman;serif"/>
          <w:b/>
          <w:sz w:val="20"/>
          <w:u w:val="single"/>
        </w:rPr>
        <w:t>Selling, General and Administrative Expenses</w:t>
      </w:r>
    </w:p>
    <w:p>
      <w:pPr>
        <w:pStyle w:val="TextBody"/>
        <w:spacing w:before="120" w:after="0"/>
        <w:jc w:val="left"/>
        <w:rPr>
          <w:rFonts w:ascii="Times New Roman" w:hAnsi="Times New Roman"/>
          <w:sz w:val="20"/>
        </w:rPr>
      </w:pPr>
      <w:r>
        <w:rPr>
          <w:rFonts w:ascii="Times New Roman;serif" w:hAnsi="Times New Roman;serif"/>
          <w:b w:val="false"/>
          <w:sz w:val="20"/>
        </w:rPr>
        <w:t>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associated with our commercialization efforts in China, recruiting fees and expenses associated with obtaining and maintaining patents.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SG&amp;A expenses increased $3.7 million, or 12% for the three months ended March 31, 2023, compared to the same period a year ago, primarily as a result of the net effect of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Increase of $1.6 million in employee-related costs primarily due to overall merit increase during the current year period;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Increase of $1.6 million in legal expenses primarily due to corporate legal activities.</w:t>
      </w:r>
    </w:p>
    <w:p>
      <w:pPr>
        <w:pStyle w:val="TextBody"/>
        <w:spacing w:before="360" w:after="0"/>
        <w:jc w:val="left"/>
        <w:rPr>
          <w:rFonts w:ascii="Times New Roman;serif" w:hAnsi="Times New Roman;serif"/>
          <w:b/>
          <w:sz w:val="20"/>
        </w:rPr>
      </w:pPr>
      <w:r>
        <w:rPr>
          <w:rFonts w:ascii="Times New Roman;serif" w:hAnsi="Times New Roman;serif"/>
          <w:b/>
          <w:sz w:val="20"/>
        </w:rPr>
        <w:t>Interest and Other, Net</w:t>
      </w:r>
    </w:p>
    <w:p>
      <w:pPr>
        <w:pStyle w:val="TextBody"/>
        <w:spacing w:before="0" w:after="0"/>
        <w:jc w:val="left"/>
        <w:rPr/>
      </w:pPr>
      <w:r>
        <w:rPr/>
        <w:t> </w:t>
      </w:r>
    </w:p>
    <w:tbl>
      <w:tblPr>
        <w:tblW w:w="9674" w:type="dxa"/>
        <w:jc w:val="left"/>
        <w:tblInd w:w="0" w:type="dxa"/>
        <w:tblCellMar>
          <w:top w:w="28" w:type="dxa"/>
          <w:left w:w="28" w:type="dxa"/>
          <w:bottom w:w="28" w:type="dxa"/>
          <w:right w:w="28" w:type="dxa"/>
        </w:tblCellMar>
      </w:tblPr>
      <w:tblGrid>
        <w:gridCol w:w="4066"/>
        <w:gridCol w:w="146"/>
        <w:gridCol w:w="274"/>
        <w:gridCol w:w="820"/>
        <w:gridCol w:w="215"/>
        <w:gridCol w:w="189"/>
        <w:gridCol w:w="274"/>
        <w:gridCol w:w="625"/>
        <w:gridCol w:w="166"/>
        <w:gridCol w:w="146"/>
        <w:gridCol w:w="211"/>
        <w:gridCol w:w="631"/>
        <w:gridCol w:w="166"/>
        <w:gridCol w:w="146"/>
        <w:gridCol w:w="146"/>
        <w:gridCol w:w="571"/>
        <w:gridCol w:w="166"/>
        <w:gridCol w:w="716"/>
      </w:tblGrid>
      <w:tr>
        <w:trPr/>
        <w:tc>
          <w:tcPr>
            <w:tcW w:w="4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r>
      <w:tr>
        <w:trPr/>
        <w:tc>
          <w:tcPr>
            <w:tcW w:w="40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7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16" w:type="dxa"/>
            <w:tcBorders/>
            <w:shd w:fill="auto" w:val="clear"/>
            <w:vAlign w:val="center"/>
          </w:tcPr>
          <w:p>
            <w:pPr>
              <w:pStyle w:val="TableContents"/>
              <w:spacing w:before="0" w:after="0"/>
              <w:ind w:left="0" w:right="0" w:hanging="0"/>
              <w:jc w:val="center"/>
              <w:rPr/>
            </w:pPr>
            <w:r>
              <w:rPr/>
              <w:t> </w:t>
            </w:r>
          </w:p>
        </w:tc>
      </w:tr>
      <w:tr>
        <w:trPr/>
        <w:tc>
          <w:tcPr>
            <w:tcW w:w="40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9" w:type="dxa"/>
            <w:tcBorders/>
            <w:shd w:fill="auto" w:val="clear"/>
            <w:vAlign w:val="center"/>
          </w:tcPr>
          <w:p>
            <w:pPr>
              <w:pStyle w:val="TableContents"/>
              <w:spacing w:before="0" w:after="0"/>
              <w:ind w:left="0" w:right="0" w:hanging="0"/>
              <w:jc w:val="center"/>
              <w:rPr/>
            </w:pPr>
            <w:r>
              <w:rPr/>
              <w:t> </w:t>
            </w:r>
          </w:p>
        </w:tc>
        <w:tc>
          <w:tcPr>
            <w:tcW w:w="8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16" w:type="dxa"/>
            <w:tcBorders/>
            <w:shd w:fill="auto" w:val="clear"/>
            <w:vAlign w:val="center"/>
          </w:tcPr>
          <w:p>
            <w:pPr>
              <w:pStyle w:val="TableContents"/>
              <w:spacing w:before="0" w:after="0"/>
              <w:ind w:left="0" w:right="0" w:hanging="0"/>
              <w:jc w:val="center"/>
              <w:rPr/>
            </w:pPr>
            <w:r>
              <w:rPr/>
              <w:t> </w:t>
            </w:r>
          </w:p>
        </w:tc>
      </w:tr>
      <w:tr>
        <w:trPr/>
        <w:tc>
          <w:tcPr>
            <w:tcW w:w="40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62" w:type="dxa"/>
            <w:gridSpan w:val="1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and other, net:</w:t>
            </w:r>
          </w:p>
        </w:tc>
        <w:tc>
          <w:tcPr>
            <w:tcW w:w="146" w:type="dxa"/>
            <w:tcBorders/>
            <w:shd w:fill="auto" w:val="clear"/>
            <w:vAlign w:val="center"/>
          </w:tcPr>
          <w:p>
            <w:pPr>
              <w:pStyle w:val="TableContents"/>
              <w:spacing w:before="0" w:after="0"/>
              <w:ind w:left="0" w:right="0" w:hanging="0"/>
              <w:jc w:val="left"/>
              <w:rPr/>
            </w:pPr>
            <w:r>
              <w:rPr/>
              <w:t> </w:t>
            </w:r>
          </w:p>
        </w:tc>
        <w:tc>
          <w:tcPr>
            <w:tcW w:w="1094" w:type="dxa"/>
            <w:gridSpan w:val="2"/>
            <w:tcBorders/>
            <w:shd w:fill="auto" w:val="clear"/>
            <w:vAlign w:val="center"/>
          </w:tcPr>
          <w:p>
            <w:pPr>
              <w:pStyle w:val="TableContents"/>
              <w:spacing w:before="0" w:after="0"/>
              <w:ind w:left="0" w:right="0" w:hanging="0"/>
              <w:jc w:val="center"/>
              <w:rPr/>
            </w:pPr>
            <w:r>
              <w:rPr/>
              <w:t> </w:t>
            </w:r>
          </w:p>
        </w:tc>
        <w:tc>
          <w:tcPr>
            <w:tcW w:w="215" w:type="dxa"/>
            <w:tcBorders/>
            <w:shd w:fill="auto" w:val="clear"/>
            <w:vAlign w:val="center"/>
          </w:tcPr>
          <w:p>
            <w:pPr>
              <w:pStyle w:val="TableContents"/>
              <w:spacing w:before="0" w:after="0"/>
              <w:ind w:left="0" w:right="0" w:hanging="0"/>
              <w:jc w:val="center"/>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899"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716" w:type="dxa"/>
            <w:tcBorders/>
            <w:shd w:fill="auto" w:val="clear"/>
            <w:vAlign w:val="center"/>
          </w:tcPr>
          <w:p>
            <w:pPr>
              <w:pStyle w:val="TableContents"/>
              <w:spacing w:before="0" w:after="0"/>
              <w:ind w:left="0" w:right="0" w:firstLine="200"/>
              <w:jc w:val="left"/>
              <w:rPr/>
            </w:pPr>
            <w:r>
              <w:rPr/>
              <w:t> </w:t>
            </w:r>
          </w:p>
        </w:tc>
      </w:tr>
      <w:tr>
        <w:trPr/>
        <w:tc>
          <w:tcPr>
            <w:tcW w:w="40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(2,372</w:t>
            </w:r>
          </w:p>
        </w:tc>
        <w:tc>
          <w:tcPr>
            <w:tcW w:w="2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2,345</w:t>
            </w:r>
          </w:p>
        </w:tc>
        <w:tc>
          <w:tcPr>
            <w:tcW w:w="166" w:type="dxa"/>
            <w:tcBorders/>
            <w:shd w:fill="auto" w:val="clear"/>
            <w:vAlign w:val="center"/>
          </w:tcPr>
          <w:p>
            <w:pPr>
              <w:pStyle w:val="TableContents"/>
              <w:spacing w:before="0" w:after="0"/>
              <w:ind w:left="0" w:right="0" w:hanging="0"/>
              <w:jc w:val="left"/>
              <w:rPr/>
            </w:pPr>
            <w:r>
              <w:rPr/>
              <w:t> </w:t>
            </w:r>
          </w:p>
        </w:tc>
        <w:tc>
          <w:tcPr>
            <w:tcW w:w="7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 and other income (expenses), net</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1,036</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w:t>
            </w:r>
          </w:p>
        </w:tc>
        <w:tc>
          <w:tcPr>
            <w:tcW w:w="166" w:type="dxa"/>
            <w:tcBorders/>
            <w:shd w:fill="auto" w:val="clear"/>
            <w:vAlign w:val="center"/>
          </w:tcPr>
          <w:p>
            <w:pPr>
              <w:pStyle w:val="TableContents"/>
              <w:spacing w:before="0" w:after="0"/>
              <w:ind w:left="0" w:right="0" w:hanging="0"/>
              <w:jc w:val="left"/>
              <w:rPr/>
            </w:pPr>
            <w:r>
              <w:rPr/>
              <w:t> </w:t>
            </w:r>
          </w:p>
        </w:tc>
        <w:tc>
          <w:tcPr>
            <w:tcW w:w="716"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interest and other, net</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(1,336</w:t>
            </w:r>
          </w:p>
        </w:tc>
        <w:tc>
          <w:tcPr>
            <w:tcW w:w="2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360" w:after="0"/>
        <w:jc w:val="left"/>
        <w:rPr>
          <w:rFonts w:ascii="Times New Roman;serif" w:hAnsi="Times New Roman;serif"/>
          <w:b/>
          <w:sz w:val="20"/>
          <w:u w:val="single"/>
        </w:rPr>
      </w:pPr>
      <w:r>
        <w:rPr>
          <w:rFonts w:ascii="Times New Roman;serif" w:hAnsi="Times New Roman;serif"/>
          <w:b/>
          <w:sz w:val="20"/>
          <w:u w:val="single"/>
        </w:rPr>
        <w:t>Interest Expense</w:t>
      </w:r>
    </w:p>
    <w:p>
      <w:pPr>
        <w:pStyle w:val="TextBody"/>
        <w:spacing w:before="120" w:after="0"/>
        <w:jc w:val="left"/>
        <w:rPr>
          <w:rFonts w:ascii="Times New Roman" w:hAnsi="Times New Roman"/>
          <w:sz w:val="20"/>
        </w:rPr>
      </w:pPr>
      <w:r>
        <w:rPr>
          <w:rFonts w:ascii="Times New Roman;serif" w:hAnsi="Times New Roman;serif"/>
          <w:b w:val="false"/>
          <w:sz w:val="20"/>
        </w:rPr>
        <w:t>Interest expense includes interest related to sale of future revenues and interest related to the Technology Development Center of the Republic of Finland product development obligations.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Interest expense for the three months ended March 31, 2023 represented the interest related to sale of future revenues under the Revenue Interest Financing Agreement (“RIFA”) with an affiliate of NovaQuest Capital Management (“NovaQuest”). See Note 6, </w:t>
      </w:r>
      <w:r>
        <w:rPr>
          <w:rFonts w:ascii="Times New Roman;serif" w:hAnsi="Times New Roman;serif"/>
          <w:b w:val="false"/>
          <w:i/>
          <w:sz w:val="20"/>
        </w:rPr>
        <w:t>Liability Related to Sale of Future Revenues</w:t>
      </w:r>
      <w:r>
        <w:rPr>
          <w:rFonts w:ascii="Times New Roman;serif" w:hAnsi="Times New Roman;serif"/>
          <w:b w:val="false"/>
          <w:sz w:val="20"/>
        </w:rPr>
        <w:t>, to the condensed consolidated financial statements for details. Interest expense was immaterial for the three months ended March 31, 2022.</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sz w:val="20"/>
          <w:u w:val="single"/>
        </w:rPr>
      </w:pPr>
      <w:r>
        <w:rPr>
          <w:rFonts w:ascii="Times New Roman;serif" w:hAnsi="Times New Roman;serif"/>
          <w:b/>
          <w:sz w:val="20"/>
          <w:u w:val="single"/>
        </w:rPr>
        <w:t>Interest Income and Other Income (Expenses), Net</w:t>
      </w:r>
    </w:p>
    <w:p>
      <w:pPr>
        <w:pStyle w:val="TextBody"/>
        <w:spacing w:before="120" w:after="0"/>
        <w:jc w:val="left"/>
        <w:rPr>
          <w:rFonts w:ascii="Times New Roman" w:hAnsi="Times New Roman"/>
          <w:sz w:val="20"/>
        </w:rPr>
      </w:pPr>
      <w:r>
        <w:rPr>
          <w:rFonts w:ascii="Times New Roman;serif" w:hAnsi="Times New Roman;serif"/>
          <w:b w:val="false"/>
          <w:sz w:val="20"/>
        </w:rPr>
        <w:t>Interest income and other income (expenses),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and other non-operating income and expenses.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Interest income and other income (expenses), net improved $1.4 million, or 422% for the three months ended March 31, 2023, compared to the same period a year ago, primarily due to higher interest income from our investments with higher interest rate during the current year period.</w:t>
      </w:r>
    </w:p>
    <w:p>
      <w:pPr>
        <w:pStyle w:val="TextBody"/>
        <w:spacing w:before="360" w:after="0"/>
        <w:jc w:val="left"/>
        <w:rPr>
          <w:rFonts w:ascii="Times New Roman;serif" w:hAnsi="Times New Roman;serif"/>
          <w:b/>
          <w:sz w:val="20"/>
        </w:rPr>
      </w:pPr>
      <w:r>
        <w:rPr>
          <w:rFonts w:ascii="Times New Roman;serif" w:hAnsi="Times New Roman;serif"/>
          <w:b/>
          <w:sz w:val="20"/>
        </w:rPr>
        <w:t>Income Taxes</w:t>
      </w:r>
    </w:p>
    <w:p>
      <w:pPr>
        <w:pStyle w:val="TextBody"/>
        <w:spacing w:before="0" w:after="0"/>
        <w:jc w:val="left"/>
        <w:rPr/>
      </w:pPr>
      <w:r>
        <w:rPr/>
        <w:t> </w:t>
      </w:r>
    </w:p>
    <w:tbl>
      <w:tblPr>
        <w:tblW w:w="5461" w:type="dxa"/>
        <w:jc w:val="left"/>
        <w:tblInd w:w="0" w:type="dxa"/>
        <w:tblCellMar>
          <w:top w:w="28" w:type="dxa"/>
          <w:left w:w="28" w:type="dxa"/>
          <w:bottom w:w="28" w:type="dxa"/>
          <w:right w:w="28" w:type="dxa"/>
        </w:tblCellMar>
      </w:tblPr>
      <w:tblGrid>
        <w:gridCol w:w="2281"/>
        <w:gridCol w:w="146"/>
        <w:gridCol w:w="211"/>
        <w:gridCol w:w="736"/>
        <w:gridCol w:w="166"/>
        <w:gridCol w:w="271"/>
        <w:gridCol w:w="146"/>
        <w:gridCol w:w="211"/>
        <w:gridCol w:w="736"/>
        <w:gridCol w:w="166"/>
        <w:gridCol w:w="391"/>
      </w:tblGrid>
      <w:tr>
        <w:trPr/>
        <w:tc>
          <w:tcPr>
            <w:tcW w:w="22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2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7"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22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22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4" w:type="dxa"/>
            <w:gridSpan w:val="9"/>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(77,427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(63,412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right"/>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2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Effective tax rate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Provisions for income taxes for the three months ended March 31, 2023 and 2022 were primarily due to foreign taxes.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upon the weight of available evidence, which includes our historical operating performance, reported cumulative net losses since inception and expected continuing net loss, we have established a full valuation allowance against our net deferred tax assets as we do not currently believe that realization of those assets is more likely than not. We intend to continue maintaining a full valuation allowance on our deferred tax assets until there is sufficient evidence to support the reversal of all or some portion of this allowance.</w:t>
      </w:r>
    </w:p>
    <w:p>
      <w:pPr>
        <w:pStyle w:val="TextBody"/>
        <w:spacing w:before="360" w:after="0"/>
        <w:jc w:val="left"/>
        <w:rPr>
          <w:rFonts w:ascii="Times New Roman;serif" w:hAnsi="Times New Roman;serif"/>
          <w:b/>
          <w:sz w:val="20"/>
        </w:rPr>
      </w:pPr>
      <w:r>
        <w:rPr>
          <w:rFonts w:ascii="Times New Roman;serif" w:hAnsi="Times New Roman;serif"/>
          <w:b/>
          <w:sz w:val="20"/>
        </w:rPr>
        <w:t>Investment Income in Unconsolidated Variable Interest Entity</w:t>
      </w:r>
    </w:p>
    <w:p>
      <w:pPr>
        <w:pStyle w:val="TextBody"/>
        <w:spacing w:before="120" w:after="0"/>
        <w:jc w:val="left"/>
        <w:rPr>
          <w:rFonts w:ascii="Times New Roman" w:hAnsi="Times New Roman"/>
          <w:sz w:val="20"/>
        </w:rPr>
      </w:pPr>
      <w:r>
        <w:rPr>
          <w:rFonts w:ascii="Times New Roman;serif" w:hAnsi="Times New Roman;serif"/>
          <w:b w:val="false"/>
          <w:sz w:val="20"/>
        </w:rPr>
        <w:t>Investment income in unconsolidated variable interest entity represented our proportionate share of the reported profits of Falikang, an unconsolidated variable interest entity accounted for under the equity method, and was immaterial for the three months ended March 31, 2023 and 2022. See Note 3,</w:t>
      </w:r>
      <w:r>
        <w:rPr>
          <w:rFonts w:ascii="Times New Roman" w:hAnsi="Times New Roman"/>
          <w:sz w:val="20"/>
        </w:rPr>
        <w:t xml:space="preserve"> </w:t>
      </w:r>
      <w:r>
        <w:rPr>
          <w:rFonts w:ascii="Times New Roman;serif" w:hAnsi="Times New Roman;serif"/>
          <w:b w:val="false"/>
          <w:i/>
          <w:sz w:val="20"/>
        </w:rPr>
        <w:t>Variable Interest Entity</w:t>
      </w:r>
      <w:r>
        <w:rPr>
          <w:rFonts w:ascii="Times New Roman;serif" w:hAnsi="Times New Roman;serif"/>
          <w:b w:val="false"/>
          <w:sz w:val="20"/>
        </w:rPr>
        <w:t>, to the condensed consolidated financial statements for details.</w:t>
      </w:r>
    </w:p>
    <w:p>
      <w:pPr>
        <w:pStyle w:val="TextBody"/>
        <w:spacing w:before="360" w:after="0"/>
        <w:jc w:val="left"/>
        <w:rPr>
          <w:rFonts w:ascii="Times New Roman;serif" w:hAnsi="Times New Roman;serif"/>
          <w:b/>
          <w:sz w:val="20"/>
        </w:rPr>
      </w:pPr>
      <w:r>
        <w:rPr>
          <w:rFonts w:ascii="Times New Roman;serif" w:hAnsi="Times New Roman;serif"/>
          <w:b/>
          <w:sz w:val="20"/>
        </w:rPr>
        <w:t>LIQUIDITY AND CAPITAL RESOURCES</w:t>
      </w:r>
    </w:p>
    <w:p>
      <w:pPr>
        <w:pStyle w:val="TextBody"/>
        <w:spacing w:before="120" w:after="0"/>
        <w:jc w:val="left"/>
        <w:rPr>
          <w:rFonts w:ascii="Times New Roman;serif" w:hAnsi="Times New Roman;serif"/>
          <w:b/>
          <w:sz w:val="20"/>
        </w:rPr>
      </w:pPr>
      <w:r>
        <w:rPr>
          <w:rFonts w:ascii="Times New Roman;serif" w:hAnsi="Times New Roman;serif"/>
          <w:b/>
          <w:sz w:val="20"/>
        </w:rPr>
        <w:t>Financial Condition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historically funded our operations principally from the sale of common stock (including our public offering proceeds), from the execution of collaboration agreements involving license payments, milestone payments, reimbursement for development services, and the associated product revenue and drug product revenue.</w:t>
      </w:r>
    </w:p>
    <w:p>
      <w:pPr>
        <w:pStyle w:val="TextBody"/>
        <w:spacing w:before="240" w:after="0"/>
        <w:jc w:val="left"/>
        <w:rPr>
          <w:rFonts w:ascii="Times New Roman" w:hAnsi="Times New Roman"/>
          <w:sz w:val="20"/>
        </w:rPr>
      </w:pPr>
      <w:r>
        <w:rPr>
          <w:rFonts w:ascii="Times New Roman;serif" w:hAnsi="Times New Roman;serif"/>
          <w:b w:val="false"/>
          <w:sz w:val="20"/>
        </w:rPr>
        <w:t xml:space="preserve">On November 4, 2022, we entered into a RIFA with NovaQuest with respect to our revenues from Astellas’ sales of roxadustat in Europe, Japan and the other Astellas territories. Pursuant to the RIFA, we received $49.8 million from NovaQuest, representing the gross proceeds of $50.0 million net of initial issuance costs, in consideration for a portion of future revenues we will receive from Astellas. For additional details about this financing transaction, see Note 6, </w:t>
      </w:r>
      <w:r>
        <w:rPr>
          <w:rFonts w:ascii="Times New Roman;serif" w:hAnsi="Times New Roman;serif"/>
          <w:b w:val="false"/>
          <w:i/>
          <w:sz w:val="20"/>
        </w:rPr>
        <w:t>Liability Related to Sale of Future Revenues</w:t>
      </w:r>
      <w:r>
        <w:rPr>
          <w:rFonts w:ascii="Times New Roman;serif" w:hAnsi="Times New Roman;serif"/>
          <w:b w:val="false"/>
          <w:sz w:val="20"/>
        </w:rPr>
        <w:t>, to the condensed consolidated financial statements.</w:t>
      </w:r>
    </w:p>
    <w:p>
      <w:pPr>
        <w:pStyle w:val="TextBody"/>
        <w:spacing w:before="240" w:after="0"/>
        <w:jc w:val="left"/>
        <w:rPr>
          <w:rFonts w:ascii="Times New Roman" w:hAnsi="Times New Roman"/>
          <w:sz w:val="20"/>
        </w:rPr>
      </w:pPr>
      <w:r>
        <w:rPr>
          <w:rFonts w:ascii="Times New Roman;serif" w:hAnsi="Times New Roman;serif"/>
          <w:b w:val="false"/>
          <w:sz w:val="20"/>
        </w:rPr>
        <w:t xml:space="preserve">On February 27, 2023, we entered into an Amended and Restated Equity Distribution Agreement (the “at-the-market agreement”) with Goldman Sachs &amp; Co., LLC and BofA Securities, Inc. (each a “Sales Agent”), which amended and restated its Equity Distribution Agreement with Goldman Sachs &amp; Co., LLC, dated August 8, 2022, to add BofA Securities, Inc. as an additional Sales Agent under that agreement. Under the at-the-market agreement, we may issue and sell, from time to time and through the Sales Agents, shares of our common stock having an aggregate offering price of up to $200.0 million (the “ATM Program”). Under the ATM Program, we sold 1,541,579 shares of our common stock and received net proceeds of approximately $30.8 million during the three months ended March 31, 2023, See Note 7, </w:t>
      </w:r>
      <w:r>
        <w:rPr>
          <w:rFonts w:ascii="Times New Roman;serif" w:hAnsi="Times New Roman;serif"/>
          <w:b w:val="false"/>
          <w:i/>
          <w:sz w:val="20"/>
        </w:rPr>
        <w:t>At-the-Market Program</w:t>
      </w:r>
      <w:r>
        <w:rPr>
          <w:rFonts w:ascii="Times New Roman;serif" w:hAnsi="Times New Roman;serif"/>
          <w:b w:val="false"/>
          <w:sz w:val="20"/>
        </w:rPr>
        <w:t>, to the condensed consolidated financial statements for details.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March 31, 2023, we had cash and cash equivalents of $188.6 million, compared to $155.7 million as of December 31, 2022. Cash is invested in accordance with our investment policy, primarily with a view to liquidity and capital preservation. Investments, consisting of available-for-sale securities, and stated at fair value, are also available as a source of liquidity. As of March 31, 2023, we had short-term investments of $167.4 million, compared to short-term investments of $266.3 million and long-term investments of $4.3 million as of December 31, 2022. As of March 31, 2023, a total of $98.9 million of our cash and cash equivalents was held outside of the U.S. in our foreign subsidiaries, including $77.6 million held in China, to be used primarily for our China operations.</w:t>
      </w:r>
    </w:p>
    <w:p>
      <w:pPr>
        <w:pStyle w:val="TextBody"/>
        <w:spacing w:before="240" w:after="0"/>
        <w:jc w:val="left"/>
        <w:rPr>
          <w:rFonts w:ascii="Times New Roman" w:hAnsi="Times New Roman"/>
          <w:sz w:val="20"/>
        </w:rPr>
      </w:pPr>
      <w:r>
        <w:rPr>
          <w:rFonts w:ascii="Times New Roman;serif" w:hAnsi="Times New Roman;serif"/>
          <w:b w:val="false"/>
          <w:sz w:val="20"/>
        </w:rPr>
        <w:t xml:space="preserve">On April 29, 2023, we entered into a financing agreement (the “Financing Agreement”) with investment funds managed by Morgan Stanley Tactical Value, as lenders, and Wilmington Trust, National Association, as the administrative agent, providing for senior secured term loan facilities consisting of (i) a $75.0 million initial term loan, (ii) a $37.5 million delayed draw term loan that will be funded upon the achievement of certain clinical development milestones and, (iii) an uncommitted delayed draw term loan of up to $37.5 million, to be funded at the Lenders sole discretion. For additional details about this financing transaction, see Note 11, </w:t>
      </w:r>
      <w:r>
        <w:rPr>
          <w:rFonts w:ascii="Times New Roman;serif" w:hAnsi="Times New Roman;serif"/>
          <w:b w:val="false"/>
          <w:i/>
          <w:sz w:val="20"/>
        </w:rPr>
        <w:t>Subsequent Event</w:t>
      </w:r>
      <w:r>
        <w:rPr>
          <w:rFonts w:ascii="Times New Roman;serif" w:hAnsi="Times New Roman;serif"/>
          <w:b w:val="false"/>
          <w:sz w:val="20"/>
        </w:rPr>
        <w:t>, to the condensed consolidated financial statements.</w:t>
      </w:r>
    </w:p>
    <w:p>
      <w:pPr>
        <w:pStyle w:val="TextBody"/>
        <w:spacing w:before="240" w:after="0"/>
        <w:jc w:val="left"/>
        <w:rPr>
          <w:rFonts w:ascii="Times New Roman" w:hAnsi="Times New Roman"/>
          <w:sz w:val="20"/>
        </w:rPr>
      </w:pPr>
      <w:r>
        <w:rPr>
          <w:rFonts w:ascii="Times New Roman;serif" w:hAnsi="Times New Roman;serif"/>
          <w:b w:val="false"/>
          <w:sz w:val="20"/>
        </w:rPr>
        <w:t>Cash flows from Falikang, a distribution joint venture between FibroGen Beijing and AstraZeneca, and cash flows into FibroGen Beijing, are currently intended to remain onshore in China. Our long-term plans for distributing cash flows from FibroGen Beijing may involve any number of scenarios including keeping the money onshore to fund future expansion of our China operations or paying down certain debt obligations. To date, no such debt repayments have occurred, nor have there been any other payments or distributions from FibroGen Beijing to entities or investors outside of China. Our capital contributions to FibroGen Beijing and the liquidity position of FibroGen Beijing depend on many factors, including those set forth under Part II, Item 1A “</w:t>
      </w:r>
      <w:r>
        <w:rPr>
          <w:rFonts w:ascii="Times New Roman;serif" w:hAnsi="Times New Roman;serif"/>
          <w:b w:val="false"/>
          <w:i/>
          <w:sz w:val="20"/>
        </w:rPr>
        <w:t>Risk Factors</w:t>
      </w:r>
      <w:r>
        <w:rPr>
          <w:rFonts w:ascii="Times New Roman" w:hAnsi="Times New Roman"/>
          <w:sz w:val="20"/>
        </w:rPr>
        <w:t xml:space="preserve">” </w:t>
      </w:r>
      <w:r>
        <w:rPr>
          <w:rFonts w:ascii="Times New Roman;serif" w:hAnsi="Times New Roman;serif"/>
          <w:b w:val="false"/>
          <w:sz w:val="20"/>
        </w:rPr>
        <w:t>in this Quarterly Report.</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Cash Sources and Uses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sets forth the primary sources and uses of cash and cash equivalents for each of the periods set forth below (in thousands):</w:t>
      </w:r>
    </w:p>
    <w:p>
      <w:pPr>
        <w:pStyle w:val="TextBody"/>
        <w:spacing w:before="20" w:after="0"/>
        <w:jc w:val="left"/>
        <w:rPr/>
      </w:pPr>
      <w:r>
        <w:rPr/>
        <w:t> </w:t>
      </w:r>
    </w:p>
    <w:tbl>
      <w:tblPr>
        <w:tblW w:w="8223" w:type="dxa"/>
        <w:jc w:val="left"/>
        <w:tblInd w:w="0" w:type="dxa"/>
        <w:tblCellMar>
          <w:top w:w="28" w:type="dxa"/>
          <w:left w:w="28" w:type="dxa"/>
          <w:bottom w:w="28" w:type="dxa"/>
          <w:right w:w="28" w:type="dxa"/>
        </w:tblCellMar>
      </w:tblPr>
      <w:tblGrid>
        <w:gridCol w:w="5086"/>
        <w:gridCol w:w="146"/>
        <w:gridCol w:w="225"/>
        <w:gridCol w:w="897"/>
        <w:gridCol w:w="177"/>
        <w:gridCol w:w="155"/>
        <w:gridCol w:w="225"/>
        <w:gridCol w:w="721"/>
        <w:gridCol w:w="591"/>
      </w:tblGrid>
      <w:tr>
        <w:trPr/>
        <w:tc>
          <w:tcPr>
            <w:tcW w:w="5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5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0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5" w:type="dxa"/>
            <w:tcBorders/>
            <w:shd w:fill="auto" w:val="clear"/>
            <w:vAlign w:val="center"/>
          </w:tcPr>
          <w:p>
            <w:pPr>
              <w:pStyle w:val="TableContents"/>
              <w:spacing w:before="0" w:after="0"/>
              <w:ind w:left="0" w:right="0" w:hanging="0"/>
              <w:jc w:val="center"/>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w:t>
            </w:r>
          </w:p>
        </w:tc>
        <w:tc>
          <w:tcPr>
            <w:tcW w:w="146" w:type="dxa"/>
            <w:tcBorders/>
            <w:shd w:fill="auto" w:val="clear"/>
            <w:vAlign w:val="center"/>
          </w:tcPr>
          <w:p>
            <w:pPr>
              <w:pStyle w:val="TableContents"/>
              <w:spacing w:before="0" w:after="0"/>
              <w:ind w:left="0" w:right="0" w:hanging="0"/>
              <w:jc w:val="center"/>
              <w:rPr/>
            </w:pPr>
            <w:r>
              <w:rPr/>
              <w:t> </w:t>
            </w:r>
          </w:p>
        </w:tc>
        <w:tc>
          <w:tcPr>
            <w:tcW w:w="1122" w:type="dxa"/>
            <w:gridSpan w:val="2"/>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right"/>
              <w:rPr/>
            </w:pPr>
            <w:r>
              <w:rPr/>
              <w:t> </w:t>
            </w:r>
          </w:p>
        </w:tc>
        <w:tc>
          <w:tcPr>
            <w:tcW w:w="155" w:type="dxa"/>
            <w:tcBorders/>
            <w:shd w:fill="auto" w:val="clear"/>
            <w:vAlign w:val="center"/>
          </w:tcPr>
          <w:p>
            <w:pPr>
              <w:pStyle w:val="TableContents"/>
              <w:spacing w:before="0" w:after="0"/>
              <w:ind w:left="0" w:right="0" w:hanging="0"/>
              <w:jc w:val="center"/>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50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(101,591</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(8,476</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0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103,482</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25,935</w:t>
            </w:r>
          </w:p>
        </w:tc>
        <w:tc>
          <w:tcPr>
            <w:tcW w:w="591" w:type="dxa"/>
            <w:tcBorders/>
            <w:shd w:fill="auto" w:val="clear"/>
            <w:vAlign w:val="center"/>
          </w:tcPr>
          <w:p>
            <w:pPr>
              <w:pStyle w:val="TableContents"/>
              <w:spacing w:before="0" w:after="0"/>
              <w:ind w:left="0" w:right="0" w:firstLine="200"/>
              <w:jc w:val="left"/>
              <w:rPr/>
            </w:pPr>
            <w:r>
              <w:rPr/>
              <w:t> </w:t>
            </w:r>
          </w:p>
        </w:tc>
      </w:tr>
      <w:tr>
        <w:trPr/>
        <w:tc>
          <w:tcPr>
            <w:tcW w:w="50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31,485</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(2,893</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0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Effect of exchange rate changes on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(526</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08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increase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32,850</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14,673</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360" w:after="0"/>
        <w:jc w:val="left"/>
        <w:rPr>
          <w:rFonts w:ascii="Times New Roman;serif" w:hAnsi="Times New Roman;serif"/>
          <w:b/>
          <w:i/>
          <w:sz w:val="20"/>
        </w:rPr>
      </w:pPr>
      <w:r>
        <w:rPr>
          <w:rFonts w:ascii="Times New Roman;serif" w:hAnsi="Times New Roman;serif"/>
          <w:b/>
          <w:i/>
          <w:sz w:val="20"/>
        </w:rPr>
        <w:t>Operating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used in operating activities was $101.6 million for the three months ended March 31, 2023 and consisted primarily of net loss of $76.7 million adjusted for non-operating cash items of $21.1 million, and a net decrease in operating assets and liabilities of $46.0 million. The significant non-operating cash items included stock-based compensation expense of $16.1 million, depreciation expense of $2.5 million and non-cash interest expense related to sale of future revenues of $2.2 million. The significant items in the changes in operating assets and liabilities included the following:</w:t>
      </w:r>
    </w:p>
    <w:p>
      <w:pPr>
        <w:pStyle w:val="TextBody"/>
        <w:spacing w:before="120" w:after="0"/>
        <w:jc w:val="left"/>
        <w:rPr/>
      </w:pPr>
      <w:r>
        <w:rPr/>
        <w:t>•</w:t>
      </w:r>
    </w:p>
    <w:p>
      <w:pPr>
        <w:pStyle w:val="TextBody"/>
        <w:spacing w:before="120" w:after="283"/>
        <w:jc w:val="left"/>
        <w:rPr/>
      </w:pPr>
      <w:r>
        <w:rPr>
          <w:rFonts w:ascii="Times New Roman;serif" w:hAnsi="Times New Roman;serif"/>
          <w:b w:val="false"/>
          <w:sz w:val="20"/>
        </w:rPr>
        <w:t xml:space="preserve">Accrued and other liabilities decreased $66.3 million, primarily related to the movements related to API and bulk drug product price true-up, resulting from changes in estimated variable consideration associated with the API shipments fulfilled under the terms of the Astellas Japan Amendment, and the bulk drug product transferred under the terms of the Astellas Europe Agreement and the Astellas EU Supply Agreement, including scheduling for payment of $57.4 million previously accrued balance and therefore moved it to accounts payable as of March 31, 2023. See the </w:t>
      </w:r>
      <w:r>
        <w:rPr>
          <w:rFonts w:ascii="Times New Roman;serif" w:hAnsi="Times New Roman;serif"/>
          <w:b w:val="false"/>
          <w:i/>
          <w:sz w:val="20"/>
        </w:rPr>
        <w:t xml:space="preserve">Drug Product Revenue </w:t>
      </w:r>
      <w:r>
        <w:rPr>
          <w:rFonts w:ascii="Times New Roman;serif" w:hAnsi="Times New Roman;serif"/>
          <w:b w:val="false"/>
          <w:sz w:val="20"/>
        </w:rPr>
        <w:t xml:space="preserve">section in Note 2, </w:t>
      </w:r>
      <w:r>
        <w:rPr>
          <w:rFonts w:ascii="Times New Roman;serif" w:hAnsi="Times New Roman;serif"/>
          <w:b w:val="false"/>
          <w:i/>
          <w:sz w:val="20"/>
        </w:rPr>
        <w:t>Collaboration Agreements, License Agreement and Revenues,</w:t>
      </w:r>
      <w:r>
        <w:rPr/>
        <w:t xml:space="preserve"> </w:t>
      </w:r>
      <w:r>
        <w:rPr>
          <w:rFonts w:ascii="Times New Roman;serif" w:hAnsi="Times New Roman;serif"/>
          <w:b w:val="false"/>
          <w:sz w:val="20"/>
        </w:rPr>
        <w:t>to the condensed consolidated financial statements for details. The accrued and other liabilities were also impacted by the timing of invoicing and payment;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 xml:space="preserve">Deferred revenue decreased $18.9 million, primarily related to the reclassification of $16.6 million to accrued liabilities, resulting from changes in estimated variable consideration associated with the bulk drug product transferred to Astellas under the terms of the Astellas Europe Agreement and the Astellas EU Supply Agreement during the current year period. See the </w:t>
      </w:r>
      <w:r>
        <w:rPr>
          <w:rFonts w:ascii="Times New Roman;serif" w:hAnsi="Times New Roman;serif"/>
          <w:b w:val="false"/>
          <w:i/>
          <w:sz w:val="20"/>
        </w:rPr>
        <w:t xml:space="preserve">Drug Product Revenue </w:t>
      </w:r>
      <w:r>
        <w:rPr>
          <w:rFonts w:ascii="Times New Roman;serif" w:hAnsi="Times New Roman;serif"/>
          <w:b w:val="false"/>
          <w:sz w:val="20"/>
        </w:rPr>
        <w:t xml:space="preserve">section in Note 2, </w:t>
      </w:r>
      <w:r>
        <w:rPr>
          <w:rFonts w:ascii="Times New Roman;serif" w:hAnsi="Times New Roman;serif"/>
          <w:b w:val="false"/>
          <w:i/>
          <w:sz w:val="20"/>
        </w:rPr>
        <w:t>Collaboration Agreements, License Agreement and Revenues,</w:t>
      </w:r>
      <w:r>
        <w:rPr/>
        <w:t xml:space="preserve"> </w:t>
      </w:r>
      <w:r>
        <w:rPr>
          <w:rFonts w:ascii="Times New Roman;serif" w:hAnsi="Times New Roman;serif"/>
          <w:b w:val="false"/>
          <w:sz w:val="20"/>
        </w:rPr>
        <w:t xml:space="preserve">to the condensed consolidated financial statements for details.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Inventories increased $1.9 million, driven by the increased inventory level primarily related to FibroGen Beijing’s productions of roxadustat for commercial sales purposes;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Accounts payable increased $40.5 million, primarily driven by the above-mentioned scheduling for payment of $57.4 million previously accrued balance related to the bulk drug product transferred under the terms of the Astellas Europe Agreement and the Astellas EU Supply Agreement, as well as the timing of invoicing and payments.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Net cash used in operating activities was $8.5 million for the three months ended March 31, 2022 and consisted primarily of net loss of $63.2 million adjusted for non-operating cash items of $20.4 million, offset by a net increase in operating assets and liabilities of $34.4 million. The significant non-operating cash items included stock-based compensation expense of $17.2 million, and depreciation expense of $2.5 million. The significant items in the changes in operating assets and liabilities included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Accrued and other liabilities increased $66.0 million, primarily related to the total of 60.8 million for API and bulk drug product price true-up as of March 31, 2022, resulting from changes in estimated variable consideration associated with the API shipments fulfilled under the terms of the Astellas Japan Amendment, the bulk drug product transferred under the terms of the Astellas Europe Agreement and the Astellas EU Supply Agreement, and the bulk drug product shipments to AstraZeneca under the terms of the Master Supply Agreement. The accrued and other liabilities were also impacted by the timing of invoicing and payment;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Prepaid expenses and other current assets decreased $11.4 million, primarily due to the collection of $8.0 million from Eluminex for upfront license payment during the quarter, and less prepayments made for roxadustat API manufacturing activities;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Accounts payable increased $10.2 million, primarily driven by the timing of invoicing and payments;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Accounts receivable increased $26.5 million, primarily due to the $25.0 million regulatory milestone payment receivable from Astellas under the Europe Agreement associated with the approval in Russia as of March 31, 2022;</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Deferred revenue decreased $13.0 million, primarily related to the above-mentioned reclassification to accrued liabilities, resulting from changes in estimated variable consideration associated with the API or bulk drug product deliveries fulfilled with Astellas and AstraZeneca;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Inventories increased $12.0 million, driven by the increased inventory level primarily related to pre-launch inventory cost capitalized for the U.S. entity, and FibroGen Beijing’s productions of roxadustat for commercial sales purposes.</w:t>
      </w:r>
    </w:p>
    <w:p>
      <w:pPr>
        <w:pStyle w:val="TextBody"/>
        <w:spacing w:before="360" w:after="0"/>
        <w:jc w:val="left"/>
        <w:rPr>
          <w:rFonts w:ascii="Times New Roman;serif" w:hAnsi="Times New Roman;serif"/>
          <w:b/>
          <w:i/>
          <w:sz w:val="20"/>
        </w:rPr>
      </w:pPr>
      <w:r>
        <w:rPr>
          <w:rFonts w:ascii="Times New Roman;serif" w:hAnsi="Times New Roman;serif"/>
          <w:b/>
          <w:i/>
          <w:sz w:val="20"/>
        </w:rPr>
        <w:t>Investing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Investing activities primarily consist of purchases of property and equipment, purchases of investments, purchase of acquired in-process research and development asset and proceeds from the maturity and sale of investments.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Net cash provided by investing activities was $103.5 million for the three months ended March 31, 2023 and consisted primarily of $104.8 million of proceeds from maturities of investments and $1.7 million of proceeds from sales of available-for-sale securities, partially offset by $2.5 million of cash used in purchases of available-for-sale securities.</w:t>
      </w:r>
    </w:p>
    <w:p>
      <w:pPr>
        <w:pStyle w:val="TextBody"/>
        <w:spacing w:before="240" w:after="0"/>
        <w:jc w:val="left"/>
        <w:rPr>
          <w:rFonts w:ascii="Times New Roman" w:hAnsi="Times New Roman"/>
          <w:sz w:val="20"/>
        </w:rPr>
      </w:pPr>
      <w:r>
        <w:rPr>
          <w:rFonts w:ascii="Times New Roman;serif" w:hAnsi="Times New Roman;serif"/>
          <w:b w:val="false"/>
          <w:sz w:val="20"/>
        </w:rPr>
        <w:t>Net cash used in investing activities was $25.9 million for the three months ended March 31, 2022 and consisted primarily of $76.1 million of proceeds from maturities of investments and $7.4 million of proceeds from sales of available-for-sale securities, partially offset by $35.0 million of cash paid for the acquired in-process research and development asset, and $20.9 million of cash used in purchases of available-for-sale securities.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i/>
          <w:sz w:val="20"/>
        </w:rPr>
      </w:pPr>
      <w:r>
        <w:rPr>
          <w:rFonts w:ascii="Times New Roman;serif" w:hAnsi="Times New Roman;serif"/>
          <w:b/>
          <w:i/>
          <w:sz w:val="20"/>
        </w:rPr>
        <w:t>Financing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Financing activities primarily reflect proceeds from the issuance of our common stock, cash paid for payroll taxes on restricted stock unit releases, repayments of our lease liabilities and obligations.</w:t>
      </w:r>
    </w:p>
    <w:p>
      <w:pPr>
        <w:pStyle w:val="TextBody"/>
        <w:spacing w:before="240" w:after="0"/>
        <w:jc w:val="left"/>
        <w:rPr>
          <w:rFonts w:ascii="Times New Roman" w:hAnsi="Times New Roman"/>
          <w:sz w:val="20"/>
        </w:rPr>
      </w:pPr>
      <w:r>
        <w:rPr>
          <w:rFonts w:ascii="Times New Roman;serif" w:hAnsi="Times New Roman;serif"/>
          <w:b w:val="false"/>
          <w:sz w:val="20"/>
        </w:rPr>
        <w:t>Net cash provided by financing activities was $31.5 million for the three months ended March 31, 2023 and consisted primarily of $30.8 million net proceeds received under the ATM Program. See Note 7,</w:t>
      </w:r>
      <w:r>
        <w:rPr>
          <w:rFonts w:ascii="Times New Roman" w:hAnsi="Times New Roman"/>
          <w:sz w:val="20"/>
        </w:rPr>
        <w:t xml:space="preserve"> </w:t>
      </w:r>
      <w:r>
        <w:rPr>
          <w:rFonts w:ascii="Times New Roman;serif" w:hAnsi="Times New Roman;serif"/>
          <w:b w:val="false"/>
          <w:i/>
          <w:sz w:val="20"/>
        </w:rPr>
        <w:t>At-the-Market Program,</w:t>
      </w:r>
      <w:r>
        <w:rPr>
          <w:rFonts w:ascii="Times New Roman" w:hAnsi="Times New Roman"/>
          <w:sz w:val="20"/>
        </w:rPr>
        <w:t xml:space="preserve"> </w:t>
      </w:r>
      <w:r>
        <w:rPr>
          <w:rFonts w:ascii="Times New Roman;serif" w:hAnsi="Times New Roman;serif"/>
          <w:b w:val="false"/>
          <w:sz w:val="20"/>
        </w:rPr>
        <w:t>to the condensed consolidated financial statements for details.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Net cash used in financing activities was $2.9 million for the three months ended March 31, 2022 and consisted primarily of $3.0 million of cash paid for payroll taxes on restricted stock unit releases.</w:t>
      </w:r>
    </w:p>
    <w:p>
      <w:pPr>
        <w:pStyle w:val="TextBody"/>
        <w:spacing w:before="360" w:after="0"/>
        <w:jc w:val="left"/>
        <w:rPr>
          <w:rFonts w:ascii="Times New Roman;serif" w:hAnsi="Times New Roman;serif"/>
          <w:b/>
          <w:sz w:val="20"/>
        </w:rPr>
      </w:pPr>
      <w:r>
        <w:rPr>
          <w:rFonts w:ascii="Times New Roman;serif" w:hAnsi="Times New Roman;serif"/>
          <w:b/>
          <w:sz w:val="20"/>
        </w:rPr>
        <w:t>Material Cash Requirements</w:t>
      </w:r>
    </w:p>
    <w:p>
      <w:pPr>
        <w:pStyle w:val="TextBody"/>
        <w:spacing w:before="120" w:after="0"/>
        <w:jc w:val="left"/>
        <w:rPr>
          <w:rFonts w:ascii="Times New Roman" w:hAnsi="Times New Roman"/>
          <w:sz w:val="20"/>
        </w:rPr>
      </w:pPr>
      <w:r>
        <w:rPr>
          <w:rFonts w:ascii="Times New Roman;serif" w:hAnsi="Times New Roman;serif"/>
          <w:b w:val="false"/>
          <w:sz w:val="20"/>
        </w:rPr>
        <w:t>We started generating revenue from commercial sales of roxadustat product in China in the third quarter of 2019. Even with the expectation of increases in revenue from product sales, we anticipate that we will continue to generate losses for the foreseeable future. To date, we have funded certain portions of our research and development and manufacturing efforts globally through collaboration partners and capital investment. There is no guarantee that sufficient funds will be available to continue to fund these development efforts through commercialization or otherwise. Although AstraZeneca is currently funding all non-China collaboration expenses not reimbursed by Astellas, including development of MDS in the U.S., we expect our research and development expenses to continue to increase as we invest in our other programs. Additionally, we have not been able to agree on a path forward for AstraZeneca to fund further roxadustat development in the U.S. for CKD anemia. We are also subject to all the risks related to the development and commercialization of novel therapeutics, and we may encounter unforeseen expenses, difficulties, complications, delays and other unknown factors that may adversely affect our business, such as the COVID-19 pandemic or other factors outlined under Part II, Item 1A “</w:t>
      </w:r>
      <w:r>
        <w:rPr>
          <w:rFonts w:ascii="Times New Roman;serif" w:hAnsi="Times New Roman;serif"/>
          <w:b w:val="false"/>
          <w:i/>
          <w:sz w:val="20"/>
        </w:rPr>
        <w:t>Risk Factors</w:t>
      </w:r>
      <w:r>
        <w:rPr>
          <w:rFonts w:ascii="Times New Roman" w:hAnsi="Times New Roman"/>
          <w:sz w:val="20"/>
        </w:rPr>
        <w:t xml:space="preserve">” </w:t>
      </w:r>
      <w:r>
        <w:rPr>
          <w:rFonts w:ascii="Times New Roman;serif" w:hAnsi="Times New Roman;serif"/>
          <w:b w:val="false"/>
          <w:sz w:val="20"/>
        </w:rPr>
        <w:t>in this Quarterly Report on Form 10-Q. We anticipate that we will need substantial additional funding in connection with our continuing operations.</w:t>
      </w:r>
    </w:p>
    <w:p>
      <w:pPr>
        <w:pStyle w:val="TextBody"/>
        <w:spacing w:before="240" w:after="0"/>
        <w:jc w:val="left"/>
        <w:rPr>
          <w:rFonts w:ascii="Times New Roman" w:hAnsi="Times New Roman"/>
          <w:sz w:val="20"/>
        </w:rPr>
      </w:pPr>
      <w:r>
        <w:rPr>
          <w:rFonts w:ascii="Times New Roman;serif" w:hAnsi="Times New Roman;serif"/>
          <w:b w:val="false"/>
          <w:sz w:val="20"/>
        </w:rPr>
        <w:t>We believe that our existing cash and cash equivalents, short-term and long-term investments and accounts receivable, together with the financing amount under the RIFA received in November 2022 and the net proceeds received under our ATM program, will be sufficient to meet our anticipated cash requirements for at least the next 12 months from the date of issuance of the financial statements included in this Quarterly Report on Form 10-Q. However, we may need additional capital thereafter and our liquidity assumptions could turn out to be wrong, or may change over time, and we could utilize our available financial resources sooner than we currently expect. In addition, we may elect to raise additional funds at any time through equity, equity-linked, debt financing arrangements or from other sources. Our forecast of the period of time through which our financial resources will be adequate to support our operations is a forward-looking statement and involves risks and uncertainties, and actual results could vary as a result of a number of factors. Our future capital requirements and the adequacy of available funds will depend on many factors, including those set forth under Part II, Item 1A “</w:t>
      </w:r>
      <w:r>
        <w:rPr>
          <w:rFonts w:ascii="Times New Roman;serif" w:hAnsi="Times New Roman;serif"/>
          <w:b w:val="false"/>
          <w:i/>
          <w:sz w:val="20"/>
        </w:rPr>
        <w:t>Risk Factors</w:t>
      </w:r>
      <w:r>
        <w:rPr>
          <w:rFonts w:ascii="Times New Roman" w:hAnsi="Times New Roman"/>
          <w:sz w:val="20"/>
        </w:rPr>
        <w:t xml:space="preserve">” </w:t>
      </w:r>
      <w:r>
        <w:rPr>
          <w:rFonts w:ascii="Times New Roman;serif" w:hAnsi="Times New Roman;serif"/>
          <w:b w:val="false"/>
          <w:sz w:val="20"/>
        </w:rPr>
        <w:t>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costs and expenses, which would impair our growth prospects and could otherwise negatively impact our business.</w:t>
      </w:r>
    </w:p>
    <w:p>
      <w:pPr>
        <w:pStyle w:val="TextBody"/>
        <w:spacing w:before="360" w:after="0"/>
        <w:jc w:val="left"/>
        <w:rPr>
          <w:rFonts w:ascii="Times New Roman;serif" w:hAnsi="Times New Roman;serif"/>
          <w:b/>
          <w:sz w:val="20"/>
        </w:rPr>
      </w:pPr>
      <w:r>
        <w:rPr>
          <w:rFonts w:ascii="Times New Roman;serif" w:hAnsi="Times New Roman;serif"/>
          <w:b/>
          <w:sz w:val="20"/>
        </w:rPr>
        <w:t>Commitments and Contingencies</w:t>
      </w:r>
    </w:p>
    <w:p>
      <w:pPr>
        <w:pStyle w:val="TextBody"/>
        <w:spacing w:before="120" w:after="0"/>
        <w:jc w:val="left"/>
        <w:rPr>
          <w:rFonts w:ascii="Times New Roman;serif" w:hAnsi="Times New Roman;serif"/>
          <w:b/>
          <w:i/>
          <w:sz w:val="20"/>
        </w:rPr>
      </w:pPr>
      <w:r>
        <w:rPr>
          <w:rFonts w:ascii="Times New Roman;serif" w:hAnsi="Times New Roman;serif"/>
          <w:b/>
          <w:i/>
          <w:sz w:val="20"/>
        </w:rPr>
        <w:t>Contractual Obligations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March 31, 2023, we had $86.8 million of operating lease liabilities. The material cash requirements related to our lease liabilities included $13.5 million expected to be paid within the next 12 months.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March 31, 2023, we had outstanding total non-cancelable purchase obligations of $51.9 million, including $22.4 million for manufacture and supply of pamrevlumab, $4.1 million for manufacture and supply of roxadustat, and $25.4 million for other purchases and programs. We expect to fulfill our commitments under these agreements in the normal course of business, and as such, no liability has been recorded. The material cash requirements related to our non-cancelable purchase obligations included $28.9 million expected to be paid within the next 12 months.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 w:hAnsi="Times New Roman"/>
          <w:sz w:val="20"/>
        </w:rPr>
      </w:pPr>
      <w:r>
        <w:rPr>
          <w:rFonts w:ascii="Times New Roman;serif" w:hAnsi="Times New Roman;serif"/>
          <w:b w:val="false"/>
          <w:sz w:val="20"/>
        </w:rPr>
        <w:t xml:space="preserve">Under the RIFA with NovaQuest, as of March 31, 2023, we had $51.6 million of liability related to sale of future revenues on the consolidated balance sheets, $3.2 million of which we anticipate to pay within the next 12 month. Based on our current estimates of drug product revenue and revenue from milestone payments under the Astellas Agreements, and taking into the consideration of the terms under the RIFA, we anticipate to reach a Payment Cap up to $125.0 million by 2031. See Note 6, </w:t>
      </w:r>
      <w:r>
        <w:rPr>
          <w:rFonts w:ascii="Times New Roman;serif" w:hAnsi="Times New Roman;serif"/>
          <w:b w:val="false"/>
          <w:i/>
          <w:sz w:val="20"/>
        </w:rPr>
        <w:t>Liability Related to Sale of Future Revenues</w:t>
      </w:r>
      <w:r>
        <w:rPr>
          <w:rFonts w:ascii="Times New Roman;serif" w:hAnsi="Times New Roman;serif"/>
          <w:b w:val="false"/>
          <w:sz w:val="20"/>
        </w:rPr>
        <w:t>, to the consolidated financial statements for details.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Some of our license agreements provide for periodic maintenance fees over specified time periods, as well as payments by the Company upon the achievement of development, regulatory and commercial milestones. As of March 31, 2023, future milestone payments for research and preclinical stage development programs consisted of up to approximately $697.9 million in total potential future milestone payments under our license agreements with HiFiBiO (for Gal-9 and CCR8), Medarex, Inc. and others. These milestone payments generally become due and payable only upon the achievement of certain developmental, clinical, regulatory and/or commercial milestones. The event triggering such payment or obligation has not yet occurred.</w:t>
      </w:r>
    </w:p>
    <w:p>
      <w:pPr>
        <w:pStyle w:val="TextBody"/>
        <w:spacing w:before="360" w:after="0"/>
        <w:jc w:val="left"/>
        <w:rPr>
          <w:rFonts w:ascii="Times New Roman;serif" w:hAnsi="Times New Roman;serif"/>
          <w:b/>
          <w:sz w:val="20"/>
        </w:rPr>
      </w:pPr>
      <w:r>
        <w:rPr>
          <w:rFonts w:ascii="Times New Roman;serif" w:hAnsi="Times New Roman;serif"/>
          <w:b/>
          <w:sz w:val="20"/>
        </w:rPr>
        <w:t>Off-Balance Sheet Arrangements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2023, we did not have any relationships with unconsolidated organizations or financial partnerships, such as structured finance or special purpose entities that would have been established for the purpose of facilitating off-balance sheet arrangements.</w:t>
      </w:r>
    </w:p>
    <w:p>
      <w:pPr>
        <w:pStyle w:val="TextBody"/>
        <w:spacing w:before="360" w:after="0"/>
        <w:jc w:val="left"/>
        <w:rPr>
          <w:rFonts w:ascii="Times New Roman;serif" w:hAnsi="Times New Roman;serif"/>
          <w:b/>
          <w:sz w:val="20"/>
        </w:rPr>
      </w:pPr>
      <w:r>
        <w:rPr>
          <w:rFonts w:ascii="Times New Roman;serif" w:hAnsi="Times New Roman;serif"/>
          <w:b/>
          <w:sz w:val="20"/>
        </w:rPr>
        <w:t>CRITICAL ACCOUNTING POLICIES AND ESTIMATES</w:t>
      </w:r>
    </w:p>
    <w:p>
      <w:pPr>
        <w:pStyle w:val="TextBody"/>
        <w:spacing w:before="120" w:after="0"/>
        <w:jc w:val="left"/>
        <w:rPr>
          <w:rFonts w:ascii="Times New Roman" w:hAnsi="Times New Roman"/>
          <w:sz w:val="20"/>
        </w:rPr>
      </w:pPr>
      <w:r>
        <w:rPr>
          <w:rFonts w:ascii="Times New Roman;serif" w:hAnsi="Times New Roman;serif"/>
          <w:b w:val="false"/>
          <w:sz w:val="20"/>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There have been no material changes in our critical accounting policies, estimates and judgments during the three months ended March 31, 2023 compared with the disclosures in Part II, Item 7 of our 2022 Form 10-K.</w:t>
      </w:r>
    </w:p>
    <w:p>
      <w:pPr>
        <w:pStyle w:val="TextBody"/>
        <w:spacing w:before="360" w:after="0"/>
        <w:jc w:val="left"/>
        <w:rPr>
          <w:rFonts w:ascii="Times New Roman;serif" w:hAnsi="Times New Roman;serif"/>
          <w:b/>
          <w:sz w:val="20"/>
        </w:rPr>
      </w:pPr>
      <w:bookmarkStart w:id="14" w:name="item_3_quantitative_qualitative_disclosu"/>
      <w:bookmarkEnd w:id="14"/>
      <w:r>
        <w:rPr>
          <w:rFonts w:ascii="Times New Roman;serif" w:hAnsi="Times New Roman;serif"/>
          <w:b/>
          <w:sz w:val="20"/>
        </w:rPr>
        <w:t>ITEM 3. QUANTITATIVE AND QUALITATIVE DISCLOSURES ABOUT MARKET RISK.</w:t>
      </w:r>
    </w:p>
    <w:p>
      <w:pPr>
        <w:pStyle w:val="TextBody"/>
        <w:spacing w:before="120" w:after="0"/>
        <w:jc w:val="left"/>
        <w:rPr>
          <w:rFonts w:ascii="Times New Roman" w:hAnsi="Times New Roman"/>
          <w:sz w:val="20"/>
        </w:rPr>
      </w:pPr>
      <w:r>
        <w:rPr>
          <w:rFonts w:ascii="Times New Roman;serif" w:hAnsi="Times New Roman;serif"/>
          <w:b w:val="false"/>
          <w:sz w:val="20"/>
        </w:rPr>
        <w:t xml:space="preserve">During the three months ended March 31, 2023, we believe there were no material changes to our exposure to market risks as set forth in Part II, Item 7A </w:t>
      </w:r>
      <w:r>
        <w:rPr>
          <w:rFonts w:ascii="Times New Roman" w:hAnsi="Times New Roman"/>
          <w:sz w:val="20"/>
        </w:rPr>
        <w:t>“</w:t>
      </w:r>
      <w:r>
        <w:rPr>
          <w:rFonts w:ascii="Times New Roman;serif" w:hAnsi="Times New Roman;serif"/>
          <w:b w:val="false"/>
          <w:i/>
          <w:sz w:val="20"/>
        </w:rPr>
        <w:t>Quantitative and Qualitative Disclosures About Market Risk”</w:t>
      </w:r>
      <w:r>
        <w:rPr>
          <w:rFonts w:ascii="Times New Roman" w:hAnsi="Times New Roman"/>
          <w:sz w:val="20"/>
        </w:rPr>
        <w:t xml:space="preserve"> </w:t>
      </w:r>
      <w:r>
        <w:rPr>
          <w:rFonts w:ascii="Times New Roman;serif" w:hAnsi="Times New Roman;serif"/>
          <w:b w:val="false"/>
          <w:sz w:val="20"/>
        </w:rPr>
        <w:t>in our 2022 Form 10-K.</w:t>
      </w:r>
    </w:p>
    <w:p>
      <w:pPr>
        <w:pStyle w:val="TextBody"/>
        <w:spacing w:before="360" w:after="0"/>
        <w:jc w:val="left"/>
        <w:rPr>
          <w:rFonts w:ascii="Times New Roman;serif" w:hAnsi="Times New Roman;serif"/>
          <w:b/>
          <w:sz w:val="20"/>
        </w:rPr>
      </w:pPr>
      <w:bookmarkStart w:id="15" w:name="item_4_controls_procedures"/>
      <w:bookmarkEnd w:id="15"/>
      <w:r>
        <w:rPr>
          <w:rFonts w:ascii="Times New Roman;serif" w:hAnsi="Times New Roman;serif"/>
          <w:b/>
          <w:sz w:val="20"/>
        </w:rPr>
        <w:t>ITEM 4. CONTROLS AND PROCEDURES.</w:t>
      </w:r>
    </w:p>
    <w:p>
      <w:pPr>
        <w:pStyle w:val="TextBody"/>
        <w:spacing w:before="12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spacing w:before="120" w:after="0"/>
        <w:jc w:val="left"/>
        <w:rPr>
          <w:rFonts w:ascii="Times New Roman" w:hAnsi="Times New Roman"/>
          <w:sz w:val="20"/>
        </w:rPr>
      </w:pPr>
      <w:r>
        <w:rPr>
          <w:rFonts w:ascii="Times New Roman;serif" w:hAnsi="Times New Roman;serif"/>
          <w:b w:val="false"/>
          <w:sz w:val="20"/>
        </w:rPr>
        <w:t>Our management, with the participation of our Chief Executive Officer and our Chief Financial Officer, has evaluated the effectiveness of our disclosure controls and procedures as of March 31, 2023, the end of the period covered by this Quarterly Report on Form 10-Q. Disclosure controls and procedures (as defined in Rules 13a-15(e) and 15d-15(e) under the Exchange Act)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our evaluation, the Chief Executive Officer and Chief Financial Officer have concluded that our disclosure controls and procedures were effective at the reasonable assurance level as of March 31,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spacing w:before="120" w:after="0"/>
        <w:jc w:val="left"/>
        <w:rPr>
          <w:rFonts w:ascii="Times New Roman" w:hAnsi="Times New Roman"/>
          <w:sz w:val="20"/>
        </w:rPr>
      </w:pPr>
      <w:r>
        <w:rPr>
          <w:rFonts w:ascii="Times New Roman;serif" w:hAnsi="Times New Roman;serif"/>
          <w:b w:val="false"/>
          <w:sz w:val="20"/>
        </w:rPr>
        <w:t>During the quarter ended March 31, 2023, we completed the implementation of an enterprise resource planning (“ERP”) system, with which we expect to improve the efficiency of certain financial and transactional processes. As a result, we have updated the design and documentation of internal controls, processes and procedures which occurred following the ERP implementation to ensure we continue to maintain effective internal control over financial reporting.</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Except as described in the previous paragraph, there were no changes in our internal control over financial reporting identified in connection with the evaluation required by Rule 13a-15(d) and 15d-15(d) of the Exchange Act that occurred during the three months ended March 31, 2023 that have materially affected, or are reasonably likely to materially affect, our internal control over financial reporting.</w:t>
      </w:r>
    </w:p>
    <w:p>
      <w:pPr>
        <w:pStyle w:val="TextBody"/>
        <w:spacing w:before="360" w:after="0"/>
        <w:jc w:val="left"/>
        <w:rPr>
          <w:rFonts w:ascii="Times New Roman;serif" w:hAnsi="Times New Roman;serif"/>
          <w:b/>
          <w:sz w:val="20"/>
        </w:rPr>
      </w:pPr>
      <w:r>
        <w:rPr>
          <w:rFonts w:ascii="Times New Roman;serif" w:hAnsi="Times New Roman;serif"/>
          <w:b/>
          <w:sz w:val="20"/>
        </w:rPr>
        <w:t>Limitations on the Effectiveness of Controls</w:t>
      </w:r>
    </w:p>
    <w:p>
      <w:pPr>
        <w:pStyle w:val="TextBody"/>
        <w:spacing w:before="120" w:after="0"/>
        <w:jc w:val="left"/>
        <w:rPr>
          <w:rFonts w:ascii="Times New Roman" w:hAnsi="Times New Roman"/>
          <w:sz w:val="20"/>
        </w:rPr>
      </w:pPr>
      <w:r>
        <w:rPr>
          <w:rFonts w:ascii="Times New Roman;serif" w:hAnsi="Times New Roman;serif"/>
          <w:b w:val="false"/>
          <w:sz w:val="20"/>
        </w:rPr>
        <w:t>In designing and evaluating the disclosure controls and procedures, management recognizes that because of the inherent limitations in all control systems,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the benefits of controls and procedures must be considered relative to their costs.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0" w:after="0"/>
        <w:jc w:val="center"/>
        <w:rPr>
          <w:rFonts w:ascii="Times New Roman" w:hAnsi="Times New Roman"/>
          <w:sz w:val="20"/>
        </w:rPr>
      </w:pPr>
      <w:bookmarkStart w:id="16" w:name="part_iior_information"/>
      <w:bookmarkEnd w:id="16"/>
      <w:r>
        <w:rPr>
          <w:rFonts w:ascii="Times New Roman;serif" w:hAnsi="Times New Roman;serif"/>
          <w:b/>
          <w:sz w:val="20"/>
        </w:rPr>
        <w:t>PART II—OTHER</w:t>
      </w:r>
      <w:r>
        <w:rPr>
          <w:rFonts w:ascii="Times New Roman" w:hAnsi="Times New Roman"/>
          <w:sz w:val="20"/>
        </w:rPr>
        <w:t xml:space="preserve"> </w:t>
      </w:r>
      <w:r>
        <w:rPr>
          <w:rFonts w:ascii="Times New Roman;serif" w:hAnsi="Times New Roman;serif"/>
          <w:b/>
          <w:sz w:val="20"/>
        </w:rPr>
        <w:t>INFORMATION</w:t>
      </w:r>
    </w:p>
    <w:p>
      <w:pPr>
        <w:pStyle w:val="TextBody"/>
        <w:spacing w:before="120" w:after="0"/>
        <w:jc w:val="left"/>
        <w:rPr>
          <w:rFonts w:ascii="Times New Roman" w:hAnsi="Times New Roman"/>
          <w:sz w:val="20"/>
        </w:rPr>
      </w:pPr>
      <w:bookmarkStart w:id="17" w:name="item_1_legal_proceedings"/>
      <w:bookmarkEnd w:id="17"/>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spacing w:before="120" w:after="0"/>
        <w:jc w:val="left"/>
        <w:rPr>
          <w:rFonts w:ascii="Times New Roman" w:hAnsi="Times New Roman"/>
          <w:sz w:val="20"/>
        </w:rPr>
      </w:pPr>
      <w:r>
        <w:rPr>
          <w:rFonts w:ascii="Times New Roman;serif" w:hAnsi="Times New Roman;serif"/>
          <w:b w:val="false"/>
          <w:sz w:val="20"/>
        </w:rPr>
        <w:t xml:space="preserve">We are a party to various legal actions that arose in the ordinary course of our business. We recognize accruals for any legal action when we conclude that a loss is probable and reasonably estimable. We did not have any material accruals for any active legal action in our condensed consolidated balance sheet as of March 31, 2023, as we could not predict the ultimate outcome of these matters, or reasonably estimate the potential exposure. See Note 10, </w:t>
      </w:r>
      <w:r>
        <w:rPr>
          <w:rFonts w:ascii="Times New Roman;serif" w:hAnsi="Times New Roman;serif"/>
          <w:b w:val="false"/>
          <w:i/>
          <w:sz w:val="20"/>
        </w:rPr>
        <w:t>Commitments and Contingencies</w:t>
      </w:r>
      <w:r>
        <w:rPr>
          <w:rFonts w:ascii="Times New Roman;serif" w:hAnsi="Times New Roman;serif"/>
          <w:b w:val="false"/>
          <w:sz w:val="20"/>
        </w:rPr>
        <w:t>, to the condensed consolidated financial statements for details.</w:t>
      </w:r>
    </w:p>
    <w:p>
      <w:pPr>
        <w:pStyle w:val="TextBody"/>
        <w:spacing w:before="360" w:after="0"/>
        <w:jc w:val="left"/>
        <w:rPr>
          <w:rFonts w:ascii="Times New Roman;serif" w:hAnsi="Times New Roman;serif"/>
          <w:b/>
          <w:sz w:val="20"/>
        </w:rPr>
      </w:pPr>
      <w:bookmarkStart w:id="18" w:name="item_1a_risk_factors"/>
      <w:bookmarkEnd w:id="18"/>
      <w:r>
        <w:rPr>
          <w:rFonts w:ascii="Times New Roman;serif" w:hAnsi="Times New Roman;serif"/>
          <w:b/>
          <w:sz w:val="20"/>
        </w:rPr>
        <w:t>ITEM 1A. RISK FACTORS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deem immaterial may also impair our business operations.</w:t>
      </w:r>
    </w:p>
    <w:p>
      <w:pPr>
        <w:pStyle w:val="TextBody"/>
        <w:spacing w:before="240" w:after="0"/>
        <w:jc w:val="left"/>
        <w:rPr>
          <w:rFonts w:ascii="Times New Roman" w:hAnsi="Times New Roman"/>
          <w:sz w:val="20"/>
        </w:rPr>
      </w:pPr>
      <w:r>
        <w:rPr>
          <w:rFonts w:ascii="Times New Roman;serif" w:hAnsi="Times New Roman;serif"/>
          <w:b w:val="false"/>
          <w:sz w:val="20"/>
        </w:rPr>
        <w:t xml:space="preserve">We have marked with an asterisk (*) those risks described below that reflect substantive changes from the risks described under Part I, Item 1A </w:t>
      </w:r>
      <w:r>
        <w:rPr>
          <w:rFonts w:ascii="Times New Roman" w:hAnsi="Times New Roman"/>
          <w:sz w:val="20"/>
        </w:rPr>
        <w:t>“</w:t>
      </w:r>
      <w:r>
        <w:rPr>
          <w:rFonts w:ascii="Times New Roman;serif" w:hAnsi="Times New Roman;serif"/>
          <w:b w:val="false"/>
          <w:i/>
          <w:sz w:val="20"/>
        </w:rPr>
        <w:t>Risk Factors”</w:t>
      </w:r>
      <w:r>
        <w:rPr>
          <w:rFonts w:ascii="Times New Roman" w:hAnsi="Times New Roman"/>
          <w:sz w:val="20"/>
        </w:rPr>
        <w:t xml:space="preserve"> </w:t>
      </w:r>
      <w:r>
        <w:rPr>
          <w:rFonts w:ascii="Times New Roman;serif" w:hAnsi="Times New Roman;serif"/>
          <w:b w:val="false"/>
          <w:sz w:val="20"/>
        </w:rPr>
        <w:t>included in our Annual Report on Form 10-K for the year ended December 31, 2022, filed on February 27, 2023 (“2022 Form 10-K”).</w:t>
      </w:r>
    </w:p>
    <w:p>
      <w:pPr>
        <w:pStyle w:val="TextBody"/>
        <w:spacing w:before="360" w:after="0"/>
        <w:jc w:val="left"/>
        <w:rPr>
          <w:rFonts w:ascii="Times New Roman;serif" w:hAnsi="Times New Roman;serif"/>
          <w:b/>
          <w:sz w:val="20"/>
        </w:rPr>
      </w:pPr>
      <w:r>
        <w:rPr>
          <w:rFonts w:ascii="Times New Roman;serif" w:hAnsi="Times New Roman;serif"/>
          <w:b/>
          <w:sz w:val="20"/>
        </w:rPr>
        <w:t>SUMMARY RISK FACTORS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success of FibroGen will depend on a number of factors, many of which are beyond our control and involve risks, including but not limited to the following:</w:t>
      </w:r>
    </w:p>
    <w:p>
      <w:pPr>
        <w:pStyle w:val="TextBody"/>
        <w:spacing w:before="120" w:after="0"/>
        <w:jc w:val="left"/>
        <w:rPr>
          <w:rFonts w:ascii="Times New Roman;serif" w:hAnsi="Times New Roman;serif"/>
          <w:b/>
          <w:sz w:val="20"/>
        </w:rPr>
      </w:pPr>
      <w:r>
        <w:rPr>
          <w:rFonts w:ascii="Times New Roman;serif" w:hAnsi="Times New Roman;serif"/>
          <w:b/>
          <w:sz w:val="20"/>
        </w:rPr>
        <w:t>Risks Related to the Development and Commercialization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are substantially dependent on the success of our lead products pamrevlumab and roxadustat.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a company, we have limited late-stage development and commercialization experience, and the time and resources required to develop such experience are significant.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Drug development and obtaining marketing authorization is a very difficult endeavor and we may ultimately be unable to obtain regulatory approval for our various product candidates in one or more jurisdictions and in one or more indications.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complete response letter we received from the FDA for roxadustat has decreased the likelihood of approval and successful commercialization of roxadustat in the U.S. and potentially other markets. There is a significant risk that our U.S./Rest of World Collaboration Agreement with AstraZeneca will be amended or terminated.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Preclinical, Phase 1 and Phase 2 clinical trial results may not be indicative of the results that may be obtained in larger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do not know whether our ongoing or planned clinical trials of roxadustat or pamrevlumab will need to be redesigned based on interim results or if we will be able to achieve sufficient patient enrollment or complete planned clinical trials on schedule.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product candidates may cause or have attributed to them undesirable side effects or have other properties that delay or prevent their regulatory approval or limit their commercial potential.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If our manufacturers or we cannot properly manufacture the appropriate volume of product, we may experience delays in development, regulatory approval, launch or successful commercialization.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face substantial competition in the discovery, development and commercialization of product candidates.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product candidates may not achieve adequate market acceptance among physicians, patients, healthcare payors, and others in the medical community necessary for commercial success.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120" w:after="0"/>
        <w:jc w:val="left"/>
        <w:rPr>
          <w:rFonts w:ascii="Times New Roman;serif" w:hAnsi="Times New Roman;serif"/>
          <w:b/>
          <w:sz w:val="20"/>
        </w:rPr>
      </w:pPr>
      <w:r>
        <w:rPr>
          <w:rFonts w:ascii="Times New Roman;serif" w:hAnsi="Times New Roman;serif"/>
          <w:b/>
          <w:sz w:val="20"/>
        </w:rPr>
        <w:t>Risks Related to Our Reliance on Third Parties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If our collaborations were terminated or if Astellas or AstraZeneca were to prioritize other initiatives over their collaborations with us, our ability to successfully develop and commercialize our product candidates would suffer.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our preclinical and clinical trial contractors do not properly perform their agreed upon obligations, we may not be able to obtain or may be delayed in receiving regulatory approvals for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currently rely, and expect to continue to rely, on third parties to conduct many aspects of our product manufacturing and distribution, and these third parties may terminate these agreements or not perform satisfactorily.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experience delays or technical problems associated with technology transfer, scale-up, or validation of our biologics manufacturing.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Certain components of our products are acquired from single-source suppliers or without long-term supply agreements. The loss of these suppliers, or their failure to supply, would materially and adversely affect our business. </w:t>
      </w:r>
    </w:p>
    <w:p>
      <w:pPr>
        <w:pStyle w:val="TextBody"/>
        <w:spacing w:before="120" w:after="0"/>
        <w:jc w:val="left"/>
        <w:rPr>
          <w:rFonts w:ascii="Times New Roman;serif" w:hAnsi="Times New Roman;serif"/>
          <w:b/>
          <w:sz w:val="20"/>
        </w:rPr>
      </w:pPr>
      <w:r>
        <w:rPr>
          <w:rFonts w:ascii="Times New Roman;serif" w:hAnsi="Times New Roman;serif"/>
          <w:b/>
          <w:sz w:val="20"/>
        </w:rPr>
        <w:t>Risks Related to Our Intellectual Property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our efforts to protect our proprietary technologies are not adequate, we may not be able to compete effectively in our market.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reliance on third parties and agreements with collaboration partners requires us to share our trade secrets, which increases the possibility that a competitor may discover them or that our trade secrets will be misappropriated or disclosed.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 of maintaining our patent protection is high and requires continuous review and diligence. We may not be able to effectively maintain our intellectual property position throughout the major markets of the world.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laws of some foreign countries do not protect proprietary rights to the same extent as do the laws of the U.S., and we may encounter significant problems in securing and defending our intellectual property rights outside the U.S.</w:t>
      </w:r>
    </w:p>
    <w:p>
      <w:pPr>
        <w:pStyle w:val="TextBody"/>
        <w:spacing w:before="120" w:after="0"/>
        <w:jc w:val="left"/>
        <w:rPr>
          <w:rFonts w:ascii="Times New Roman;serif" w:hAnsi="Times New Roman;serif"/>
          <w:b/>
          <w:sz w:val="20"/>
        </w:rPr>
      </w:pPr>
      <w:r>
        <w:rPr>
          <w:rFonts w:ascii="Times New Roman;serif" w:hAnsi="Times New Roman;serif"/>
          <w:b/>
          <w:sz w:val="20"/>
        </w:rPr>
        <w:t>Risks Related to Government Regulation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regulatory approval process is highly uncertain and we may not obtain regulatory approval for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pStyle w:val="TextBody"/>
        <w:spacing w:before="120" w:after="0"/>
        <w:jc w:val="left"/>
        <w:rPr>
          <w:rFonts w:ascii="Times New Roman;serif" w:hAnsi="Times New Roman;serif"/>
          <w:b/>
          <w:sz w:val="20"/>
        </w:rPr>
      </w:pPr>
      <w:r>
        <w:rPr>
          <w:rFonts w:ascii="Times New Roman;serif" w:hAnsi="Times New Roman;serif"/>
          <w:b/>
          <w:sz w:val="20"/>
        </w:rPr>
        <w:t>Risks Related to Our International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have established operations in China and are seeking approval to commercialize our product candidates outside of the U.S., and a number of risks associated with international operations could materially and adversely affect our business.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pharmaceutical industry in China is highly regulated and such regulations are subject to change.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use our own manufacturing facilities in China to produce roxadustat API and drug product for the market in China. There are risks inherent to operating commercial manufacturing facilities, and with these being our single source suppliers, we may not be able to continually meet market demand.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experience difficulties in successfully growing and sustaining sales of roxadustat in China.</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retail prices of any product candidates that we develop will be subject to pricing control in China and elsewhere.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FibroGen Beijing would be subject to restrictions on paying dividends or making other payments to us, which may restrict our ability to satisfy our liquidity requirements.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foreign operations, particularly those in China, are subject to significant risks involving the protection of intellectual property.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Uncertainties with respect to the China legal system and regulations could have a material adverse effect on us.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Changes in China’s economic, governmental, or social conditions could have a material adverse effect on our business.</w:t>
      </w:r>
    </w:p>
    <w:p>
      <w:pPr>
        <w:pStyle w:val="TextBody"/>
        <w:spacing w:before="360" w:after="0"/>
        <w:jc w:val="left"/>
        <w:rPr>
          <w:rFonts w:ascii="Times New Roman;serif" w:hAnsi="Times New Roman;serif"/>
          <w:b/>
          <w:sz w:val="20"/>
        </w:rPr>
      </w:pPr>
      <w:r>
        <w:rPr>
          <w:rFonts w:ascii="Times New Roman;serif" w:hAnsi="Times New Roman;serif"/>
          <w:b/>
          <w:sz w:val="20"/>
        </w:rPr>
        <w:t>RISK FACTORS</w:t>
      </w:r>
    </w:p>
    <w:p>
      <w:pPr>
        <w:pStyle w:val="TextBody"/>
        <w:spacing w:before="120" w:after="0"/>
        <w:jc w:val="left"/>
        <w:rPr>
          <w:rFonts w:ascii="Times New Roman;serif" w:hAnsi="Times New Roman;serif"/>
          <w:b/>
          <w:sz w:val="20"/>
        </w:rPr>
      </w:pPr>
      <w:r>
        <w:rPr>
          <w:rFonts w:ascii="Times New Roman;serif" w:hAnsi="Times New Roman;serif"/>
          <w:b/>
          <w:sz w:val="20"/>
        </w:rPr>
        <w:t>Risks Related to the Development and Commercialization of Our Product Candidates</w:t>
      </w:r>
    </w:p>
    <w:p>
      <w:pPr>
        <w:pStyle w:val="TextBody"/>
        <w:spacing w:before="120" w:after="0"/>
        <w:jc w:val="left"/>
        <w:rPr>
          <w:rFonts w:ascii="Times New Roman" w:hAnsi="Times New Roman"/>
          <w:sz w:val="20"/>
        </w:rPr>
      </w:pPr>
      <w:r>
        <w:rPr>
          <w:rFonts w:ascii="Times New Roman;serif" w:hAnsi="Times New Roman;serif"/>
          <w:b/>
          <w:i/>
          <w:sz w:val="20"/>
        </w:rPr>
        <w:t>We are substantially dependent on the success of our lead products pamrevlumab and roxadustat.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To date, we have invested a substantial portion of our efforts and financial resources in the research and development of pamrevlumab and roxadustat.</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near-term success depends in large part on pamrevlumab, which is in clinical development for idiopathic pulmonary fibrosis (“IPF”), locally advanced unresectable pancreatic cancer, metastatic pancreatic cancer, and Duchenne muscular dystrophy (“DMD”). Pamrevlumab requires substantial further development and commercialization investments, and, at this time, we do not have a collaboration partner to support this compound. In addition, pamrevlumab is a monoclonal antibody, which may require greater financial resources than for our small molecule, roxadustat.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near-term prospects also depend in large part on our continued development and commercialization of roxadustat in the People’s Republic of China (“China”), Japan, Europe, the United States (“U.S.”), and elsewhere. Roxadustat has been approved in the European Union, Great Britain, China, Japan, and other countries for the treatment of anemia in chronic kidney disease (“CKD”) for patients who are on dialysis and not on dialysis. However, we received a complete response letter (“CRL”) for roxadustat in CKD anemia in the U.S. from the Food and Drug Administration (“FDA”). While we continue to co-commercialize roxadustat in China with AstraZeneca AB (“AstraZeneca”) and develop roxadustat in the U.S. for the treatment of anemia in patients with myelodysplastic syndromes (“MDS”), we have not been able to agree on a path forward for AstraZeneca to fund further roxadustat development in the U.S. for CKD anemia and there is a significant risk we will be unable to do so. There is also a significant risk that the U.S./RoW Agreement, a collaboration agreement we entered into with AstraZeneca for roxadustat for the treatment of anemia in the U.S. and all territories not previously licensed to Astellas, except China (“AstraZeneca U.S./RoW Agreement”), will be amended or terminated.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With an eye toward our longer-term success, we are investing in new drug programs to expand our early-stage clinical pipeline. While we see great potential value in our early-stage pipeline, these programs are years away from commercialization, and the success of any development program is not guaranteed. Our near-term prospects and the price of our common stock most heavily rely on the success of our lead products pamrevlumab and roxadustat.</w:t>
      </w:r>
    </w:p>
    <w:p>
      <w:pPr>
        <w:pStyle w:val="TextBody"/>
        <w:spacing w:before="360" w:after="0"/>
        <w:jc w:val="left"/>
        <w:rPr>
          <w:rFonts w:ascii="Times New Roman;serif" w:hAnsi="Times New Roman;serif"/>
          <w:b/>
          <w:i/>
          <w:sz w:val="20"/>
        </w:rPr>
      </w:pPr>
      <w:r>
        <w:rPr>
          <w:rFonts w:ascii="Times New Roman;serif" w:hAnsi="Times New Roman;serif"/>
          <w:b/>
          <w:i/>
          <w:sz w:val="20"/>
        </w:rPr>
        <w:t>As a company, we have limited late-stage and commercialization experience, and the time and resources required to develop such experience are significant.</w:t>
      </w:r>
    </w:p>
    <w:p>
      <w:pPr>
        <w:pStyle w:val="TextBody"/>
        <w:spacing w:before="120" w:after="0"/>
        <w:jc w:val="left"/>
        <w:rPr>
          <w:rFonts w:ascii="Times New Roman" w:hAnsi="Times New Roman"/>
          <w:sz w:val="20"/>
        </w:rPr>
      </w:pPr>
      <w:r>
        <w:rPr>
          <w:rFonts w:ascii="Times New Roman;serif" w:hAnsi="Times New Roman;serif"/>
          <w:b w:val="false"/>
          <w:sz w:val="20"/>
        </w:rPr>
        <w:t>We are running multiple Phase 3 clinical trials simultaneously with multiple readouts in 2023 and 2024, while also commercializing roxadustat with our collaboration partners. As a company, we have limited resources and limited experience handling such a large number of data readouts and possible regulatory filings.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pamrevlumab, which we have not partnered, we do not have a sales infrastructure and we have limited experience in the sales, marketing or distribution of pharmaceutical products in any country.</w:t>
      </w:r>
    </w:p>
    <w:p>
      <w:pPr>
        <w:pStyle w:val="TextBody"/>
        <w:spacing w:before="240" w:after="0"/>
        <w:jc w:val="left"/>
        <w:rPr>
          <w:rFonts w:ascii="Times New Roman" w:hAnsi="Times New Roman"/>
          <w:sz w:val="20"/>
        </w:rPr>
      </w:pPr>
      <w:r>
        <w:rPr>
          <w:rFonts w:ascii="Times New Roman;serif" w:hAnsi="Times New Roman;serif"/>
          <w:b w:val="false"/>
          <w:sz w:val="20"/>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inability to recruit, train and retain adequate numbers of effective sales and marketing personnel;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inability of sales personnel to obtain access to physicians or persuade adequate numbers of physicians to prescribe any future products;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our inability to effectively manage geographically dispersed commercial teams;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lack of complementary products to be offered by sales personnel, which may put us at a competitive disadvantage relative to companies with more extensive product lines;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unforeseen costs and expenses associated with creating an independent commercial organization.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With respect to roxadustat, we are dependent in part on the commercialization capabilities of our collaboration partners, AstraZeneca and Astellas Pharma Inc. (“Astellas”). If either such partner were to terminate its agreement with us, we would have to commercialize on our own or with another third party. We will have limited control over the commercialization efforts of such third parties, and any of them may fail to devote the necessary resources and attention to sell and market roxadustat effectively.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Successful development and commercialization of any of our products requires us to establish and further develop our clinical, regulatory, and commercialization capabilities, including but not limited to, medical affairs, marketing, product reimbursement, sales, price reporting, pharmacovigilance, supply-chain, and distribution. These efforts require resources and time to either develop or acquire expertise in these areas and there is a risk that we are unsuccessful or we fail to comply with rules or regulations applicable to development or commercialization of our products. There is also a risk that we are delayed due to the need to develop these capabilities or due to a lack of resources. All of which would adversely affect our business and financial condition.</w:t>
      </w:r>
    </w:p>
    <w:p>
      <w:pPr>
        <w:pStyle w:val="TextBody"/>
        <w:spacing w:before="360" w:after="0"/>
        <w:jc w:val="left"/>
        <w:rPr>
          <w:rFonts w:ascii="Times New Roman;serif" w:hAnsi="Times New Roman;serif"/>
          <w:b/>
          <w:i/>
          <w:sz w:val="20"/>
        </w:rPr>
      </w:pPr>
      <w:r>
        <w:rPr>
          <w:rFonts w:ascii="Times New Roman;serif" w:hAnsi="Times New Roman;serif"/>
          <w:b/>
          <w:i/>
          <w:sz w:val="20"/>
        </w:rPr>
        <w:t>Drug development and obtaining marketing authorization is a very difficult endeavor and we may ultimately be unable to obtain regulatory approval for our various product candidates in one or more jurisdictions and in one or more indications.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development, manufacturing, marketing, and selling of our products and product candidates are and will continue to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drug development and approval processes are expensive and require substantial resources and time, and in general, very few product candidates that enter development ultimately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any of our other product candidates in one or more indications and jurisdictions.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Moreover, for any clinical trial to support a New Drug Application (“NDA”)/Biologics License Application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Regulatory authorities may take actions or impose requirements that delay, limit or deny approval of our product candidates for many reasons, including, among others: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failure to adequately demonstrate to the satisfaction of regulatory authorities or an independent advisory committee that our product candidate is safe and effective in a particular indication, or that such product candidate’s clinical and other benefits outweigh its safety risks;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failure of clinical trials to meet the level of statistical significance required for approval;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determination by regulatory authorities that additional clinical trials are necessary to demonstrate the safety and efficacy of a product candidate,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disagreement over the design or implementation of our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product candidates may exhibit an unacceptable safety signal at any stage of development;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or the clinical research organizations (“CROs”) or investigators that conduct clinical trials on our behalf, may fail to comply with regulations or GCPs, clinical trial protocols, or contractual agreements, which may adversely impact our clinical trials;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disagreement over whether to accept results from clinical trial sites in a country where the standard of care is potentially different from that in the U.S.;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or third-party contractors manufacturing our product candidates may not maintain current good manufacturing practices (“cGMP”), successfully pass inspection or meet other applicable manufacturing regulatory requirements;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authorities may require us to exclude the use of patient data from unreliable clinical trials, or may not agree with our interpretation of the data from our preclinical trials and clinical trials;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collaboration partners may not perform or complete their clinical programs in a timely manner, or at all.</w:t>
      </w:r>
    </w:p>
    <w:p>
      <w:pPr>
        <w:pStyle w:val="TextBody"/>
        <w:spacing w:before="240" w:after="0"/>
        <w:jc w:val="left"/>
        <w:rPr>
          <w:rFonts w:ascii="Times New Roman" w:hAnsi="Times New Roman"/>
          <w:sz w:val="20"/>
        </w:rPr>
      </w:pPr>
      <w:r>
        <w:rPr>
          <w:rFonts w:ascii="Times New Roman;serif" w:hAnsi="Times New Roman;serif"/>
          <w:b w:val="false"/>
          <w:sz w:val="20"/>
        </w:rPr>
        <w:t>Any of these factors, many of which are beyond our control, could jeopardize our or our collaboration partners’ abilities to obtain regulatory approval for our product candidates in one or more indications.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FDA or other regulatory authorities may require more information (including additional preclinical or clinical data to support approval), which may delay or prevent approval or cause us to abandon the development program altogether.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Even if we believe our clinical trials are successful, regulatory authorities may not agree that our completed clinical trials provide adequate data on safety or efficacy. Approval by one regulatory authority does not ensure approval by any other regulatory authority. For example, while we have received approval of our marketing authorization applications for roxadustat in the European Union, Great Britain, China, Japan, and other countries for the treatment of anemia in CKD for patients who are on dialysis and not on dialysis, we received a CRL in CKD anemia in the U.S. from the FDA regarding roxadustat’s NDA for the treatment of anemia due to CKD, stating that it could not be approved in its present form. In addition, a failure or delay in obtaining regulatory approval in one country may have a negative effect on the regulatory process or commercial uptake in other countries.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Risk Evaluation and Mitigation Strategy (or other regulatory authorities may require the establishment of a similar strategy), that may restrict distribution of our approved products, if any, and impose burdensome implementation requirements on us.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Any of the foregoing scenarios could materially harm the commercial prospects for our product candidates.</w:t>
      </w:r>
    </w:p>
    <w:p>
      <w:pPr>
        <w:pStyle w:val="TextBody"/>
        <w:spacing w:before="360" w:after="0"/>
        <w:jc w:val="left"/>
        <w:rPr>
          <w:rFonts w:ascii="Times New Roman" w:hAnsi="Times New Roman"/>
          <w:sz w:val="20"/>
        </w:rPr>
      </w:pPr>
      <w:r>
        <w:rPr>
          <w:rFonts w:ascii="Times New Roman;serif" w:hAnsi="Times New Roman;serif"/>
          <w:b/>
          <w:i/>
          <w:sz w:val="20"/>
        </w:rPr>
        <w:t>The CRL we received from the FDA for roxadustat has decreased the likelihood of approval and successful commercialization of roxadustat in the U.S. and potentially other markets. There is a significant risk that our U.S./Rest of World Collaboration Agreement with AstraZeneca will be amended or terminated.</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August 2021, the FDA issued a CRL regarding roxadustat’s NDA for the treatment of anemia due to CKD in adult patients, stating that it could not be approved in its present form. The CRL and the subsequent delay due to discussions with AstraZeneca have decreased the likelihood of approval and successful commercialization of roxadustat in the U.S. and therefore will decrease and/or delay expected revenue. While we continue to commercialize roxadustat in China with AstraZeneca, and develop roxadustat in the U.S. for the treatment of anemia in patients with MDS, we have not been able to agree on a path forward for AstraZeneca to fund further roxadustat development in the U.S. and there is a significant risk we will be unable to do so. There is also a significant risk that the AstraZeneca U.S./RoW Agreement will be amended or terminated. Any of these risks could have a material impact on our business, operating results, and financial condition.</w:t>
      </w:r>
    </w:p>
    <w:p>
      <w:pPr>
        <w:pStyle w:val="TextBody"/>
        <w:spacing w:before="360" w:after="0"/>
        <w:jc w:val="left"/>
        <w:rPr>
          <w:rFonts w:ascii="Times New Roman;serif" w:hAnsi="Times New Roman;serif"/>
          <w:b/>
          <w:i/>
          <w:sz w:val="20"/>
        </w:rPr>
      </w:pPr>
      <w:r>
        <w:rPr>
          <w:rFonts w:ascii="Times New Roman;serif" w:hAnsi="Times New Roman;serif"/>
          <w:b/>
          <w:i/>
          <w:sz w:val="20"/>
        </w:rPr>
        <w:t>Preclinical, Phase 1 and Phase 2 clinical trial results may not be indicative of the results that may be obtained in larger clinical trials.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Many companies in the pharmaceutical and biotechnology industries have suffered significant setbacks in late-stage clinical trials after achieving positive results in early-stage development, and we may face similar setbacks.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 w:hAnsi="Times New Roman"/>
          <w:sz w:val="20"/>
        </w:rPr>
      </w:pPr>
      <w:r>
        <w:rPr>
          <w:rFonts w:ascii="Times New Roman;serif" w:hAnsi="Times New Roman;serif"/>
          <w:b/>
          <w:i/>
          <w:sz w:val="20"/>
        </w:rPr>
        <w:t>We do not know whether our ongoing or planned clinical trials of roxadustat or pamrevlumab will need to be redesigned based on interim results or if we will be able to achieve sufficient patient enrollment or complete planned clinical trials on schedule.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Clinical trials can be delayed, suspended, or terminated by us, by the relevant institutional review boards at the sites at which such trials are being conducted, or by the FDA or other regulatory authorities, for a variety of reasons or factors,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 or failure to address any physician or patient safety concerns that arise during the course of the trial, including unforeseen safety issues or adverse side effects, or a principal investigator’s determination that a serious adverse event could be related to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 or failure to obtain required regulatory or institutional review board approval or guidance;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 or failure to reach timely agreement on acceptable terms with prospective CROs and clinical trial sites;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 or failure to recruit, enroll and retain patients through the completion of the trial;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patient recruitment, enrollment, or retention, or clinical site initiation or retention problems associated with the Severe Acute Respiratory Syndrome Coronavirus 2 and the resulting Coronavirus Disease (“COVID-19”) pandemic;</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patient recruitment, enrollment, or retention, clinical site initiation, or retention problems associated with civil unrest or military conflicts around the world;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 or failure to maintain clinical sites in compliance with clinical trial protocols or to conduct the clinical trial in accordance with regulatory requirements or our clinical protocols;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 or failure to initiate or add a sufficient number of clinical trial sites;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 or failure to manufacture sufficient quantities of product candidate for use in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difficulty enrolling a sufficient number of patients to conduct our clinical trials as planned;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inspection of the clinical trial operations or trial site by the FDA or other regulatory authorities resulting in the imposition of a clinical hold, warning letter, or other regulatory action;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changes in laws or regulations.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particular, 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severity of the disease under investigation;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availability of alternative treatments;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size and nature of the patient population;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eligibility criteria for and design of the study in question;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perceived risks and benefits of the product candidate under study;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ability to enroll patients in clinical trials during the COVID-19 pandemic (particularly for IPF);</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ongoing clinical trials of competitive agents;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physicians’ and patients’ perceptions of the potential advantages of our product candidates being studied in relation to available therapies or other products under development;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CRO’s and our trial sites’ efforts to facilitate timely enrollment in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patient referral practices of physicians;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ability to monitor patients and collect patient data adequately during and after treatment.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i/>
          <w:sz w:val="20"/>
        </w:rPr>
      </w:pPr>
      <w:r>
        <w:rPr>
          <w:rFonts w:ascii="Times New Roman;serif" w:hAnsi="Times New Roman;serif"/>
          <w:b/>
          <w:i/>
          <w:sz w:val="20"/>
        </w:rPr>
        <w:t>Our product candidates may cause or have attributed to them undesirable side effects or have other properties that delay or prevent their regulatory approval or limit their commercial potential.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clinical trial development plan becoming longer and more expensive;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terminating some of our clinical trials for the product candidates or specific indications affected;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authorities increasing the data and information required to approve our product candidates and imposing other requirements;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collaboration partners terminating our existing agreements.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occurrence of any or all of these events may cause the development of our product candidates to be delayed or terminated, which could materially and adversely affect our business and prospects.</w:t>
      </w:r>
    </w:p>
    <w:p>
      <w:pPr>
        <w:pStyle w:val="TextBody"/>
        <w:spacing w:before="360" w:after="0"/>
        <w:jc w:val="left"/>
        <w:rPr>
          <w:rFonts w:ascii="Times New Roman;serif" w:hAnsi="Times New Roman;serif"/>
          <w:b/>
          <w:i/>
          <w:sz w:val="20"/>
        </w:rPr>
      </w:pPr>
      <w:r>
        <w:rPr>
          <w:rFonts w:ascii="Times New Roman;serif" w:hAnsi="Times New Roman;serif"/>
          <w:b/>
          <w:i/>
          <w:sz w:val="20"/>
        </w:rPr>
        <w:t>Clinical trials of our product candidates may not uncover all possible adverse effects that patients may experience.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Clinical trials are conducted in representative samples of the potential patient population, which may have significant variability. Pamrevlumab is being studied in patient populations that are at high risk of death and adverse events, and even if unrelated to pamrevlumab, adverse safety findings in these trials may limit its further development or commercial potential.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There have been other products, including erythropoiesis stimulating agents (“ESAs”), for which safety concerns have been uncovered following approval by regulatory authorities. Such safety concerns have led to labeling changes or withdrawal of ESAs products from the market. While roxadustat is chemically unique from ESAs, it or any of our product candidates may be subject to known or unknown risks.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pStyle w:val="TextBody"/>
        <w:spacing w:before="360" w:after="0"/>
        <w:jc w:val="left"/>
        <w:rPr>
          <w:rFonts w:ascii="Times New Roman" w:hAnsi="Times New Roman"/>
          <w:sz w:val="20"/>
        </w:rPr>
      </w:pPr>
      <w:r>
        <w:rPr>
          <w:rFonts w:ascii="Times New Roman;serif" w:hAnsi="Times New Roman;serif"/>
          <w:b/>
          <w:i/>
          <w:sz w:val="20"/>
        </w:rPr>
        <w:t>If our manufacturers or we cannot properly manufacture the appropriate volume of product, we may experience delays in development, regulatory approval, launch or successful commercialization.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Completion of our clinical trials and commercialization of our products require access to, or development of, facilities to manufacture and manage our product candidates at sufficient yields, quality and at commercial scale. Although we have entered into commercial supply agreements for roxadustat and pamrevlumab, we will need to enter into additional commercial supply agreements, including for backup or second source third-party manufacturers. We may not be able to enter into these agreements with satisfactory terms or on a timely manner. In addition, we may experience delays or technical problems associated with technology transfer of manufacturing processes to any new suppliers.</w:t>
      </w:r>
    </w:p>
    <w:p>
      <w:pPr>
        <w:pStyle w:val="TextBody"/>
        <w:spacing w:before="240" w:after="0"/>
        <w:jc w:val="left"/>
        <w:rPr>
          <w:rFonts w:ascii="Times New Roman" w:hAnsi="Times New Roman"/>
          <w:sz w:val="20"/>
        </w:rPr>
      </w:pPr>
      <w:r>
        <w:rPr>
          <w:rFonts w:ascii="Times New Roman;serif" w:hAnsi="Times New Roman;serif"/>
          <w:b w:val="false"/>
          <w:sz w:val="20"/>
        </w:rPr>
        <w:t>We have relatively limited experience manufacturing or managing third parties in manufacturing any of our product candidates in the volumes that are expected to be necessary to support large-scale clinical trials and sales. In addition, we have limited experience forecasting supply requirements or coordinating supply chain (including export and customs management) for launch or commercialization, which is a complex process involving our third-party manufacturers and logistics providers, and for roxadustat, our collaboration partners. We may not be able to accurately forecast supplies for commercial launch or do so in a timely manner and our efforts to establish these manufacturing and supply chain management capabilities may not meet our requirements as to quantities, scale-up, yield, cost, potency or quality in compliance with cGMP, particularly if the marketing authorization or market uptake is more rapid than anticipated or we have an unanticipated surge in demand.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a limited amount of roxadustat and pamrevlumab in storage, limited capacity reserved at our third-party manufacturers, and, even if we have or are able to put sufficient supply agreements in place for our development and commercialization plan, there are long lead times required to manufacture and scale-up the manufacture of additional supply, as well as for raw materials and components for manufacture of our products, as required for both late-stage clinical trials, post-approval trials, and commercial supply. There is a general risk of delayed drug supply due to delays experienced by any third-party provider in the supply chain, including raw material and components suppliers, export and customs locations, and shipping companies. In addition, if we are not able to obtain regulatory approval of roxadustat in the U.S. in CKD anemia, we may have excess supply manufactured in anticipation of commercialization. Such roxadustat excess supply could be wasted, for example, if it expires prior to being used in other clinical trials or prior to being used in other territories where such roxadustat formulation is approved. If we are unable to forecast, order or manufacture sufficient quantities of roxadustat or pamrevlumab on a timely basis, it may delay our development, launch or commercialization in some or all indications we are currently pursuing. Insufficient supply could be a particular risk if we were to obtain regulatory approval of pamrevlumab in all indications being studied (IPF, locally advanced unresectable pancreatic cancer, metastatic pancreatic cancer, and DMD). Any delay or interruption in the supply of our product candidates or products could have a material adverse effect on our business and operations.</w:t>
      </w:r>
    </w:p>
    <w:p>
      <w:pPr>
        <w:pStyle w:val="TextBody"/>
        <w:spacing w:before="240" w:after="0"/>
        <w:jc w:val="left"/>
        <w:rPr>
          <w:rFonts w:ascii="Times New Roman" w:hAnsi="Times New Roman"/>
          <w:sz w:val="20"/>
        </w:rPr>
      </w:pPr>
      <w:r>
        <w:rPr>
          <w:rFonts w:ascii="Times New Roman;serif" w:hAnsi="Times New Roman;serif"/>
          <w:b w:val="false"/>
          <w:sz w:val="20"/>
        </w:rPr>
        <w:t>Our commercial drug product and the product we use for clinical trials must be produced under applicable cGMP regulations. Failure to comply with these regulations by us or our third-party manufacturers may require us to recall commercial product or repeat clinical trials, which would impact sales revenue and/or delay the regulatory approval process.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or our partners may add or change manufacturers, change our manufacturing processes, or change packaging specifications to accommodate changes in regulations, manufacturing equipment or to account for different processes at new or second source suppliers. Changes made to roxadustat or pamrevlumab including, but not limited to, demonstration of comparability to regulatory approved/ in approval products and processes, additional clinical trials, delays in development or commercialization, earlier expiration dates, shorter shelf life, or specification failures, may materially impact our operations and potential profitability.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and even an experienced third-party manufacturer, may encounter difficulties in production. Difficulties may include: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costs and challenges associated with scale-up and attaining sufficient manufacturing yields, in particular for biologic products such as pamrevlumab, which is a monoclonal antibody;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contracting with additional suppliers and validation/qualification of additional facilities to meet growing demand;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supply chain issues, including coordination of multiple contractors in our supply chain and securing necessary licenses (such as export licenses);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timely availability and shelf life requirements of raw materials and supplies, including delays in availability due to the COVID-19 pandemic;</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limited stability and product shelf life;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equipment maintenance issues or failure;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quality control and quality assurance issues;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shortages of qualified personnel and capital required to manufacture large quantities of product;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compliance with regulatory requirements that vary in each country where a product might be sold;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capacity or forecasting limitations and scheduling availability in contracted facilities;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natural disasters, such as pandemics, including the COVID-19 pandemic, floods, storms, earthquakes, tsunamis, and droughts, or accidents such as fire, that affect facilities, possibly limit or postpone production, and increase costs;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failure to obtain license to proprietary starting materials.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i/>
          <w:sz w:val="20"/>
        </w:rPr>
      </w:pPr>
      <w:r>
        <w:rPr>
          <w:rFonts w:ascii="Times New Roman;serif" w:hAnsi="Times New Roman;serif"/>
          <w:b/>
          <w:i/>
          <w:sz w:val="20"/>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 if we believe we have achieved positive clinical results, such as superiority or non-inferiority, in certain endpoints, populations or sub-populations, or using certain statistical methods of analysis, the FDA and European Medicines Agency (“EMA”) will each conduct their own benefit-risk analysis and may reach different conclusions, using different statistical methods, different endpoints or definitions thereof, or different patient populations or sub-populations. Furthermore, while we may seek regulatory advice or agreement in key commercial markets prior to and after application for marketing authorization, regulatory authorities may change their approvability criteria based on the data, their internal analyses and external factors, including discussions with expert advisors. For example, while we have received approval of our marketing authorization applications for roxadustat in the European Union, Great Britain, China, Japan, and other countries for the treatment of anemia in CKD for patients who are on dialysis and not on dialysis, we received a CRL in CKD anemia in the U.S. from the FDA. Regulatory authorities may approve one of our product candidates for fewer or more limited indications than we request or may grant approval contingent on the performance of costly post-approval clinical trials. While we have and will present to regulatory authorities certain pre-specified and post hoc (not pre-specified) sub-populations, sub-group, and sensitivity analyses (for example, incident dialysis), multiple secondary endpoints, and multiple sets of stratification factors and analytical methods (such as long-term follow up analyses), including adjusted and censored data, regulatory authorities may reject these analyses, methods, or even parts of our trial design or certain data from our studies, the rationale for our pre-specified non-inferiority margins or other portions of our statistical analysis plans. In addition, even if we are able to provide positive data with respect to certain analyses, regulatory authorities may not include such claims on any approved labeling. The failure to obtain regulatory approval, or any label, population or other approval limitations in any jurisdiction, may significantly limit or delay our ability to generate revenues, and any failure to obtain such approval for all of the indications and labeling claims we deem desirable could reduce our potential revenue.</w:t>
      </w:r>
    </w:p>
    <w:p>
      <w:pPr>
        <w:pStyle w:val="TextBody"/>
        <w:spacing w:before="360" w:after="0"/>
        <w:jc w:val="left"/>
        <w:rPr>
          <w:rFonts w:ascii="Times New Roman;serif" w:hAnsi="Times New Roman;serif"/>
          <w:b/>
          <w:i/>
          <w:sz w:val="20"/>
        </w:rPr>
      </w:pPr>
      <w:r>
        <w:rPr>
          <w:rFonts w:ascii="Times New Roman;serif" w:hAnsi="Times New Roman;serif"/>
          <w:b/>
          <w:i/>
          <w:sz w:val="20"/>
        </w:rPr>
        <w:t>Even if we are able to obtain regulatory approval of our product candidates, the label we obtain may limit the indicated uses for which our product candidates may be marketed.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With respect to roxadustat, regulatory approvals obtained could limit the approved indicated uses for which roxadustat may be marketed. For example, our label approved in Japan, includes the following warning: “Serious thromboembolism such as cerebral infarction, myocardial infarction, and pulmonary embolism may occur, possibly resulting in death, during treatment with roxadustat.” Additionally, in the U.S., ESAs have been subject to significant safety warnings, including the boxed warnings on their labels. The safety concerns relating to ESAs may result in labeling for roxadustat containing similar warnings. Any label for roxadustat may contain other warnings or limit the market opportunity or approved indications for roxadustat. These warnings could include warnings against exceeding specified hemoglobin targets and other warnings that derive from the safety issues associated with ESAs, even if our Phase 3 clinical trials do not themselves raise safety concerns.</w:t>
      </w:r>
    </w:p>
    <w:p>
      <w:pPr>
        <w:pStyle w:val="TextBody"/>
        <w:spacing w:before="360" w:after="0"/>
        <w:jc w:val="left"/>
        <w:rPr>
          <w:rFonts w:ascii="Times New Roman" w:hAnsi="Times New Roman"/>
          <w:sz w:val="20"/>
        </w:rPr>
      </w:pPr>
      <w:r>
        <w:rPr>
          <w:rFonts w:ascii="Times New Roman;serif" w:hAnsi="Times New Roman;serif"/>
          <w:b/>
          <w:i/>
          <w:sz w:val="20"/>
        </w:rPr>
        <w:t>We face substantial competition in the discovery, development and commercialization of product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discover, develop and commercialize new products with superior efficacy, convenience, tolerability, and safety.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expect that in many cases, the products that we commercialize will compete with existing marketed products of companies that have large, established commercial organizations. We face competition from generics that could enter the market after expiry of our patents.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we will likely face competition from other companies developing products in the same diseases or indications in which we are developing or commercializing products. We will also face competition for patient recruitment, enrollment for clinical trials.</w:t>
      </w:r>
    </w:p>
    <w:p>
      <w:pPr>
        <w:pStyle w:val="TextBody"/>
        <w:spacing w:before="240" w:after="0"/>
        <w:jc w:val="left"/>
        <w:rPr>
          <w:rFonts w:ascii="Times New Roman" w:hAnsi="Times New Roman"/>
          <w:sz w:val="20"/>
        </w:rPr>
      </w:pPr>
      <w:r>
        <w:rPr>
          <w:rFonts w:ascii="Times New Roman;serif" w:hAnsi="Times New Roman;serif"/>
          <w:b w:val="false"/>
          <w:sz w:val="20"/>
        </w:rPr>
        <w:t>Refer to Item 1. “</w:t>
      </w:r>
      <w:r>
        <w:rPr>
          <w:rFonts w:ascii="Times New Roman;serif" w:hAnsi="Times New Roman;serif"/>
          <w:b w:val="false"/>
          <w:i/>
          <w:sz w:val="20"/>
        </w:rPr>
        <w:t>Business - Competition</w:t>
      </w:r>
      <w:r>
        <w:rPr>
          <w:rFonts w:ascii="Times New Roman" w:hAnsi="Times New Roman"/>
          <w:sz w:val="20"/>
        </w:rPr>
        <w:t xml:space="preserve">” </w:t>
      </w:r>
      <w:r>
        <w:rPr>
          <w:rFonts w:ascii="Times New Roman;serif" w:hAnsi="Times New Roman;serif"/>
          <w:b w:val="false"/>
          <w:sz w:val="20"/>
        </w:rPr>
        <w:t>in our Annual Report for a discussion of the specific companies that are on the market or in late-stage development with which we may compete.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success of any or all of these potential competitive products may negatively impact the development and potential for success of our products.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Moreover, many of our competitors have significantly greater resources than we do. Large pharmaceutical companies have extensive experience, greater scale, and efficiency, in clinical testing, obtaining regulatory approvals, recruiting patients, manufacturing pharmaceutical products, and commercialization. If our collaboration partners and we are not able to compete effectively against existing and potential competitors, our business and financial condition may be materially and adversely affected.</w:t>
      </w:r>
    </w:p>
    <w:p>
      <w:pPr>
        <w:pStyle w:val="TextBody"/>
        <w:spacing w:before="360" w:after="0"/>
        <w:jc w:val="left"/>
        <w:rPr>
          <w:rFonts w:ascii="Times New Roman;serif" w:hAnsi="Times New Roman;serif"/>
          <w:b/>
          <w:i/>
          <w:sz w:val="20"/>
        </w:rPr>
      </w:pPr>
      <w:r>
        <w:rPr>
          <w:rFonts w:ascii="Times New Roman;serif" w:hAnsi="Times New Roman;serif"/>
          <w:b/>
          <w:i/>
          <w:sz w:val="20"/>
        </w:rPr>
        <w:t>Our product candidates may not achieve adequate market acceptance among physicians, patients, healthcare payors, and others in the medical community necessary for commercial success.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 if our product candidates receive regulatory approval, they may not gain adequate market acceptance among physicians, patients, healthcare payors, and others in the medical community. Demonstrating safety and efficacy of our product candidates and obtaining regulatory approvals will not guarantee future revenue. The degree of market acceptance of any of our approved product candidates will depend on several factors,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efficacy of the product candidate as demonstrated in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safety profile and perceptions of safety of our product candidates relative to competitive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acceptance of the product candidate as a safe and effective treatment by healthcare providers and patients;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clinical indications for which the product candidate is approved;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potential and perceived advantages of the product candidate over alternative treatments, including any similar generic treatments;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inclusion or exclusion of the product candidate from treatment guidelines established by various physician groups and the viewpoints of influential physicians with respect to the product candidate;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 of the product candidate relative to alternative treatments;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adequate pricing and reimbursement by third parties and government authorities as described below;</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relative convenience and ease of administration;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frequency and severity of adverse events;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effectiveness of sales and marketing efforts;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unfavorable publicity relating to the product candidate.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see the risk factor titled “Our product candidates may cause or have attributed to them undesirable side effects or have other properties that delay or prevent their regulatory approval or limit their commercial potential” above. If any product candidate is approved but does not achieve an adequate level of acceptance by such parties, we may not generate or derive sufficient revenue from that product candidate and may not become or remain profitable.</w:t>
      </w:r>
    </w:p>
    <w:p>
      <w:pPr>
        <w:pStyle w:val="TextBody"/>
        <w:spacing w:before="360" w:after="0"/>
        <w:jc w:val="left"/>
        <w:rPr>
          <w:rFonts w:ascii="Times New Roman" w:hAnsi="Times New Roman"/>
          <w:sz w:val="20"/>
        </w:rPr>
      </w:pPr>
      <w:r>
        <w:rPr>
          <w:rFonts w:ascii="Times New Roman;serif" w:hAnsi="Times New Roman;serif"/>
          <w:b/>
          <w:i/>
          <w:sz w:val="20"/>
        </w:rPr>
        <w:t>No or limited reimbursement or insurance coverage of our approved products, by third-party payors may render our products less attractive to patients and healthcare providers.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covered benefit under applicable health plan;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safe, effective and medically necessary;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appropriate for the specific patient;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cost-effective;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neither experimental nor investigational.</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val="false"/>
          <w:sz w:val="20"/>
        </w:rPr>
      </w:pPr>
      <w:r>
        <w:rPr>
          <w:rFonts w:ascii="Times New Roman;serif" w:hAnsi="Times New Roman;serif"/>
          <w:b w:val="false"/>
          <w:sz w:val="20"/>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governments and third-party payors may significantly change in a manner that renders our clinical data insufficient for adequate reimbursement or otherwise limits the successful marketing of our products. Even if we obtain coverage for our product candidates, the pricing may be subject to re-negotiations or third-party payors may not establish adequate reimbursement amounts, which may reduce the demand for, or the price of, our products. For example, our current National Reimbursement Drug List reimbursement pricing for China is effective for a standard two-year period (between January 1, 2022 to December 31, 2023), after which time we will have to renegotiate a new price for roxadustat.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Reference pricing is used by various Europe member states and parallel distribution, or arbitrage between low-priced and high-priced member states, can further reduce prices. In some countries, our partner or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our partner or we may elect not to commercialize our products in such countries, and our business and financial condition could be adversely affected.</w:t>
      </w:r>
    </w:p>
    <w:p>
      <w:pPr>
        <w:pStyle w:val="TextBody"/>
        <w:spacing w:before="360" w:after="0"/>
        <w:jc w:val="left"/>
        <w:rPr>
          <w:rFonts w:ascii="Times New Roman;serif" w:hAnsi="Times New Roman;serif"/>
          <w:b/>
          <w:sz w:val="20"/>
        </w:rPr>
      </w:pPr>
      <w:r>
        <w:rPr>
          <w:rFonts w:ascii="Times New Roman;serif" w:hAnsi="Times New Roman;serif"/>
          <w:b/>
          <w:sz w:val="20"/>
        </w:rPr>
        <w:t>Risks Related to Our Reliance on Third Parties</w:t>
      </w:r>
    </w:p>
    <w:p>
      <w:pPr>
        <w:pStyle w:val="TextBody"/>
        <w:spacing w:before="120" w:after="0"/>
        <w:jc w:val="left"/>
        <w:rPr>
          <w:rFonts w:ascii="Times New Roman" w:hAnsi="Times New Roman"/>
          <w:sz w:val="20"/>
        </w:rPr>
      </w:pPr>
      <w:r>
        <w:rPr>
          <w:rFonts w:ascii="Times New Roman;serif" w:hAnsi="Times New Roman;serif"/>
          <w:b/>
          <w:i/>
          <w:sz w:val="20"/>
        </w:rPr>
        <w:t>If our collaborations were terminated or if Astellas or AstraZeneca were to prioritize other initiatives over their collaborations with us, our ability to successfully develop and commercialize our product candidates would suffer.</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pStyle w:val="TextBody"/>
        <w:spacing w:before="240" w:after="0"/>
        <w:jc w:val="left"/>
        <w:rPr>
          <w:rFonts w:ascii="Times New Roman" w:hAnsi="Times New Roman"/>
          <w:sz w:val="20"/>
        </w:rPr>
      </w:pPr>
      <w:r>
        <w:rPr>
          <w:rFonts w:ascii="Times New Roman;serif" w:hAnsi="Times New Roman;serif"/>
          <w:b w:val="false"/>
          <w:sz w:val="20"/>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In addition, each of those agreements provides our respective partners the right to terminate any of those agreements upon written notice for convenience.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2021, we received a CRL for roxadustat for the treatment of anemia due to CKD in adult patients in the U.S. While we continue to co-commercialize roxadustat in China with AstraZeneca and develop roxadustat in the U.S. for the treatment of anemia in patients with MDS, we have not been able to agree on a potential path forward for AstraZeneca to fund further roxadustat development in the U.S. for CKD anemia and there is a significant risk we will be unable to do so. There is also a significant risk that the AstraZeneca U.S./RoW Agreement will be amended or terminated. Our collaborations are exclusive for roxadustat and preclude us from entering into additional collaboration agreements with other parties in those geographies and indications already licensed.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If we do not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collaboration partners also have certain rights to control decisions regarding the development and commercialization of our product candidates with respect to which they are providing funding. If we have a disagreement over strategy and activities with our collaboration partners, our plans for obtaining regulatory approval may be revised and negatively affect the anticipated timing and potential for success of our product candidates. Even if a product under a collaboration agreement receives regulatory approval, we will remain substantially dependent on the commercialization strategy and efforts of our collaboration partners, and our collaboration partners have limited or no experience in commercialization of an anemia drug. If our collaboration partners are unsuccessful in their commercialization efforts, our results will be negatively affected.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val="false"/>
          <w:sz w:val="20"/>
        </w:rPr>
      </w:pPr>
      <w:r>
        <w:rPr>
          <w:rFonts w:ascii="Times New Roman;serif" w:hAnsi="Times New Roman;serif"/>
          <w:b w:val="false"/>
          <w:sz w:val="20"/>
        </w:rPr>
        <w:t>With respect to our collaboration agreements for roxadustat, there are additional complexities in that our collaboration partners, Astellas and AstraZeneca, and we must reach consensus on certain portions of our development programs and regulatory activities. In addition, there are aspects of commercial operations that require cooperation among the collaboration partners, including safety data reporting.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or both, may negatively impact the timing or success of our regulatory approval applications.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may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and could impact our commercial results.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pStyle w:val="TextBody"/>
        <w:spacing w:before="360" w:after="0"/>
        <w:jc w:val="left"/>
        <w:rPr>
          <w:rFonts w:ascii="Times New Roman;serif" w:hAnsi="Times New Roman;serif"/>
          <w:b/>
          <w:i/>
          <w:sz w:val="20"/>
        </w:rPr>
      </w:pPr>
      <w:r>
        <w:rPr>
          <w:rFonts w:ascii="Times New Roman;serif" w:hAnsi="Times New Roman;serif"/>
          <w:b/>
          <w:i/>
          <w:sz w:val="20"/>
        </w:rPr>
        <w:t>If our preclinical and clinical trial contractors do not properly perform their agreed upon obligations, we may not be able to obtain or may be delayed in receiving regulatory approvals for our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rely heavily on university, hospital, dialysis centers and other institutions and third parties, including the principal investigators and their staff, to carry out our clinical trials in accordance with our clinical protocols and designs. We also rely on a number of third-party CROs to assist in undertaking, managing, monitoring and executing our ongoing clinical trials. We expect to continue to rely on CROs, clinical data management organizations, medical institutions and clinical investigators to conduct our development efforts in the future. We compete with many other companies for the resources of these third parties, and large pharmaceutical companies often have significantly more extensive agreements and relationships with such third-party providers, and such third-party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pStyle w:val="TextBody"/>
        <w:spacing w:before="240" w:after="0"/>
        <w:jc w:val="left"/>
        <w:rPr>
          <w:rFonts w:ascii="Times New Roman" w:hAnsi="Times New Roman"/>
          <w:sz w:val="20"/>
        </w:rPr>
      </w:pPr>
      <w:r>
        <w:rPr>
          <w:rFonts w:ascii="Times New Roman;serif" w:hAnsi="Times New Roman;serif"/>
          <w:b w:val="false"/>
          <w:sz w:val="20"/>
        </w:rPr>
        <w:t>Despite our reliance on third parties for certain development and management activities, such as clinical trials, we, as the sponsor, remain responsible for ensuring that these activities are conducted in accordance with the FDA and foreign regulatory authorities’ investigational plans and protocols, including GCP requirements. Regulatory enforcement of GCP requirements can occur through periodic inspections of trial sponsors, principal investigators, and trial sites.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To ensure the quality and accuracy of our data remains uncompromised and reliable, our third-party service providers must comply with applicable GCP requirements, regulations, protocols, and agreements. Failures to do so by such third-party partners, or needing to replace such third-party service providers, may delay, suspend or terminate development of our product candidates, result in exclusion of patient data from approval applications, or require additional clinical trials before approval of marketing applications. Such events may ultimately prevent regulatory approval for our product candidates on a timely basis, at a reasonable cost, or at all.</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 w:hAnsi="Times New Roman"/>
          <w:sz w:val="20"/>
        </w:rPr>
      </w:pPr>
      <w:r>
        <w:rPr>
          <w:rFonts w:ascii="Times New Roman;serif" w:hAnsi="Times New Roman;serif"/>
          <w:b/>
          <w:i/>
          <w:sz w:val="20"/>
        </w:rPr>
        <w:t>We currently rely, and expect to continue to rely, on third parties to conduct many aspects of our product manufacturing and distribution, and these third parties may terminate these agreements or not perform satisfactorily.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do not have operating manufacturing facilities at this time other than our roxadustat manufacturing facilities in China, and our current commercial manufacturing plants in China are not expected to satisfy the requirements necessary to support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We rely on third parties for distribution, including our collaboration partners and their vendors, except in China where we have established a jointly owned entity with AstraZeneca to manage most of the distribution in China. Risks arising from our reliance on third-party manufacturers include: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reduced control and additional burdens of oversight as a result of using third-party manufacturers and distributors for all aspects of manufacturing activities, including regulatory compliance and quality control and quality assurance;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termination of manufacturing agreements, termination fees associated with such termination, or nonrenewal of manufacturing agreements with third parties may negatively impact our planned development and commercialization activities;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significant financial commitments we may be required to make with third-party manufacturers for early-stage clinical or pre-clinical programs that may fail to produce scientific results that would justify further development (without the ability to mitigate the manufacturing investments);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possible misappropriation of our proprietary technology, including our trade secrets and know-how;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disruptions to the operations of our third-party manufacturers, distributors or suppliers unrelated to our product, including the merger, acquisition, or bankruptcy of a manufacturer or supplier or a catastrophic event, including disruption resulting from the COVID-19 pandemic, affecting our manufacturers, distributors or suppliers.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Considering we do not control our contract manufacturers’ facilities and operations used to manufacture our product candidates, but are still responsible for cGMP adherence, if our contract manufacturers cannot successfully manufacture material that conforms to our or our collaboration partners’ specifications, or the regulatory requirements, our development and commercialization plans and activities may be adversely affected. Although our longer-term agreements are expected to provide for requirements to meet our quantity and quality requirements (e.g., through audit rights) to manufacture our products candidates for clinical studies and commercial sale, we have limited or minimal direct control over the ability of our contract manufacturers to maintain adequate quality control, quality assurance and qualified personnel. If our contract manufacturers’ facilities do not pass inspection, are not approved or have their approvals withdrawn by regulatory authorities,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legal sanctions/penalties being imposed on us or adverse regulatory consequences, which would be expected to significantly and adversely affect our product supplies.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If any third-party manufacturers terminate their engagements with us or fail to perform as agreed, we may be required to identify, qualify, and contract with replacement manufacturers (including entering into technical transfer agreements to share know-how), which process may result in significant costs and delays to our development and commercialization programs.</w:t>
      </w:r>
    </w:p>
    <w:p>
      <w:pPr>
        <w:pStyle w:val="TextBody"/>
        <w:spacing w:before="360" w:after="0"/>
        <w:jc w:val="left"/>
        <w:rPr>
          <w:rFonts w:ascii="Times New Roman" w:hAnsi="Times New Roman"/>
          <w:sz w:val="20"/>
        </w:rPr>
      </w:pPr>
      <w:r>
        <w:rPr>
          <w:rFonts w:ascii="Times New Roman;serif" w:hAnsi="Times New Roman;serif"/>
          <w:b/>
          <w:i/>
          <w:sz w:val="20"/>
        </w:rPr>
        <w:t>We may experience delays or technical problems associated with technology transfer, scale-up, or validation of our biologics manufacturing.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entered into an initial commercial supply agreement for the manufacture of pamrevlumab with Samsung Biologics Co., Ltd. (“Samsung”) and are transitioning our manufacturing of pamrevlumab from Boehringer Ingelheim to Samsung. However, we may experience delays or technical problems associated with:</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technology transfer of the manufacturing process to Samsung;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scale-up and production of cGMP batches;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analytical method validation and transfer to Samsung;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process validation, including process characterization and process performance qualification batches;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set up and execution of appropriate stability studies.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made certain manufacturing commitments to Samsung, and there is a contractual risk we will not require the quantities of pamrevlumab we have committed to, particularly if we cease some of our pamrevlumab clinical trials. In addition, 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 We also carry the risk that we may need to pay termination fees to Samsung or other manufacturers in the event that we have to manufacture lower volumes or not at all depending on the results of our clinical trials. In addition, third party manufacturers tend to change their upfront fees or postponement/cancelation fees over time or upon initiation of additional contracts, and this may lead to unanticipated financial loss for FibroGen.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also carry the risk that if all three indications are successful, the commercial demand may exceed planned production supply at Samsung. In this event, it may be necessary to find third party manufacturers who have the capacity and capability to produce the required quantities of pamrevlumab. This may be subject to availability of such manufacturers since there are only a limited number of suppliers who have the larger scale bioreactors that are needed for commercial pamrevlumab supply. If we need to find a supplier in China, there may be additional delays in importing custom raw materials and supplements into China.</w:t>
      </w:r>
    </w:p>
    <w:p>
      <w:pPr>
        <w:pStyle w:val="TextBody"/>
        <w:spacing w:before="360" w:after="0"/>
        <w:jc w:val="left"/>
        <w:rPr>
          <w:rFonts w:ascii="Times New Roman" w:hAnsi="Times New Roman"/>
          <w:sz w:val="20"/>
        </w:rPr>
      </w:pPr>
      <w:r>
        <w:rPr>
          <w:rFonts w:ascii="Times New Roman;serif" w:hAnsi="Times New Roman;serif"/>
          <w:b/>
          <w:i/>
          <w:sz w:val="20"/>
        </w:rPr>
        <w:t>Certain components of our products are acquired from single-source suppliers or without long-term supply agreements. The loss of these suppliers, or their failure to supply, would materially and adversely affect our business.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do not have an alternative supplier of certain components of our commercial products and product candidates. While we have obligations for second-source suppliers in our roxadustat collaboration agreements, we may be unable to enter into long-term commercial supply arrangements for some of our other products, or do so on commercially reasonable terms, which could have a material adverse impact upon our business. Although we have entered into long-term clinical and commercial supply arrangements for pamrevlumab, we currently rely on our contract manufacturers to purchase from third-party suppliers some of the materials necessary to produce our product candidates. We do not have direct control over the acquisition of those materials by our contract manufacturers.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active pharmaceutical ingredients (“API”), and drug product to meet our and our collaboration partners’ needs to date, the lead-time and regulatory approvals required to source from and into countries outside of the U.S. increase the risk of delay and potential shortages of supply.</w:t>
      </w:r>
    </w:p>
    <w:p>
      <w:pPr>
        <w:pStyle w:val="TextBody"/>
        <w:spacing w:before="360" w:after="0"/>
        <w:jc w:val="left"/>
        <w:rPr>
          <w:rFonts w:ascii="Times New Roman;serif" w:hAnsi="Times New Roman;serif"/>
          <w:b/>
          <w:sz w:val="20"/>
        </w:rPr>
      </w:pPr>
      <w:r>
        <w:rPr>
          <w:rFonts w:ascii="Times New Roman;serif" w:hAnsi="Times New Roman;serif"/>
          <w:b/>
          <w:sz w:val="20"/>
        </w:rPr>
        <w:t>Risks Related to Our Intellectual Property</w:t>
      </w:r>
    </w:p>
    <w:p>
      <w:pPr>
        <w:pStyle w:val="TextBody"/>
        <w:spacing w:before="120" w:after="0"/>
        <w:jc w:val="left"/>
        <w:rPr>
          <w:rFonts w:ascii="Times New Roman;serif" w:hAnsi="Times New Roman;serif"/>
          <w:b/>
          <w:i/>
          <w:sz w:val="20"/>
        </w:rPr>
      </w:pPr>
      <w:r>
        <w:rPr>
          <w:rFonts w:ascii="Times New Roman;serif" w:hAnsi="Times New Roman;serif"/>
          <w:b/>
          <w:i/>
          <w:sz w:val="20"/>
        </w:rPr>
        <w:t>If our efforts to protect our proprietary technologies are not adequate, we may not be able to compete effectively in our market.</w:t>
      </w:r>
    </w:p>
    <w:p>
      <w:pPr>
        <w:pStyle w:val="TextBody"/>
        <w:spacing w:before="120" w:after="0"/>
        <w:jc w:val="left"/>
        <w:rPr>
          <w:rFonts w:ascii="Times New Roman" w:hAnsi="Times New Roman"/>
          <w:sz w:val="20"/>
        </w:rPr>
      </w:pPr>
      <w:r>
        <w:rPr>
          <w:rFonts w:ascii="Times New Roman;serif" w:hAnsi="Times New Roman;serif"/>
          <w:b w:val="false"/>
          <w:sz w:val="20"/>
        </w:rPr>
        <w:t>We rely upon a combination of patents, trade secret protection, and contractual arrangements to protect the intellectual property related to our technologies. We will only be able to protect our products and proprietary information and technology to the extent that our patents, trade secrets, contractual position, and governmental regulations and laws allow us to do so. Any unauthorized use or disclosure of proprietary information or technology could compromise our competitive position. Moreover, we are, have been, and may in the future be involved in legal proceedings involving our intellectual property and initiated by third parties, which proceedings can be associated with significant costs and commitment of management time and attention.</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in the past been involved,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val="false"/>
          <w:sz w:val="20"/>
        </w:rPr>
      </w:pPr>
      <w:r>
        <w:rPr>
          <w:rFonts w:ascii="Times New Roman;serif" w:hAnsi="Times New Roman;serif"/>
          <w:b w:val="false"/>
          <w:sz w:val="20"/>
        </w:rPr>
        <w:t>Composition-of-matter patents are generally considered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Biotechnology and pharmaceutical product patents involve highly complex legal and scientific questions and can be uncertain. Any patent applications we own or license may fail to result in granted or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our licensors or we were the first to make the inventions claimed in our owned and licensed patents or patent applications, or that our licensors or we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have, are, and may again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to the protection afforded by patents, we seek to rely on trade secret protection and confidentiality agreements to protect proprietary know-how, information, or technology that is not covered by our patents. Although our agreements require employees to acknowledge ownership by us of inventions conceived as a result of employment from the point of conception and, to the extent necessary, perfect such ownership by assignment, and we require employees, consultants, advisors and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use, or misappropriation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cannot prevent unauthorized disclosure of our intellectual property related to our product candidates and technology to third parties, we may not establish or maintain a competitive advantage in our market, which could materially and adversely affect our business and operations.</w:t>
      </w:r>
    </w:p>
    <w:p>
      <w:pPr>
        <w:pStyle w:val="TextBody"/>
        <w:spacing w:before="360" w:after="0"/>
        <w:jc w:val="left"/>
        <w:rPr>
          <w:rFonts w:ascii="Times New Roman" w:hAnsi="Times New Roman"/>
          <w:sz w:val="20"/>
        </w:rPr>
      </w:pPr>
      <w:r>
        <w:rPr>
          <w:rFonts w:ascii="Times New Roman;serif" w:hAnsi="Times New Roman;serif"/>
          <w:b/>
          <w:i/>
          <w:sz w:val="20"/>
        </w:rPr>
        <w:t>Intellectual property disputes may be costly, time consuming, and may negatively affect our competitive position.*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commercial success may depend on our avoiding infringement of the patents and other proprietary rights of third parties as well as on enforcing our patents and other proprietary rights against third parties.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collaboration partners or we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val="false"/>
          <w:sz w:val="20"/>
        </w:rPr>
      </w:pPr>
      <w:r>
        <w:rPr>
          <w:rFonts w:ascii="Times New Roman;serif" w:hAnsi="Times New Roman;serif"/>
          <w:b w:val="false"/>
          <w:sz w:val="20"/>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pStyle w:val="TextBody"/>
        <w:spacing w:before="240" w:after="0"/>
        <w:jc w:val="left"/>
        <w:rPr>
          <w:rFonts w:ascii="Times New Roman" w:hAnsi="Times New Roman"/>
          <w:sz w:val="20"/>
        </w:rPr>
      </w:pPr>
      <w:r>
        <w:rPr>
          <w:rFonts w:ascii="Times New Roman;serif" w:hAnsi="Times New Roman;serif"/>
          <w:b w:val="false"/>
          <w:sz w:val="20"/>
        </w:rPr>
        <w:t>Third parties have challenged and may again challenge our patents and patent applications. For example, various challenges against our hypoxia-inducible factor anemia-related technologies patent portfolio are ongoing in several territories, including Europe, the United Kingdom, and Japan. Regardless of final outcome, the potential narrowing or revocation of any of the hypoxia-inducible factor anemia-related technology patents does not affect our exclusivity for roxadustat or our freedom-to-operate with respect to use of roxadustat for the treatment of anemia in these or other territories.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Oppositions were filed against European Patent Nos. 2872488 (the “`488 Patent”) and 3470397 (the “`397 Patent”), which claims relate to a crystalline form of roxadustat, and against European Patent No. 3003284 (the “`284 Patent”), which claims photostable formulations of roxadustat. Similar challenges have been filed in China against patents which claim a crystalline form of roxadustat. Final resolution of such proceedings will take time, and we cannot be assured that these patents will ultimately survive as originally granted or at all.</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pStyle w:val="TextBody"/>
        <w:spacing w:before="360" w:after="0"/>
        <w:jc w:val="left"/>
        <w:rPr>
          <w:rFonts w:ascii="Times New Roman;serif" w:hAnsi="Times New Roman;serif"/>
          <w:b/>
          <w:i/>
          <w:sz w:val="20"/>
        </w:rPr>
      </w:pPr>
      <w:r>
        <w:rPr>
          <w:rFonts w:ascii="Times New Roman;serif" w:hAnsi="Times New Roman;serif"/>
          <w:b/>
          <w:i/>
          <w:sz w:val="20"/>
        </w:rPr>
        <w:t>Our reliance on third parties and agreements with collaboration partners requires us to share our trade secrets, which increases the possibility that a competitor may discover them or that our trade secrets will be misappropriated or disclosed.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our collaboration partners are larger, more complex organizations than ours, and the risk of inadvertent disclosure of our proprietary information may be increased despite their internal procedures and contractual obligations that we have in place with them. Despite our efforts to protect our trade secrets and other confidential information, a competitor’s discovery of such trade secrets and information could impair our competitive position and have an adverse impact on our business.</w:t>
      </w:r>
    </w:p>
    <w:p>
      <w:pPr>
        <w:pStyle w:val="TextBody"/>
        <w:spacing w:before="360" w:after="0"/>
        <w:jc w:val="left"/>
        <w:rPr>
          <w:rFonts w:ascii="Times New Roman;serif" w:hAnsi="Times New Roman;serif"/>
          <w:b/>
          <w:i/>
          <w:sz w:val="20"/>
        </w:rPr>
      </w:pPr>
      <w:r>
        <w:rPr>
          <w:rFonts w:ascii="Times New Roman;serif" w:hAnsi="Times New Roman;serif"/>
          <w:b/>
          <w:i/>
          <w:sz w:val="20"/>
        </w:rPr>
        <w:t>The cost of maintaining our patent protection is high and requires continuous review and diligence. We may not be able to effectively maintain our intellectual property position throughout the major markets of the world.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U.S. Patent and Trademark Office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 w:hAnsi="Times New Roman"/>
          <w:sz w:val="20"/>
        </w:rPr>
      </w:pPr>
      <w:r>
        <w:rPr>
          <w:rFonts w:ascii="Times New Roman;serif" w:hAnsi="Times New Roman;serif"/>
          <w:b/>
          <w:i/>
          <w:sz w:val="20"/>
        </w:rPr>
        <w:t>The laws of some foreign countries do not protect proprietary rights to the same extent as do the laws of the U.S., and we may encounter significant problems in securing and defending our intellectual property rights outside the U.S.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spacing w:before="360" w:after="0"/>
        <w:jc w:val="left"/>
        <w:rPr>
          <w:rFonts w:ascii="Times New Roman;serif" w:hAnsi="Times New Roman;serif"/>
          <w:b/>
          <w:i/>
          <w:sz w:val="20"/>
        </w:rPr>
      </w:pPr>
      <w:r>
        <w:rPr>
          <w:rFonts w:ascii="Times New Roman;serif" w:hAnsi="Times New Roman;serif"/>
          <w:b/>
          <w:i/>
          <w:sz w:val="20"/>
        </w:rPr>
        <w:t>Intellectual property rights do not address all potential threats to any competitive advantage we may have.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Others may be able to make compounds or independently develop similar or alternative technologies that are the same as or similar to our current or future product candidates but that are not covered by the claims of the patents that we own or have exclusively licensed.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Patent protection on our product candidates may expire before we are able to develop and commercialize the product, or before we are able to recover our investment in the product.</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pStyle w:val="TextBody"/>
        <w:spacing w:before="360" w:after="0"/>
        <w:jc w:val="left"/>
        <w:rPr>
          <w:rFonts w:ascii="Times New Roman;serif" w:hAnsi="Times New Roman;serif"/>
          <w:b/>
          <w:i/>
          <w:sz w:val="20"/>
        </w:rPr>
      </w:pPr>
      <w:r>
        <w:rPr>
          <w:rFonts w:ascii="Times New Roman;serif" w:hAnsi="Times New Roman;serif"/>
          <w:b/>
          <w:i/>
          <w:sz w:val="20"/>
        </w:rPr>
        <w:t>The existence of counterfeit pharmaceutical products in pharmaceutical markets may compromise our brand and reputation and have a material adverse effect on our business, operations and prospects.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sz w:val="20"/>
        </w:rPr>
      </w:pPr>
      <w:r>
        <w:rPr>
          <w:rFonts w:ascii="Times New Roman;serif" w:hAnsi="Times New Roman;serif"/>
          <w:b/>
          <w:sz w:val="20"/>
        </w:rPr>
        <w:t>Risks Related to Government Regulation</w:t>
      </w:r>
    </w:p>
    <w:p>
      <w:pPr>
        <w:pStyle w:val="TextBody"/>
        <w:spacing w:before="120" w:after="0"/>
        <w:jc w:val="left"/>
        <w:rPr>
          <w:rFonts w:ascii="Times New Roman;serif" w:hAnsi="Times New Roman;serif"/>
          <w:b/>
          <w:i/>
          <w:sz w:val="20"/>
        </w:rPr>
      </w:pPr>
      <w:r>
        <w:rPr>
          <w:rFonts w:ascii="Times New Roman;serif" w:hAnsi="Times New Roman;serif"/>
          <w:b/>
          <w:i/>
          <w:sz w:val="20"/>
        </w:rPr>
        <w:t>The regulatory approval process is highly uncertain and we may not obtain regulatory approval for our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For example, while we have received approval of our marketing authorization applications for roxadustat in the European Union, Great Britain, China, Japan, and other countries for the treatment of anemia in CKD for patients who are on dialysis and not on dialysis, we received a CRL for roxadustat in CKD anemia in the U.S. from the FDA. It is possible that roxadustat will not obtain regulatory approval in additional countries or indications. It is possible that our other product candidates we may discover, in-license or acquire and seek to develop in the future, will not obtain regulatory approval in any particular jurisdiction.</w:t>
      </w:r>
    </w:p>
    <w:p>
      <w:pPr>
        <w:pStyle w:val="TextBody"/>
        <w:spacing w:before="360" w:after="0"/>
        <w:jc w:val="left"/>
        <w:rPr>
          <w:rFonts w:ascii="Times New Roman;serif" w:hAnsi="Times New Roman;serif"/>
          <w:b/>
          <w:i/>
          <w:sz w:val="20"/>
        </w:rPr>
      </w:pPr>
      <w:r>
        <w:rPr>
          <w:rFonts w:ascii="Times New Roman;serif" w:hAnsi="Times New Roman;serif"/>
          <w:b/>
          <w:i/>
          <w:sz w:val="20"/>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current and future relationships with customers, physicians, and third-party payors are subject to health care laws and regulations, which may constrain the business or financial arrangements and relationships through which we research, as well as, sell, market and distribute any products for which we obtain marketing approval. If we obtain approval in the U.S. for any of our product candidates, the regulatory requirements applicable to our operations, in particular our sales and marketing efforts, will increase significantly with respect to our operations and the potential for administrative, civil and criminal enforcement by the federal government and the states and foreign governments will increase with respect to the conduct of our business. The laws that may affect our operations in the U.S. include: the federal Anti-Kickback Statute; federal civil and criminal false claims laws and civil monetary penalty laws; the Health Insurance Portability and Accountability Act, including as amended by Health Information Technology for Economic and Clinical Health Act, and its implementing regulations; the federal physician sunshine requirements under the Patient Protection and Affordable Care Act, as amended by the Health Care and Education Reconciliation Act; and the Trade Agreement Act. In addition, foreign and state law equivalents of each of the above federal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w:t>
      </w:r>
    </w:p>
    <w:p>
      <w:pPr>
        <w:pStyle w:val="TextBody"/>
        <w:spacing w:before="240" w:after="0"/>
        <w:jc w:val="left"/>
        <w:rPr>
          <w:rFonts w:ascii="Times New Roman" w:hAnsi="Times New Roman"/>
          <w:sz w:val="20"/>
        </w:rPr>
      </w:pPr>
      <w:r>
        <w:rPr>
          <w:rFonts w:ascii="Times New Roman;serif" w:hAnsi="Times New Roman;serif"/>
          <w:b w:val="false"/>
          <w:sz w:val="20"/>
        </w:rPr>
        <w:t>If our operations are found to be in violation of any of such laws or any other governmental regulations that apply to us, we may be subject to significant penalties, including administrative, civil and criminal penalties, damages, fines, disgorgement, the curtailment or restructuring of our operations, the exclusion from participation in federal and state healthcare programs and imprisonment, any of which could materially adversely affect our ability to operate our business and our financial results.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Such actions could have a substantial adverse effect on the price of our common shares and could have a material adverse effect on our operations.</w:t>
      </w:r>
    </w:p>
    <w:p>
      <w:pPr>
        <w:pStyle w:val="TextBody"/>
        <w:spacing w:before="360" w:after="0"/>
        <w:jc w:val="left"/>
        <w:rPr>
          <w:rFonts w:ascii="Times New Roman" w:hAnsi="Times New Roman"/>
          <w:sz w:val="20"/>
        </w:rPr>
      </w:pPr>
      <w:r>
        <w:rPr>
          <w:rFonts w:ascii="Times New Roman;serif" w:hAnsi="Times New Roman;serif"/>
          <w:b/>
          <w:i/>
          <w:sz w:val="20"/>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r>
        <w:rPr>
          <w:rFonts w:ascii="Times New Roman;serif" w:hAnsi="Times New Roman;serif"/>
          <w:b w:val="false"/>
          <w:sz w:val="20"/>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ordinary course of business, we collect, receive, store, process, generate, use, transfer, disclose, make accessible, protect, secure, dispose of, transmit, and share confidential, proprietary, and sensitive information, including personal information, business data, trade secrets, intellectual property, information we collect about trial participants in connection with clinical trials, sensitive third-party data, business plans, transactions, and financial information.</w:t>
      </w:r>
    </w:p>
    <w:p>
      <w:pPr>
        <w:pStyle w:val="TextBody"/>
        <w:spacing w:before="240" w:after="0"/>
        <w:jc w:val="left"/>
        <w:rPr>
          <w:rFonts w:ascii="Times New Roman" w:hAnsi="Times New Roman"/>
          <w:sz w:val="20"/>
        </w:rPr>
      </w:pPr>
      <w:r>
        <w:rPr>
          <w:rFonts w:ascii="Times New Roman;serif" w:hAnsi="Times New Roman;serif"/>
          <w:b w:val="false"/>
          <w:sz w:val="20"/>
        </w:rPr>
        <w:t>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 w:hAnsi="Times New Roman"/>
          <w:sz w:val="20"/>
        </w:rPr>
      </w:pPr>
      <w:r>
        <w:rPr>
          <w:rFonts w:ascii="Times New Roman;serif" w:hAnsi="Times New Roman;serif"/>
          <w:b w:val="false"/>
          <w:sz w:val="20"/>
        </w:rPr>
        <w:t>In the U.S., federal, state, and local governments have enacted numerous data privacy and security laws, including data breach notification laws, personal data privacy laws, consumer protection laws (e.g., Section 5 of the Federal Trade Commission Act), the Health Insurance Portability and Accountability Act, and other similar laws (e.g., wiretapping laws). For example, the California Consumer Privacy Act of 2018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In addition, the California Privacy Rights Act of 2020 expands the CCPA’s requirements, including by adding a new right for individuals to correct their personal data and establishing a new regulatory agency to implement and enforce the law.</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Outside the U.S., an increasing number of laws, regulations, and industry standards may govern data privacy and security. For example, the European Union’s General Data Protection Regulation (“EU GDPR”), the United Kingdom’s GDPR (“UK GDPR”), Brazil’s General Data Protection Law (Lei Geral de Proteção de Dados Pessoais) (Law No. 13,709/2018), and China’s Personal Information Protection Law impose strict requirements for processing personal data, including health-related information. For example, under the EU GDPR, companies may face fines of up to 20 million Euros or 4% of annual global revenue, whichever is greater; or private litigation related to processing of personal data. We also target customers in Asia and have operations in China and may be subject to new and emerging data privacy regimes in Asia, including China’s Personal Information Protection Law, Japan’s Act on the Protection of Personal Information, and Singapore’s Personal Data Protection Act.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restricted the transfer of personal data to the U.S. and other countries whose data privacy and security laws they believe are inadequate. Although there are currently various mechanisms that may be used to transfer personal data from the EEA and UK to the U.S. in compliance with law, such as the EEA and UK’s standard contractual clauses, these mechanisms are subject to legal challenges. Additionally, companies that transfer personal data out of the EEA and UK to other jurisdictions, particularly to the U.S., are subject to increased scrutiny from regulators, individual litigants, and activities groups.</w:t>
      </w:r>
    </w:p>
    <w:p>
      <w:pPr>
        <w:pStyle w:val="TextBody"/>
        <w:spacing w:before="240" w:after="0"/>
        <w:jc w:val="left"/>
        <w:rPr>
          <w:rFonts w:ascii="Times New Roman" w:hAnsi="Times New Roman"/>
          <w:sz w:val="20"/>
        </w:rPr>
      </w:pPr>
      <w:r>
        <w:rPr>
          <w:rFonts w:ascii="Times New Roman;serif" w:hAnsi="Times New Roman;serif"/>
          <w:b w:val="false"/>
          <w:sz w:val="20"/>
        </w:rPr>
        <w:t>Preparing for and complying with these obligations requires us to devote significant resources and may necessitate changes to our services, information technologies, systems, and practices and to those of any third parties that process personal data on our behalf.</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We are subject to laws and regulations governing corruption, which require us to maintain costly compliance programs.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must comply with a wide range of laws and regulations to prevent corruption, bribery, and other unethical business practices, including the U.S. Foreign Corrupt Practices Act (“FCPA”), anti-bribery and anti-corruption laws in other countries, particularly China. The implementation and maintenance of compliance programs is costly and such programs may be difficult to enforce, particularly where reliance on third parties is required.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val="false"/>
          <w:sz w:val="20"/>
        </w:rPr>
      </w:pPr>
      <w:r>
        <w:rPr>
          <w:rFonts w:ascii="Times New Roman;serif" w:hAnsi="Times New Roman;serif"/>
          <w:b w:val="false"/>
          <w:sz w:val="20"/>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partners, affiliates, subcontractors,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Considering our current presence and potential expansion in international jurisdictions, the creation, implementation, and maintenance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pStyle w:val="TextBody"/>
        <w:spacing w:before="360" w:after="0"/>
        <w:jc w:val="left"/>
        <w:rPr>
          <w:rFonts w:ascii="Times New Roman;serif" w:hAnsi="Times New Roman;serif"/>
          <w:b/>
          <w:i/>
          <w:sz w:val="20"/>
        </w:rPr>
      </w:pPr>
      <w:r>
        <w:rPr>
          <w:rFonts w:ascii="Times New Roman;serif" w:hAnsi="Times New Roman;serif"/>
          <w:b/>
          <w:i/>
          <w:sz w:val="20"/>
        </w:rPr>
        <w:t>If we fail to maintain an effective system of internal control, it may result in material misstatements in our financial statements.*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our financial reporting and the preparation of financial statements for external reporting purposes in accordance with generally accepted accounting principles. As a public company, we are required to comply with the Sarbanes-Oxley Act and other rules that govern public companies.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Efforts required to remediate an ineffective system of control over financial reporting may place a significant burden on management and add increased pressure on our financial resources and processes. Moreover, we implemented an enterprise resource planning (“ERP”) system in the first quarter of 2023, which replaced our existing operating and financial systems, to improve the efficiency of certain financial and transactional processes. However, there is an increased risk that changing controls may be ineffective during the implementation and this ERP system may place additional burden on employees to learn and adapt our processes to effectively operate under the ERP system. If the ERP system does not operate as intended, the effectiveness of our internal control over financial reporting could be negatively impacted. If we experience material weaknesses or otherwise fail to maintain an effective system of internal control over financial reporting, the accuracy and timing of our financial reporting and subsequently our liquidity and our access to capital markets may be adversely affected, we may be unable to maintain or regain compliance with applicable securities laws and the Nasdaq Stock Market LLC listing requirements, we may be subject to regulatory investigations and penalties, investors may lose confidence in our financial reporting, and our stock price may decline.</w:t>
      </w:r>
    </w:p>
    <w:p>
      <w:pPr>
        <w:pStyle w:val="TextBody"/>
        <w:spacing w:before="360" w:after="0"/>
        <w:jc w:val="left"/>
        <w:rPr>
          <w:rFonts w:ascii="Times New Roman" w:hAnsi="Times New Roman"/>
          <w:sz w:val="20"/>
        </w:rPr>
      </w:pPr>
      <w:r>
        <w:rPr>
          <w:rFonts w:ascii="Times New Roman;serif" w:hAnsi="Times New Roman;serif"/>
          <w:b/>
          <w:i/>
          <w:sz w:val="20"/>
        </w:rPr>
        <w:t>The impact of U.S. healthcare reform may adversely affect our business model.</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U.S. and some foreign jurisdictions, there have been, and continue to be, several legislative and regulatory changes and proposed changes regarding the healthcare system that could affect our operations. In particular, 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val="false"/>
          <w:sz w:val="20"/>
        </w:rPr>
      </w:pPr>
      <w:r>
        <w:rPr>
          <w:rFonts w:ascii="Times New Roman;serif" w:hAnsi="Times New Roman;serif"/>
          <w:b w:val="false"/>
          <w:sz w:val="20"/>
        </w:rPr>
        <w:t>Further, in the U.S.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in July 2021, the Biden administration released an executive order that included multiple provisions aimed at prescription drugs. In response to Biden’s executive order, on September 9, 2021, the U.S. Department of Health and Human Services (“HHS”) released a Comprehensive Plan for Addressing High Drug Prices that outlines principles for drug pricing reform. The plan sets out a variety of potential legislative policies that Congress could pursue as well as potential administrative actions the HHS can take to advance these principles. In addition,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Further, the IRA (1) directs HHS to negotiate the price of certain single-source drugs or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of 2022 will be implemented but is likely to have a significant impact on the pharmaceutical industry. Further, the Biden administration released an additional executive order on October 14, 2022, directing U.S. Department of Health and Human Services to report on how the Center for Medicare and Medicaid Innovation can be further leveraged to test new models for lowering drug costs for Medicare and Medicaid beneficiaries. It is unclear whether this executive order or similar policy initiatives will be implemented in the future.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spacing w:before="240" w:after="0"/>
        <w:jc w:val="left"/>
        <w:rPr>
          <w:rFonts w:ascii="Times New Roman" w:hAnsi="Times New Roman"/>
          <w:sz w:val="20"/>
        </w:rPr>
      </w:pPr>
      <w:r>
        <w:rPr>
          <w:rFonts w:ascii="Times New Roman;serif" w:hAnsi="Times New Roman;serif"/>
          <w:b w:val="false"/>
          <w:sz w:val="20"/>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if approved or additional pricing pressures.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Roxadustat is considered a Class 2 substance on the 2019 World Anti-Doping Agency Prohibited List that could limit sales and increase security and distribution costs for our partners and 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Roxadustat is considered a Class 2 substance on the World Anti-Doping Agency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Our employees may engage in misconduct or improper activities, which could result in significant liability or harm our reputation.</w:t>
      </w:r>
    </w:p>
    <w:p>
      <w:pPr>
        <w:pStyle w:val="TextBody"/>
        <w:spacing w:before="120" w:after="0"/>
        <w:jc w:val="left"/>
        <w:rPr>
          <w:rFonts w:ascii="Times New Roman" w:hAnsi="Times New Roman"/>
          <w:sz w:val="20"/>
        </w:rPr>
      </w:pPr>
      <w:r>
        <w:rPr>
          <w:rFonts w:ascii="Times New Roman;serif" w:hAnsi="Times New Roman;serif"/>
          <w:b w:val="false"/>
          <w:sz w:val="20"/>
        </w:rPr>
        <w:t>We are exposed to the risk of employee fraud or other misconduct, including intentional failure to:</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comply with FDA regulations or similar regulations of comparable foreign regulatory authorities;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provide accurate information to the FDA or comparable foreign regulatory authorities;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comply with manufacturing standards we have established;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comply with data privacy and security laws protecting personal data;</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comply with federal and state healthcare fraud and abuse laws and regulations and similar laws and regulations established and enforced by comparable foreign regulatory authorities;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comply with the FCPA and other anti-bribery laws;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report financial information or data accurately;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disclose unauthorized activities to us.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val="false"/>
          <w:sz w:val="20"/>
        </w:rPr>
      </w:pPr>
      <w:r>
        <w:rPr>
          <w:rFonts w:ascii="Times New Roman;serif" w:hAnsi="Times New Roman;serif"/>
          <w:b w:val="false"/>
          <w:sz w:val="20"/>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protecting us from the negative impacts of governmental investigations or other actions or lawsuits stemming from a failure to be in compliance with such laws or regulations. An unfavorable outcome or settlement in connection with a governmental investigation or other action or lawsuit may result in a material adverse impact on our business, results of operations, financial condition, prospects, and stock price. Regardless of the outcome, litigation and governmental investigations can be costly, time-consuming, and disruptive to our business, results of operations, financial condition, reputation, and prospects.</w:t>
      </w:r>
    </w:p>
    <w:p>
      <w:pPr>
        <w:pStyle w:val="TextBody"/>
        <w:spacing w:before="360" w:after="0"/>
        <w:jc w:val="left"/>
        <w:rPr>
          <w:rFonts w:ascii="Times New Roman;serif" w:hAnsi="Times New Roman;serif"/>
          <w:b/>
          <w:i/>
          <w:sz w:val="20"/>
        </w:rPr>
      </w:pPr>
      <w:r>
        <w:rPr>
          <w:rFonts w:ascii="Times New Roman;serif" w:hAnsi="Times New Roman;serif"/>
          <w:b/>
          <w:i/>
          <w:sz w:val="20"/>
        </w:rPr>
        <w:t>If we fail to comply with environmental, health or safety laws and regulations, we could incur fines, penalties or other costs.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pStyle w:val="TextBody"/>
        <w:spacing w:before="360" w:after="0"/>
        <w:jc w:val="left"/>
        <w:rPr>
          <w:rFonts w:ascii="Times New Roman;serif" w:hAnsi="Times New Roman;serif"/>
          <w:b/>
          <w:sz w:val="20"/>
        </w:rPr>
      </w:pPr>
      <w:r>
        <w:rPr>
          <w:rFonts w:ascii="Times New Roman;serif" w:hAnsi="Times New Roman;serif"/>
          <w:b/>
          <w:sz w:val="20"/>
        </w:rPr>
        <w:t>Risks Related to Our International Operations</w:t>
      </w:r>
    </w:p>
    <w:p>
      <w:pPr>
        <w:pStyle w:val="TextBody"/>
        <w:spacing w:before="120" w:after="0"/>
        <w:jc w:val="left"/>
        <w:rPr>
          <w:rFonts w:ascii="Times New Roman" w:hAnsi="Times New Roman"/>
          <w:sz w:val="20"/>
        </w:rPr>
      </w:pPr>
      <w:r>
        <w:rPr>
          <w:rFonts w:ascii="Times New Roman;serif" w:hAnsi="Times New Roman;serif"/>
          <w:b/>
          <w:i/>
          <w:sz w:val="20"/>
        </w:rPr>
        <w:t>We have established operations in China and are seeking approval to commercialize our product candidates outside of the U.S., and a number of risks associated with international operations could materially and adversely affect our business.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number of risks related to our international operations, many of which may be beyond our control, include: different regulatory requirements in different countries, including for drug approvals, manufacturing, and distribution; potential liability resulting from development work conducted by foreign distributors; economic weakness, including inflation, or foreign currency fluctuations, which could result in increased operating costs and expenses and reduced revenues, and other obligations incident to doing business in another country; workforce uncertainty in countries where labor unrest is more common than in the U.S.; compliance with tax, employment, immigration and labor laws for employees living or traveling abroad; political instability in particular foreign economies and markets; and business interruptions resulting from geopolitical actions specific to an international region, including war and terrorism, or natural disasters, including the differing impact of the COVID-19 pandemic on each region.</w:t>
      </w:r>
    </w:p>
    <w:p>
      <w:pPr>
        <w:pStyle w:val="TextBody"/>
        <w:spacing w:before="360" w:after="0"/>
        <w:jc w:val="left"/>
        <w:rPr>
          <w:rFonts w:ascii="Times New Roman" w:hAnsi="Times New Roman"/>
          <w:sz w:val="20"/>
        </w:rPr>
      </w:pPr>
      <w:r>
        <w:rPr>
          <w:rFonts w:ascii="Times New Roman;serif" w:hAnsi="Times New Roman;serif"/>
          <w:b/>
          <w:i/>
          <w:sz w:val="20"/>
        </w:rPr>
        <w:t>The pharmaceutical industry in China is highly regulated and such regulations are subject to change.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pharmaceutical industry in China is subject to comprehensive government regulation and supervision, encompassing the approval, registration, manufacturing, packaging, licensing and marketing of new drugs. In recent years, many aspects of pharmaceutical industry regulation have undergone significant reform, and reform may continue. For example, the Chinese government implemented regulations that impact distribution of pharmaceutical products in China, where at most two invoices may be issued throughout the distribution chain, a change that required us to change our distribution paradigm. Any regulatory changes or amendments may result in increased compliance costs to our business or cause delays in or prevent the successful development or commercialization of our product candidates in China. Any failure by us or our partners to maintain compliance with applicable laws and regulations or obtain and maintain required licenses and permits may result in the suspension or termination of our business activities in China.</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 w:hAnsi="Times New Roman"/>
          <w:sz w:val="20"/>
        </w:rPr>
      </w:pPr>
      <w:r>
        <w:rPr>
          <w:rFonts w:ascii="Times New Roman;serif" w:hAnsi="Times New Roman;serif"/>
          <w:b/>
          <w:i/>
          <w:sz w:val="20"/>
        </w:rPr>
        <w:t>The China-operations portion of our audit is conducted by PricewaterhouseCoopers Zhong Tian LLP, an independent registered public accounting firm headquartered in China.*</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majority of audit work incurred for the audit report included in the 2022 Form 10-K was performed by the U.S.-based independent registered public accounting firm we have retained, PricewaterhouseCoopers LLP, which is headquartered in the U.S. and was not identified in the report issued by the PCAOB on December 16, 2021.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However, we estimate that between 30% and 40% of the total audit hours for our December 31, 2022 audit were provided by PricewaterhouseCoopers Zhong Tian LLP.</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December 18, 2020, the Holding Foreign Companies Accountable Act (the “HFCAA”) was signed into law. The HFCAA requires that the SEC identify issuers that retain an auditor that has a branch or office that is located in a foreign jurisdiction and that the PCAOB determines it is unable to inspect or investigate completely because of a position taken by an authority in that foreign jurisdiction. Among other things, the HFCAA requires the SEC to prohibit the securities of any issuer from being traded on any of the U.S. national securities exchanges, such as The Nasdaq Global Select Market, or on the U.S. “over-the-counter” markets, if the auditor of the issuer’s financial statements is not subject to PCAOB inspections for three consecutive “non-inspection” years after the law became effective. On December 29, 2022, the Accelerating Holding Foreign Companies Accountable Act (the “AHFCAA”) signed into law as part of a package of bills reduced the number of consecutive non-inspection years required for triggering the listing and trading prohibitions under the HFCA Act from three years to two years.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December 2, 2021, the SEC adopted final amendments to its rules implementing the HFCAA and established procedures to identify issuers and prohibit the trading of the securities of certain registrants as required by the HFCAA. This rule stated that only the principal accountant, as defined by Rule 2-05 of Regulation S-X and PCAOB AS 1205, is “deemed ‘retained’ for purposes of Section 104(i) of the Sarbanes-Oxley Act and the Commission’s determination of whether the registrant should be a Commission Identified Issuer.” The principal accountant, as defined, that we have retained is PricewaterhouseCoopers LLP. The HFCAA does not apply to registrants that retain a principal accountant that is headquartered in the U.S. and subject to PCAOB inspection. Accordingly, the HFCAA does not currently apply to us.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December 16, 2021, the PCAOB issued a report on its determination that it is unable to inspect or investigate completely PCAOB-registered accounting firms headquartered in China and in Hong Kong.</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December 15, 2022, the PCAOB announced that it was able to conduct inspections and investigations completely of PCAOB-registered public accounting firms headquartered in mainland China and Hong Kong in 2022. The PCAOB vacated its previous 2021 determinations accordingly. While vacating those determinations, the PCAOB noted that, should it encounter any impediment to conducting an inspection or investigation of auditors in mainland China or Hong Kong as a result of a position taken by any authority there, the PCAOB would act to immediately reconsider the need to issue new determinations consistent with the HFCAA and PCAOB’s Rule 6100.</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If our operations fundamentally change in a way that requires our independent registered public accounting firm be located in China or Hong Kong in order to comply with the standards of the PCAOB regarding principal auditor then the HFCAA would apply to us, including the potential delisting from The Nasdaq Global Select Market and prohibition from trading in the over-the counter market in the U.S. Such a restriction would negatively impact our ability to raise capital. We view the likelihood to be remote that our operations will fundamentally change so as to require our principal auditor to be located in China or Hong Kong. Additionally, it is possible that in the future Congress could amend the HFCAA or the SEC could modify its regulations to apply the restrictions, including trading prohibitions and delisting, under the HFCAA in situations in which an independent registered public accounting firm in China or Hong Kong performs part of the audit such as in our current situation. There are currently no such proposals.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Inspections of auditors conducted by the PCAOB in territories outside of China have at times identified deficiencies in those auditors’ audit procedures and quality control procedures, which may be addressed as part of the inspection process to improve future audit quality. In the future, should PCAOB encounter any impediment to continue conducting an inspection of audit work undertaken in China, including by PricewaterhouseCoopers Zhong Tian LLP, it could prevent the PCAOB from evaluating the effectiveness of such audits and such auditors’ quality control procedures. As a result, investors could be deprived of the potential benefits of such PCAOB inspections for this portion of our audit, which could cause investors and potential investors in our common stock to lose confidence in the audit procedures conducted by our U.S. auditor’s China-based subsidiary, which may negatively impact investor sentiment towards us or our China operations, which in turn could adversely affect the market price of our common stock.</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 w:hAnsi="Times New Roman"/>
          <w:sz w:val="20"/>
        </w:rPr>
      </w:pPr>
      <w:r>
        <w:rPr>
          <w:rFonts w:ascii="Times New Roman;serif" w:hAnsi="Times New Roman;serif"/>
          <w:b/>
          <w:i/>
          <w:sz w:val="20"/>
        </w:rPr>
        <w:t>Changes in U.S. and China relations, as well as relations with other countries, and/or regulations may adversely impact our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U.S. government, including the SEC, has made statements and taken certain actions that have led to changes to U.S. and international relations, and will impact companies with connections to the U.S. or China, including imposing several rounds of tariffs affecting certain products manufactured in China, imposing certain sanctions and restrictions in relation to China, and issuing statements indicating enhanced review of companies with significant China-based operations. It is unknown whether and to what extent new legislation, executive orders, tariffs, laws or regulations will be adopted, or the effect that any such actions would have on companies with significant connections to the U.S. or to China, our industry or on us. We conduct manufacturing and development activities and have business operations both in the U.S. and China. Any unfavorable government policies on cross-border relations and/or international trade, including increased scrutiny on companies with significant China-based operations, capital controls or tariffs, may affect the competitive position of our drug products, the hiring of scientists and other research and development personnel, the demand for our drug products, the import or export of products and product components, our ability to raise capital, the market price of our common stock, or prevent us from commercializing and selling our drug products in certain countries.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While we do not operate in an industry that is currently subject to foreign ownership limitations in China, China could decide to limit foreign ownership in our industry, in which case there could be a risk that we would be unable to do business in China as we are currently structured. In addition, our periodic reports and other filings with the SEC may be subject to enhanced review by the SEC and this additional scrutiny could affect our ability to effectively raise capital in the U.S.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 our ability to raise capital and the market price of our common stock.</w:t>
      </w:r>
    </w:p>
    <w:p>
      <w:pPr>
        <w:pStyle w:val="TextBody"/>
        <w:spacing w:before="360" w:after="0"/>
        <w:jc w:val="left"/>
        <w:rPr>
          <w:rFonts w:ascii="Times New Roman" w:hAnsi="Times New Roman"/>
          <w:sz w:val="20"/>
        </w:rPr>
      </w:pPr>
      <w:r>
        <w:rPr>
          <w:rFonts w:ascii="Times New Roman;serif" w:hAnsi="Times New Roman;serif"/>
          <w:b/>
          <w:i/>
          <w:sz w:val="20"/>
        </w:rPr>
        <w:t>We use our own manufacturing facilities in China to produce roxadustat API and drug product for the market in China. There are risks inherent to operating commercial manufacturing facilities, and with these being our single source suppliers, we may not be able to continually meet market demand.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two manufacturing facilities in China, with one located in Beijing and the other in Cangzhou, Hebei.</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will be obligated to comply with continuing cGMP requirements and there can be no assurance that we will maintain all of the appropriate licenses required to manufacture our product candidates for clinical and commercial use in China. In addition, our product suppliers and we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continue to be successful in meeting these requirements.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Manufacturing facilities in China are subject to periodic unannounced inspections by the National Medical Products Administration and other regulatory authorities. We expect to depend on these facilities for our product candidates and business operations in China, and we do not yet have a secondary source supplier for either roxadustat API or drug product in China. Consequently, we also carry single source supplier risk for the Ex-China market. Natural disasters or other unanticipated catastrophic events, including power interruptions, water shortages, storms, fires, pandemics (including the COVID-19 pandemic), earthquakes, terrorist attacks, government appropriation of our facilities, and wars, could significantly impair our ability to operate our manufacturing facilities. Further, the climate of geopolitical tensions in China affecting global supply chains may impact our ability to continually meet market demand. Certain equipment, records and other materials located in these facilities would be difficult to replace or would require substantial replacement lead-time that would impact our ability to successfully commercialize our product candidates in China. The occurrence of any such event could materially and adversely affect our business, financial condition, results of operations, cash flows and prospects.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i/>
          <w:sz w:val="20"/>
        </w:rPr>
      </w:pPr>
      <w:r>
        <w:rPr>
          <w:rFonts w:ascii="Times New Roman;serif" w:hAnsi="Times New Roman;serif"/>
          <w:b/>
          <w:i/>
          <w:sz w:val="20"/>
        </w:rPr>
        <w:t>We may experience difficulties in successfully growing and sustaining sales of roxadustat in China.</w:t>
      </w:r>
    </w:p>
    <w:p>
      <w:pPr>
        <w:pStyle w:val="TextBody"/>
        <w:spacing w:before="120" w:after="0"/>
        <w:jc w:val="left"/>
        <w:rPr>
          <w:rFonts w:ascii="Times New Roman" w:hAnsi="Times New Roman"/>
          <w:sz w:val="20"/>
        </w:rPr>
      </w:pPr>
      <w:r>
        <w:rPr>
          <w:rFonts w:ascii="Times New Roman;serif" w:hAnsi="Times New Roman;serif"/>
          <w:b w:val="false"/>
          <w:sz w:val="20"/>
        </w:rPr>
        <w:t>AstraZeneca and we have a profit-sharing arrangement with respect to roxadustat in China and any difficulties we may experience in growing and sustaining sales will affect our bottom line. Difficulties may be related to our ability to maintain reasonable pricing and reimbursement, obtain and maintain hospital listing, or other difficulties related to distribution, marketing, and sales efforts in China. Our current National Reimbursement Drug List reimbursement pricing is effective for a standard two-year period (between January 1, 2022 to December 31, 2023), after which time we will have to negotiate a new price for roxadustat. Sales of roxadustat in China may ultimately be limited due to the complex nature of the healthcare system, low average personal income, pricing controls, still developing infrastructure and potentially rapid competition from other products.</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The retail prices of any product candidates that we develop will be subject to pricing control in China and elsewhere.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price for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pStyle w:val="TextBody"/>
        <w:spacing w:before="360" w:after="0"/>
        <w:jc w:val="left"/>
        <w:rPr>
          <w:rFonts w:ascii="Times New Roman;serif" w:hAnsi="Times New Roman;serif"/>
          <w:b/>
          <w:i/>
          <w:sz w:val="20"/>
        </w:rPr>
      </w:pPr>
      <w:r>
        <w:rPr>
          <w:rFonts w:ascii="Times New Roman;serif" w:hAnsi="Times New Roman;serif"/>
          <w:b/>
          <w:i/>
          <w:sz w:val="20"/>
        </w:rPr>
        <w:t>FibroGen (China) Medical Technology Development Co., Ltd. (“FibroGen Beijing”) would be subject to restrictions on paying dividends or making other payments to us, which may restrict our ability to satisfy our liquidity requirements.*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plan to conduct all of our business in China through FibroGen China Anemia Holdings, Ltd., FibroGen Beijing and its branch offices, and our joint venture distribution entity, Beijing Falikang Pharmaceutical Co., Ltd. (“Falikang”). We do not currently rely on revenue from China to fund our operations outside of China. However, we may in the future rely on dividends and royalties paid by FibroGen Beijing for a portion of our cash needs, including the funds necessary to service any debt we may incur and to pay our operating costs and expenses. The payment of dividends by FibroGen Beijing is subject to limitations. Regulations in China currently permit payment of dividends only out of accumulated profits as determined in accordance with applicable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March 31, 2023, approximately $77.6 million of our cash and cash equivalents is held in China.</w:t>
      </w:r>
    </w:p>
    <w:p>
      <w:pPr>
        <w:pStyle w:val="TextBody"/>
        <w:spacing w:before="360" w:after="0"/>
        <w:jc w:val="left"/>
        <w:rPr>
          <w:rFonts w:ascii="Times New Roman;serif" w:hAnsi="Times New Roman;serif"/>
          <w:b/>
          <w:i/>
          <w:sz w:val="20"/>
        </w:rPr>
      </w:pPr>
      <w:r>
        <w:rPr>
          <w:rFonts w:ascii="Times New Roman;serif" w:hAnsi="Times New Roman;serif"/>
          <w:b/>
          <w:i/>
          <w:sz w:val="20"/>
        </w:rPr>
        <w:t>Any capital contributions from us to FibroGen Beijing must be approved by the Ministry of Commerce in China, and failure to obtain such approval may materially and adversely affect the liquidity position of FibroGen Beijing.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or find suitable financing alternatives within China to fund our Chinese operations, and the liquidity and financial position of FibroGen Beijing may be materially and adversely affected.</w:t>
      </w:r>
    </w:p>
    <w:p>
      <w:pPr>
        <w:pStyle w:val="TextBody"/>
        <w:spacing w:before="360" w:after="0"/>
        <w:jc w:val="left"/>
        <w:rPr>
          <w:rFonts w:ascii="Times New Roman" w:hAnsi="Times New Roman"/>
          <w:sz w:val="20"/>
        </w:rPr>
      </w:pPr>
      <w:r>
        <w:rPr>
          <w:rFonts w:ascii="Times New Roman;serif" w:hAnsi="Times New Roman;serif"/>
          <w:b/>
          <w:i/>
          <w:sz w:val="20"/>
        </w:rPr>
        <w:t>We may be subject to currency exchange rate fluctuations and currency exchange restrictions with respect to our operations in China as well as our partner</w:t>
      </w:r>
      <w:r>
        <w:rPr>
          <w:rFonts w:ascii="Times New Roman" w:hAnsi="Times New Roman"/>
          <w:sz w:val="20"/>
        </w:rPr>
        <w:t>’</w:t>
      </w:r>
      <w:r>
        <w:rPr>
          <w:rFonts w:ascii="Times New Roman;serif" w:hAnsi="Times New Roman;serif"/>
          <w:b/>
          <w:i/>
          <w:sz w:val="20"/>
        </w:rPr>
        <w:t>s operations in Japan and Europe, which could adversely affect our financial performance.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Most of our and our partner’s product sales will occur in local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the value of the Renminbi, Euro or Yen against the U.S. dollar and other currencies are affected by, among other things, changes in political and economic conditions. Any significant currency exchange rate fluctuations may have a material adverse effect on our business and financial condition.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by complying with certain procedural requirements. However, approval from the State Administration of Foreign Exchange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pStyle w:val="TextBody"/>
        <w:spacing w:before="360" w:after="0"/>
        <w:jc w:val="left"/>
        <w:rPr>
          <w:rFonts w:ascii="Times New Roman;serif" w:hAnsi="Times New Roman;serif"/>
          <w:b/>
          <w:i/>
          <w:sz w:val="20"/>
        </w:rPr>
      </w:pPr>
      <w:r>
        <w:rPr>
          <w:rFonts w:ascii="Times New Roman;serif" w:hAnsi="Times New Roman;serif"/>
          <w:b/>
          <w:i/>
          <w:sz w:val="20"/>
        </w:rPr>
        <w:t>Because FibroGen Beijing’s funds are held in banks that do not provide insurance, the failure of any bank in which FibroGen Beijing deposits its funds could adversely affect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pStyle w:val="TextBody"/>
        <w:spacing w:before="360" w:after="0"/>
        <w:jc w:val="left"/>
        <w:rPr>
          <w:rFonts w:ascii="Times New Roman" w:hAnsi="Times New Roman"/>
          <w:sz w:val="20"/>
        </w:rPr>
      </w:pPr>
      <w:r>
        <w:rPr>
          <w:rFonts w:ascii="Times New Roman;serif" w:hAnsi="Times New Roman;serif"/>
          <w:b/>
          <w:i/>
          <w:sz w:val="20"/>
        </w:rPr>
        <w:t>We may be subject to tax inefficiencies associated with our offshore corporate structure.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 For example, the Biden administration has proposed to increase the U.S. corporate income tax rate from 21%, increase the U.S. taxation of our international business operations and impose a global minimum tax, although the recently enacted Inflation Reduction Act of 2022 omitted to include any of these proposals but included only a minimum tax on certain large corporations and a tax on certain repurchases of stock on the corporations doing those repurchases. Such proposed changes, as well as regulations and legal decisions interpreting and applying these changes, may adversely impact our effective tax rate.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our foreign subsidiaries and we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pStyle w:val="TextBody"/>
        <w:spacing w:before="240" w:after="0"/>
        <w:jc w:val="left"/>
        <w:rPr>
          <w:rFonts w:ascii="Times New Roman" w:hAnsi="Times New Roman"/>
          <w:sz w:val="20"/>
        </w:rPr>
      </w:pPr>
      <w:r>
        <w:rPr>
          <w:rFonts w:ascii="Times New Roman;serif" w:hAnsi="Times New Roman;serif"/>
          <w:b w:val="false"/>
          <w:sz w:val="20"/>
        </w:rPr>
        <w:t>On December 22, 2017, the Tax Cuts and Jobs Act (Tax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Our foreign operations, particularly those in China, are subject to significant risks involving the protection of intellectual property.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val="false"/>
          <w:sz w:val="20"/>
        </w:rPr>
      </w:pPr>
      <w:r>
        <w:rPr>
          <w:rFonts w:ascii="Times New Roman;serif" w:hAnsi="Times New Roman;serif"/>
          <w:b w:val="false"/>
          <w:sz w:val="20"/>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pStyle w:val="TextBody"/>
        <w:spacing w:before="360" w:after="0"/>
        <w:jc w:val="left"/>
        <w:rPr>
          <w:rFonts w:ascii="Times New Roman;serif" w:hAnsi="Times New Roman;serif"/>
          <w:b/>
          <w:i/>
          <w:sz w:val="20"/>
        </w:rPr>
      </w:pPr>
      <w:r>
        <w:rPr>
          <w:rFonts w:ascii="Times New Roman;serif" w:hAnsi="Times New Roman;serif"/>
          <w:b/>
          <w:i/>
          <w:sz w:val="20"/>
        </w:rPr>
        <w:t>Uncertainties with respect to the China legal system and regulations could have a material adverse effect on us.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legal system of China is a civil law system primarily based on written statutes. Our financial condition and results of operations may be adversely affected by government control, perceived government interference and/or changes in tax, cyber and data security, capital investments, cross-border transactions and other regulations that are currently or may in the future be applicable to us. In 2022,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our ability to operate our business, our liquidity and our access to capital.</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Furthermore, new laws or regulations may be passed, in some cases with little advance notice, that affect the way we or our collaboration partner do business in China (including the manufacture, sale, or distribution of roxadustat in China). Our business may be affected if we rely on laws and regulations that are subsequently adopted or interpreted in a manner different from our understanding of these laws and regulations. Navigating the uncertainty and change in the China legal and regulatory systems will require the devotion of significant resources and time, and there can be no assurance that our contractual and other rights will ultimately be maintained or enforced.</w:t>
      </w:r>
    </w:p>
    <w:p>
      <w:pPr>
        <w:pStyle w:val="TextBody"/>
        <w:spacing w:before="360" w:after="0"/>
        <w:jc w:val="left"/>
        <w:rPr>
          <w:rFonts w:ascii="Times New Roman;serif" w:hAnsi="Times New Roman;serif"/>
          <w:b/>
          <w:i/>
          <w:sz w:val="20"/>
        </w:rPr>
      </w:pPr>
      <w:r>
        <w:rPr>
          <w:rFonts w:ascii="Times New Roman;serif" w:hAnsi="Times New Roman;serif"/>
          <w:b/>
          <w:i/>
          <w:sz w:val="20"/>
        </w:rPr>
        <w:t>Changes in China’s economic, governmental, or social conditions could have a material adverse effect on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Recently,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i/>
          <w:sz w:val="20"/>
        </w:rPr>
      </w:pPr>
      <w:r>
        <w:rPr>
          <w:rFonts w:ascii="Times New Roman;serif" w:hAnsi="Times New Roman;serif"/>
          <w:b/>
          <w:i/>
          <w:sz w:val="20"/>
        </w:rPr>
        <w:t>We may be subject to additional Chinese requirements, approvals or permissions in the future.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incorporated in the state of Delaware. To operate our general business activities currently conducted in China, each of our Chinese subsidiaries (and our joint venture with AstraZeneca, Falikang) is required to and does obtain a business license from the local counterpart of the State Administration for Market Regulation. Such business licenses list the business activities we are authorized to carry out and we would be noncompliant if we act outside of the scope of business activities set forth under the relevant business license.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Due to China’s regulatory framework in general and for the pharmaceutical industry specifically, we are required to apply for and maintain many approvals or permits specific to many of our business activities, including but not limited to manufacturing, distribution, environment protection, workplace safety, cybersecurity, from both national and local government agencies. For example, FibroGen Beijing is required to maintain a Drug Product Production Permit that allows it to manufacture API and roxadustat capsules. Falikang, our joint venture with AstraZeneca, is required to maintain a Drug Product Distribution Permit in order to be able to distribute our drug product roxadustat in China. For certain of our clinical trials conducted in China, we need to obtain, through the clinical sites, permits from the Human Genetic Resources Administration of China to collect samples that include human genetic resources, such as blood samples.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may also be required to obtain certain approvals from Chinese authorities before transferring certain scientific data abroad or to foreign parties or entities established or actually controlled by them.</w:t>
      </w:r>
    </w:p>
    <w:p>
      <w:pPr>
        <w:pStyle w:val="TextBody"/>
        <w:spacing w:before="240" w:after="0"/>
        <w:jc w:val="left"/>
        <w:rPr>
          <w:rFonts w:ascii="Times New Roman" w:hAnsi="Times New Roman"/>
          <w:sz w:val="20"/>
        </w:rPr>
      </w:pPr>
      <w:r>
        <w:rPr>
          <w:rFonts w:ascii="Times New Roman;serif" w:hAnsi="Times New Roman;serif"/>
          <w:b w:val="false"/>
          <w:sz w:val="20"/>
        </w:rPr>
        <w:t>None of our subsidiaries or our joint venture in China are required to obtain approval or prior permission from the China Securities Regulatory Commission, Cyberspace Administration of China, or any other Chinese regulatory authority under the Chinese laws and regulations currently in effect to issue securities to our investors. However, the approvals and permits we do have to comply with are numerous and there are uncertainties with respect to the Chinese legal system and changes in laws, regulations and policies, including how those laws and regulations will be interpreted or implemented. For further information, see the risk factor titled “</w:t>
      </w:r>
      <w:r>
        <w:rPr>
          <w:rFonts w:ascii="Times New Roman;serif" w:hAnsi="Times New Roman;serif"/>
          <w:b w:val="false"/>
          <w:i/>
          <w:sz w:val="20"/>
        </w:rPr>
        <w:t>Uncertainties with respect to the China legal system and regulations could have a material adverse effect on us.</w:t>
      </w:r>
      <w:r>
        <w:rPr>
          <w:rFonts w:ascii="Times New Roman" w:hAnsi="Times New Roman"/>
          <w:sz w:val="20"/>
        </w:rPr>
        <w:t xml:space="preserve">” </w:t>
      </w:r>
      <w:r>
        <w:rPr>
          <w:rFonts w:ascii="Times New Roman;serif" w:hAnsi="Times New Roman;serif"/>
          <w:b w:val="false"/>
          <w:sz w:val="20"/>
        </w:rPr>
        <w:t>There can be no assurance that we will not be subject to new or changing requirements, approvals or permissions in the future in order to operate in China.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If we are unable to obtain the necessary approvals or permissions in order to operate our business in China, if we inadvertently conclude that such approvals or permissions are not required, or if we are subject to additional requirements, approvals, or permissions, it could have an adverse effect on our business, financial condition and results of operations, our ability to raise capital and the market price of our common stock.</w:t>
      </w:r>
    </w:p>
    <w:p>
      <w:pPr>
        <w:pStyle w:val="TextBody"/>
        <w:spacing w:before="360" w:after="0"/>
        <w:jc w:val="left"/>
        <w:rPr>
          <w:rFonts w:ascii="Times New Roman" w:hAnsi="Times New Roman"/>
          <w:sz w:val="20"/>
        </w:rPr>
      </w:pPr>
      <w:r>
        <w:rPr>
          <w:rFonts w:ascii="Times New Roman;serif" w:hAnsi="Times New Roman;serif"/>
          <w:b/>
          <w:i/>
          <w:sz w:val="20"/>
        </w:rPr>
        <w:t>If the Chinese government determines that our corporate structure does not comply with Chinese regulations, or if Chinese regulations change or are interpreted differently in the future, the value of our common stock may decline.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July 2021, the Chinese government provided new guidance on China-based companies raising capital outside of China, including through arrangements called variable interest entities. We do not employ a variable interest entity structure for purposes of replicating foreign investment in Chinese-based companies where Chinese law prohibits direct foreign investment. We do not operate in an industry that is currently subject to foreign ownership limitations in China. However, there are uncertainties with respect to the Chinese legal system and there may be changes in laws, regulations and policies, including how those laws and regulations will be interpreted or implemented. For further information, see the risk factor titled “</w:t>
      </w:r>
      <w:r>
        <w:rPr>
          <w:rFonts w:ascii="Times New Roman;serif" w:hAnsi="Times New Roman;serif"/>
          <w:b w:val="false"/>
          <w:i/>
          <w:sz w:val="20"/>
        </w:rPr>
        <w:t>Uncertainties with respect to the China legal system and regulations could have a material adverse effect on us.</w:t>
      </w:r>
      <w:r>
        <w:rPr>
          <w:rFonts w:ascii="Times New Roman" w:hAnsi="Times New Roman"/>
          <w:sz w:val="20"/>
        </w:rPr>
        <w:t xml:space="preserve">” </w:t>
      </w:r>
      <w:r>
        <w:rPr>
          <w:rFonts w:ascii="Times New Roman;serif" w:hAnsi="Times New Roman;serif"/>
          <w:b w:val="false"/>
          <w:sz w:val="20"/>
        </w:rPr>
        <w:t>If in the future the Chinese government determines that our corporate structure does not comply with Chinese regulations, or if Chinese laws or regulations change or are interpreted differently from our understanding of these laws and regulations, the value of our common stock may decline.</w:t>
      </w:r>
    </w:p>
    <w:p>
      <w:pPr>
        <w:pStyle w:val="TextBody"/>
        <w:spacing w:before="360" w:after="0"/>
        <w:jc w:val="left"/>
        <w:rPr>
          <w:rFonts w:ascii="Times New Roman;serif" w:hAnsi="Times New Roman;serif"/>
          <w:b/>
          <w:i/>
          <w:sz w:val="20"/>
        </w:rPr>
      </w:pPr>
      <w:r>
        <w:rPr>
          <w:rFonts w:ascii="Times New Roman;serif" w:hAnsi="Times New Roman;serif"/>
          <w:b/>
          <w:i/>
          <w:sz w:val="20"/>
        </w:rPr>
        <w:t>Our operations in China subject us to various Chinese labor and social insurance laws, and our failure to comply with such laws may materially and adversely affect our business, financial condition and results of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sz w:val="20"/>
        </w:rPr>
      </w:pPr>
      <w:r>
        <w:rPr>
          <w:rFonts w:ascii="Times New Roman;serif" w:hAnsi="Times New Roman;serif"/>
          <w:b/>
          <w:sz w:val="20"/>
        </w:rPr>
        <w:t>Risks Related to COVID-19</w:t>
      </w:r>
    </w:p>
    <w:p>
      <w:pPr>
        <w:pStyle w:val="TextBody"/>
        <w:spacing w:before="120" w:after="0"/>
        <w:jc w:val="left"/>
        <w:rPr>
          <w:rFonts w:ascii="Times New Roman" w:hAnsi="Times New Roman"/>
          <w:sz w:val="20"/>
        </w:rPr>
      </w:pPr>
      <w:r>
        <w:rPr>
          <w:rFonts w:ascii="Times New Roman;serif" w:hAnsi="Times New Roman;serif"/>
          <w:b/>
          <w:i/>
          <w:sz w:val="20"/>
        </w:rPr>
        <w:t>Our business could continue to be adversely affected by the ongoing COVID-19 global pandemic.*</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COVID-19 pandemic may continue to negatively impact our and/or our partners’ sales of roxadustat, clinical programs and timelines, and general productivity, the magnitude of which will depend, in part, on the progression of the disease, the efficacy of various mitigation efforts, including vaccines and other therapeutics in preventing and treating current and future COVID-19 variants, and restrictions (including lockdowns) governments impose in response to new outbreaks of COVID-19 variants.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During the pandemic, we have seen impacts from COVID-19 on various parts of our operations and at varying degrees. There is a risk that our sales, manufacturing, clinical trials or operations could be further affected by additional or continued COVID-19 outbreaks or lockdowns.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believe we have sufficient stock of roxadustat and pamrevlumab supplies for our near-term expected commercial and clinical requirements. However, we only have a limited stockpile of these products, and therefore, further outbreaks of COVID-19, lockdowns, disruptions in shipping, or product expiration due to slowed clinical trials, could create supply shortages in our global supply chains. COVID-19 has also created increased demand for the limited global biologics manufacturing capacity, and for manufacturing supplies, including vials, reagents, supplements and media. Any such supply disruptions could adversely impact our clinical development and ability to generate revenues from our approved products and our business, financial condition, results of operations and growth prospects could be materially adversely affected.</w:t>
      </w:r>
    </w:p>
    <w:p>
      <w:pPr>
        <w:pStyle w:val="TextBody"/>
        <w:spacing w:before="240" w:after="0"/>
        <w:jc w:val="left"/>
        <w:rPr>
          <w:rFonts w:ascii="Times New Roman" w:hAnsi="Times New Roman"/>
          <w:sz w:val="20"/>
        </w:rPr>
      </w:pPr>
      <w:r>
        <w:rPr>
          <w:rFonts w:ascii="Times New Roman;serif" w:hAnsi="Times New Roman;serif"/>
          <w:b w:val="false"/>
          <w:sz w:val="20"/>
        </w:rPr>
        <w:t>Due to these and potentially additional business disruptions, there may be delays to any of our business areas including those outlined above, as well as in regulatory, distribution, warehousing and other development, commercialization and launch efforts. In addition, health risks and remote work could affect the productivity of our workforce. The full extent of these potential effects is unknown, but any of which could have a material impact on our business, operating results, and financial condition.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To the extent the ongoing COVID-19 pandemic adversely affects our business and results of operations, it may also have the effect of heightening many of the other risks and uncertainties described in this “</w:t>
      </w:r>
      <w:r>
        <w:rPr>
          <w:rFonts w:ascii="Times New Roman;serif" w:hAnsi="Times New Roman;serif"/>
          <w:b w:val="false"/>
          <w:i/>
          <w:sz w:val="20"/>
        </w:rPr>
        <w:t>Risk Factors</w:t>
      </w:r>
      <w:r>
        <w:rPr>
          <w:rFonts w:ascii="Times New Roman" w:hAnsi="Times New Roman"/>
          <w:sz w:val="20"/>
        </w:rPr>
        <w:t xml:space="preserve">” </w:t>
      </w:r>
      <w:r>
        <w:rPr>
          <w:rFonts w:ascii="Times New Roman;serif" w:hAnsi="Times New Roman;serif"/>
          <w:b w:val="false"/>
          <w:sz w:val="20"/>
        </w:rPr>
        <w:t>section.</w:t>
      </w:r>
    </w:p>
    <w:p>
      <w:pPr>
        <w:pStyle w:val="TextBody"/>
        <w:spacing w:before="360" w:after="0"/>
        <w:jc w:val="left"/>
        <w:rPr>
          <w:rFonts w:ascii="Times New Roman;serif" w:hAnsi="Times New Roman;serif"/>
          <w:b/>
          <w:sz w:val="20"/>
        </w:rPr>
      </w:pPr>
      <w:r>
        <w:rPr>
          <w:rFonts w:ascii="Times New Roman;serif" w:hAnsi="Times New Roman;serif"/>
          <w:b/>
          <w:sz w:val="20"/>
        </w:rPr>
        <w:t>Risks Related to the Operation of Our Business</w:t>
      </w:r>
    </w:p>
    <w:p>
      <w:pPr>
        <w:pStyle w:val="TextBody"/>
        <w:spacing w:before="120" w:after="0"/>
        <w:jc w:val="left"/>
        <w:rPr>
          <w:rFonts w:ascii="Times New Roman" w:hAnsi="Times New Roman"/>
          <w:sz w:val="20"/>
        </w:rPr>
      </w:pPr>
      <w:r>
        <w:rPr>
          <w:rFonts w:ascii="Times New Roman;serif" w:hAnsi="Times New Roman;serif"/>
          <w:b/>
          <w:i/>
          <w:sz w:val="20"/>
        </w:rPr>
        <w:t>We have incurred significant losses since our inception and anticipate that we will continue to incur losses for the foreseeable future and may never achieve or sustain profitability. We may require additional financing in order to fund our operations, which may be dilutive to our shareholders, restrict our operations or require us to relinquish rights to our intellectual property or product candidates. If we are unable to raise capital when needed or on acceptable terms, we may be forced to delay, reduce or eliminate our research and development programs and/or our commercialization efforts.*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 biopharmaceutical company with two lead product candidates in clinical development, roxadustat for anemia in CKD, MDS, and chemotherapy-induced anemia, and pamrevlumab for IPF, pancreatic cancer, and DMD. Most of our revenue generated to date has been based on our collaboration agreements and we have limited commercial drug product sales to date. We continue to incur significant research and development and other expenses related to our ongoing operations. Our net loss for the years ended December 31, 2022, 2021 and 2020 were $293.7 million, $290.0 million and $189.3 million, respectively. As of March 31, 2023, we had an accumulated deficit of $1.6 billion. As of March 31, 2023, we had capital resources consisting of cash, cash equivalents and short-term investments of $355.9 million. In addition, as of March 31, 2023, we had $17.7 million of accounts receivable in our current assets. Despite contractual development and cost coverage commitments from our collaboration partners, AstraZeneca and Astellas, and the potential to receive milestone and other payments from these partners, and despite commercialization efforts for roxadustat for the treatment of anemia caused by CKD, we anticipate we will continue to incur losses on an annual basis for the foreseeable future.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(deficit) and working capital. Our failure to become and remain profitable would depress the market price of our common stock and could impair our ability to raise capital, expand our business, diversify our product offerings or continue our operations.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val="false"/>
          <w:sz w:val="20"/>
        </w:rPr>
      </w:pPr>
      <w:r>
        <w:rPr>
          <w:rFonts w:ascii="Times New Roman;serif" w:hAnsi="Times New Roman;serif"/>
          <w:b w:val="false"/>
          <w:sz w:val="20"/>
        </w:rPr>
        <w:t>We believe that we will continue to expend substantial resources for the foreseeable future as we continue to grow our operations in China, expand our clinical development efforts on pamrevlumab, continue to seek regulatory approval, establish commercialization capabilities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 partners and ourselves.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our existing cash and cash equivalents, short-term and long-term investments and accounts receivable, cash flows from commercial sales and sales of drug product, and expected third-party collaboration revenues will allow us to fund our operating plans through at least 12 months from the date of issuance of these consolidated financial statements.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 or other sources, such as revenue interest monetization or other structured financing. Future sales of equity or debt securities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pStyle w:val="TextBody"/>
        <w:spacing w:before="240" w:after="0"/>
        <w:jc w:val="left"/>
        <w:rPr>
          <w:rFonts w:ascii="Times New Roman" w:hAnsi="Times New Roman"/>
          <w:sz w:val="20"/>
        </w:rPr>
      </w:pPr>
      <w:r>
        <w:rPr>
          <w:rFonts w:ascii="Times New Roman;serif" w:hAnsi="Times New Roman;serif"/>
          <w:b w:val="false"/>
          <w:sz w:val="20"/>
        </w:rPr>
        <w:t>Accordingly, we may seek additional funds sooner than planned. We may also seek additional capital due to favorable market conditions or strategic considerations even if we currently believe that we have sufficient funds for our current or future operating plans.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Any additional fundraising efforts may divert our management from their day-to-day activities, which may adversely affect our ability to develop and commercialize any of our product candidates. We cannot guarantee that future financing will be available in sufficient amounts or on terms acceptable to us, if at all or that we will be able to satisfy the performance, financial and other obligations in connection with any such financing.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additional collaborations, partnerships, licensing arrangements with third parties or otherwise at an earlier stage than would be desirable and we may be required to relinquish rights to intellectual property, future revenue streams, research programs, product candidates or to grant licenses on terms that may not be favorable to us, any of which may have a material adverse effect on our business, operating results and prospects.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the terms of any financing may adversely affect the holdings or the rights of our stockholders. If we raise additional funds by issuing equity securities, dilution to our existing stockholders will result. In addition, as a condition to providing additional funding to us, future investors may demand, and may be granted, rights superior to those of existing stockholders. Moreover, any debt financing, if available, may involve restrictive covenants that could limit our flexibility in conducting future business activities and, in the event of insolvency, would be paid before holders of equity securities received any distribution of corporate assets. For example, in 2022 we entered into a Revenue Interest Financing Agreement (“RIFA”) with an affiliate of NovaQuest Capital Management (“NovaQuest”) and in 2023 we entered into a debt financing agreement with investment funds managed by Morgan Stanley Tactical Value, each of which impose certain performance and financial obligations on our business. Our ability to satisfy and meet any future debt service obligations will depend upon our future performance, which will be subject to financial, business and other factors affecting our operations, many of which are beyond our control.</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If adequate funds are not available to us on a timely basis, we may be required to delay, limit, reduce or terminate our research and development efforts or other operations or activities that may be necessary to commercialize our product candidates.</w:t>
      </w:r>
    </w:p>
    <w:p>
      <w:pPr>
        <w:pStyle w:val="TextBody"/>
        <w:spacing w:before="360" w:after="0"/>
        <w:jc w:val="left"/>
        <w:rPr>
          <w:rFonts w:ascii="Times New Roman;serif" w:hAnsi="Times New Roman;serif"/>
          <w:b/>
          <w:i/>
          <w:sz w:val="20"/>
        </w:rPr>
      </w:pPr>
      <w:r>
        <w:rPr>
          <w:rFonts w:ascii="Times New Roman;serif" w:hAnsi="Times New Roman;serif"/>
          <w:b/>
          <w:i/>
          <w:sz w:val="20"/>
        </w:rPr>
        <w:t>Our non-dilutive transactions with Morgan Stanley Tactical Value and NovaQuest could limit cash flow available for our operations, expose us to risks that could adversely affect our business, financial condition and results of operations, and contain various covenants and other provisions, which, if violated, could result in the acceleration of payments due in connection with such transaction or the foreclosure on security interest.*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November 4, 2022, we entered into a $50 million RIFA financing with NovaQuest with respect to our revenues from Astellas’ sales of roxadustat in Europe, Japan and the other Astellas territories.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material inducement for NovaQuest to enter into the RIFA, we granted NovaQuest a security interest over our rights, title and interest in and to the revenue interest payments and intellectual property related to roxadustat and the Astellas territories.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the RIFA includes customary reporting obligations and events of default by us. Upon the occurrence of an event of default, NovaQuest may exercise all remedies available to it at law or in equity in respect of the security interest.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April 29, 2023, we entered into a financing agreement (“Financing Agreement”) for up to $150 million with investment funds managed by Morgan Stanley Tactical Value, as lenders, and Wilmington Trust, National Association, as the administrative agent.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Financing Agreement with Morgan Stanley Tactical Value requires us to maintain a minimum balance of $30 million of unrestricted cash and cash equivalents held in accounts in the United States and, while any portion of the term loans or any other obligations under the Financing Agreement remain outstanding, we must comply with certain customary affirmative and negative covenants set forth in the Financing Agreement and related loan documents. The Financing Agreement also provides for customary events of default triggers. Upon an event of default, the administrative agent under the Financing Agreement may, and at the direction of the majority lenders shall, accelerate all of our outstanding obligations under the Financing Agreement and related loan documents, terminate all outstanding funding commitments and/or exercise remedies available at law or equity or under contract for secured creditors. The term loans are secured by substantially all of our and our non-Chinese subsidiaries’ assets, subject to customary exceptions.</w:t>
      </w:r>
    </w:p>
    <w:p>
      <w:pPr>
        <w:pStyle w:val="TextBody"/>
        <w:spacing w:before="240" w:after="0"/>
        <w:jc w:val="left"/>
        <w:rPr>
          <w:rFonts w:ascii="Times New Roman" w:hAnsi="Times New Roman"/>
          <w:sz w:val="20"/>
        </w:rPr>
      </w:pPr>
      <w:r>
        <w:rPr>
          <w:rFonts w:ascii="Times New Roman;serif" w:hAnsi="Times New Roman;serif"/>
          <w:b w:val="false"/>
          <w:sz w:val="20"/>
        </w:rPr>
        <w:t xml:space="preserve">For additional details about these financing transactions, see Note 6, </w:t>
      </w:r>
      <w:r>
        <w:rPr>
          <w:rFonts w:ascii="Times New Roman;serif" w:hAnsi="Times New Roman;serif"/>
          <w:b w:val="false"/>
          <w:i/>
          <w:sz w:val="20"/>
        </w:rPr>
        <w:t xml:space="preserve">Liability Related to Sale of Future Revenues </w:t>
      </w:r>
      <w:r>
        <w:rPr>
          <w:rFonts w:ascii="Times New Roman;serif" w:hAnsi="Times New Roman;serif"/>
          <w:b w:val="false"/>
          <w:sz w:val="20"/>
        </w:rPr>
        <w:t xml:space="preserve">and Note 11, </w:t>
      </w:r>
      <w:r>
        <w:rPr>
          <w:rFonts w:ascii="Times New Roman;serif" w:hAnsi="Times New Roman;serif"/>
          <w:b w:val="false"/>
          <w:i/>
          <w:sz w:val="20"/>
        </w:rPr>
        <w:t>Subsequent Event</w:t>
      </w:r>
      <w:r>
        <w:rPr>
          <w:rFonts w:ascii="Times New Roman;serif" w:hAnsi="Times New Roman;serif"/>
          <w:b w:val="false"/>
          <w:sz w:val="20"/>
        </w:rPr>
        <w:t>, to the condensed consolidated financial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obligations under these financing transactions could have significant negative consequences for our shareholders, and our business, results of operations and financial condition by, among other things: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increasing our vulnerability to adverse economic and industry conditions;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limiting our ability to obtain additional non-dilutive financing or enter into collaboration or partnership agreements of a certain size;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requiring the dedication of a portion of our cash flow from operations to service our indebtedness, which will reduce the amount of cash available for other purposes;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limiting our flexibility to plan for, or react to, changes in our business;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placing us at a possible competitive disadvantage with competitors that are less leveraged than us or have better access to capital.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comply with the above covenants may be affected by events beyond our control, and future breaches of any of the covenants could result in a default under the RIFA, the Financing Agreement, or any future financing agreements. If not waived, future defaults could cause all of the outstanding indebtedness under either financing transaction to become immediately due and payable and NovaQuest or Morgan Stanley Tactical Value could seek to enforce their security interest in assets that secure such indebtedness.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To the extent we incur additional debt, the risks described above could increase. A default in one of such agreements could trigger a default in the other. Any of the above risks would negatively impact our ability to operate our business and obtain additional debt or equity financing on favorable terms.</w:t>
      </w:r>
    </w:p>
    <w:p>
      <w:pPr>
        <w:pStyle w:val="TextBody"/>
        <w:spacing w:before="360" w:after="0"/>
        <w:jc w:val="left"/>
        <w:rPr>
          <w:rFonts w:ascii="Times New Roman" w:hAnsi="Times New Roman"/>
          <w:sz w:val="20"/>
        </w:rPr>
      </w:pPr>
      <w:r>
        <w:rPr>
          <w:rFonts w:ascii="Times New Roman;serif" w:hAnsi="Times New Roman;serif"/>
          <w:b/>
          <w:i/>
          <w:sz w:val="20"/>
        </w:rPr>
        <w:t>Most of our recent revenue has been earned from collaboration partners for our product candidates under development.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either or both of our Astellas and AstraZeneca collaborations were to be terminated, we could require significant additional capital in order to proceed with development and commercialization of our product candidates, including with respect to our potential commercialization of roxadustat for the treatment of anemia caused by CKD or MDS, or we may require additional partnering in order to help fund such development and commercialization. While we continue to commercialize roxadustat in China with AstraZeneca, and develop roxadustat in the U.S. for the treatment of anemia in patients with MDS, we have not been able to agree on a path forward for AstraZeneca to fund further roxadustat development in the U.S. for CKD anemia and there is a significant risk we will be unable to do so. There is also a significant risk that the AstraZeneca U.S./RoW Agreement will be amended or terminated. If adequate funds or partners are not available to us on a timely basis or on favorable terms, we may be required to delay, limit, reduce or terminate our development or commercialization efforts or other operations.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i/>
          <w:sz w:val="20"/>
        </w:rPr>
      </w:pPr>
      <w:r>
        <w:rPr>
          <w:rFonts w:ascii="Times New Roman;serif" w:hAnsi="Times New Roman;serif"/>
          <w:b/>
          <w:i/>
          <w:sz w:val="20"/>
        </w:rPr>
        <w:t>We may encounter difficulties in managing our growth and expanding our operations successfully.</w:t>
      </w:r>
    </w:p>
    <w:p>
      <w:pPr>
        <w:pStyle w:val="TextBody"/>
        <w:spacing w:before="120" w:after="0"/>
        <w:jc w:val="left"/>
        <w:rPr>
          <w:rFonts w:ascii="Times New Roman" w:hAnsi="Times New Roman"/>
          <w:sz w:val="20"/>
        </w:rPr>
      </w:pPr>
      <w:r>
        <w:rPr>
          <w:rFonts w:ascii="Times New Roman;serif" w:hAnsi="Times New Roman;serif"/>
          <w:b w:val="false"/>
          <w:sz w:val="20"/>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we expect that we will need to increase the responsibilities of management. Our failure to accomplish any of these steps could prevent us from successfully implementing our strategy and maintaining the confidence of investors in us.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Loss of senior management and key personnel could adversely affect our business.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highly dependent on members of our senior management team, including Enrique Conterno, our Chief Executive Officer. The loss of the services of Mr. Conterno or any of our senior management could significantly impact the development and commercialization of our products and product candidates and our ability to successfully implement our business strategy.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Recruiting and retaining qualified commercial, development, scientific, clinical, and manufacturing personnel are and will continue to be critical to our success, particularly as we expand our commercialization operations.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pStyle w:val="TextBody"/>
        <w:spacing w:before="360" w:after="0"/>
        <w:jc w:val="left"/>
        <w:rPr>
          <w:rFonts w:ascii="Times New Roman;serif" w:hAnsi="Times New Roman;serif"/>
          <w:b/>
          <w:i/>
          <w:sz w:val="20"/>
        </w:rPr>
      </w:pPr>
      <w:r>
        <w:rPr>
          <w:rFonts w:ascii="Times New Roman;serif" w:hAnsi="Times New Roman;serif"/>
          <w:b/>
          <w:i/>
          <w:sz w:val="20"/>
        </w:rPr>
        <w:t>We are exposed to the risks associated with litigation, investigations, regulatory proceedings, and other legal matters, any of which could have a material adverse effect on us.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currently and may in the future face legal, administrative and regulatory proceedings, claims, demands, investigations and/or other dispute-related matters involving, among other things, our products, product candidates, or other issues relating to our business as well as allegations of violation of U.S. and foreign laws and regulations relating to intellectual property, competition, securities, consumer protection, and the environment.</w:t>
      </w:r>
    </w:p>
    <w:p>
      <w:pPr>
        <w:pStyle w:val="TextBody"/>
        <w:spacing w:before="240" w:after="0"/>
        <w:jc w:val="left"/>
        <w:rPr>
          <w:rFonts w:ascii="Times New Roman" w:hAnsi="Times New Roman"/>
          <w:sz w:val="20"/>
        </w:rPr>
      </w:pPr>
      <w:r>
        <w:rPr>
          <w:rFonts w:ascii="Times New Roman;serif" w:hAnsi="Times New Roman;serif"/>
          <w:b w:val="false"/>
          <w:sz w:val="20"/>
        </w:rPr>
        <w:t>For example, we and certain of our current and former executive officers have been named as defendants in a consolidated putative class action lawsuit (“Securities Class Action Litigation”) and certain of our current and former executive officers and directors have been named as defendants in several derivative lawsuits (“Derivative Litigation”). The complaint filed in the Securities Class Action Litigation alleges violations of the securities laws, including, among other things, that the defendants made certain materially false and misleading statements about our Phase 3 clinical studies data and prospects for FDA approval. The complaints filed in the Derivative Litigation asserts claims based on some of the same alleged misstatements and omissions as the Securities Class Action Litigation and seeks, among other things, unspecified damages. We intend to vigorously defend the claims made in the Securities Class Action Litigation and Derivative Litigation; however, the outcome of these matters cannot be predicted, and the claims raised in these lawsuits may result in further legal matters or actions against us, including, but not limited to, government enforcement actions or additional private litigation. In the fourth quarter of 2021, FibroGen received a subpoena from the SEC requesting documents related to roxadustat’s pooled cardiovascular safety data. We have been fully cooperating with the SEC’s investigation.</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Board of Directors also received three litigation demands from our purported shareholders, asking the Board of Directors to investigate and take action against certain current and former officers and directors of ours for alleged wrongdoing based on the same allegations in the pending derivative and securities class action lawsuits. We may in the future receive such additional demands.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 w:hAnsi="Times New Roman"/>
          <w:sz w:val="20"/>
        </w:rPr>
      </w:pPr>
      <w:r>
        <w:rPr>
          <w:rFonts w:ascii="Times New Roman;serif" w:hAnsi="Times New Roman;serif"/>
          <w:b w:val="false"/>
          <w:sz w:val="20"/>
        </w:rPr>
        <w:t xml:space="preserve">We cannot predict whether any particular legal matter will be resolved favorably or ultimately result in charges or material damages, fines or other penalties, government enforcement actions, bars against serving as an officer or director, or civil or criminal proceedings against us or certain members of our senior management. For additional information regarding our pending litigation and SEC investigation, see Note 10, </w:t>
      </w:r>
      <w:r>
        <w:rPr>
          <w:rFonts w:ascii="Times New Roman;serif" w:hAnsi="Times New Roman;serif"/>
          <w:b w:val="false"/>
          <w:i/>
          <w:sz w:val="20"/>
        </w:rPr>
        <w:t>Commitments and Contingencies</w:t>
      </w:r>
      <w:r>
        <w:rPr>
          <w:rFonts w:ascii="Times New Roman;serif" w:hAnsi="Times New Roman;serif"/>
          <w:b w:val="false"/>
          <w:sz w:val="20"/>
        </w:rPr>
        <w:t>, to the condensed consolidated financial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Legal proceedings in general, and securities and class action litigation and regulatory investigations in particular, regardless of their merits or their ultimate outcomes, are costly, divert management’s attention and may materially adversely affect our business, results of operations, financial condition, prospects, and stock price. In addition, such legal matters could negatively impact our reputation among our customers, collaboration partners or our shareholders. Furthermore, publicity surrounding legal proceedings, including regulatory investigations, even if resolved favorably for us, could result in additional legal proceedings or regulatory investigations, as well as damage to our reputation.</w:t>
      </w:r>
    </w:p>
    <w:p>
      <w:pPr>
        <w:pStyle w:val="TextBody"/>
        <w:spacing w:before="360" w:after="0"/>
        <w:jc w:val="left"/>
        <w:rPr>
          <w:rFonts w:ascii="Times New Roman;serif" w:hAnsi="Times New Roman;serif"/>
          <w:b/>
          <w:i/>
          <w:sz w:val="20"/>
        </w:rPr>
      </w:pPr>
      <w:r>
        <w:rPr>
          <w:rFonts w:ascii="Times New Roman;serif" w:hAnsi="Times New Roman;serif"/>
          <w:b/>
          <w:i/>
          <w:sz w:val="20"/>
        </w:rPr>
        <w:t>If product liability lawsuits are brought against us, we may incur substantial liabilities and may have to limit commercial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termination of further development of unapproved product candidates or significantly reduced demand for any approved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material costs and expenses to defend the related litigation;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diversion of time and resources across the entire organization, including our executive management;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product recalls, product withdrawals or labeling restrictions;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termination of our collaboration relationships or disputes with our collaboration partners;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reputational damage negatively impacting our other product candidates in development.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pStyle w:val="TextBody"/>
        <w:spacing w:before="360" w:after="0"/>
        <w:jc w:val="left"/>
        <w:rPr>
          <w:rFonts w:ascii="Times New Roman" w:hAnsi="Times New Roman"/>
          <w:sz w:val="20"/>
        </w:rPr>
      </w:pPr>
      <w:r>
        <w:rPr>
          <w:rFonts w:ascii="Times New Roman;serif" w:hAnsi="Times New Roman;serif"/>
          <w:b/>
          <w:i/>
          <w:sz w:val="20"/>
        </w:rPr>
        <w:t>Our business and operations would suffer in the event of computer system failures.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Despite implementing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2022, and continue to maintain and upgrade these capabilities.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74</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i/>
          <w:sz w:val="20"/>
        </w:rPr>
      </w:pPr>
      <w:r>
        <w:rPr>
          <w:rFonts w:ascii="Times New Roman;serif" w:hAnsi="Times New Roman;serif"/>
          <w:b/>
          <w:i/>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spacing w:before="120" w:after="0"/>
        <w:jc w:val="left"/>
        <w:rPr>
          <w:rFonts w:ascii="Times New Roman" w:hAnsi="Times New Roman"/>
          <w:sz w:val="20"/>
        </w:rPr>
      </w:pPr>
      <w:r>
        <w:rPr>
          <w:rFonts w:ascii="Times New Roman;serif" w:hAnsi="Times New Roman;serif"/>
          <w:b w:val="false"/>
          <w:sz w:val="20"/>
        </w:rPr>
        <w:t>In the ordinary course of our business, we and the third parties upon which we rely process confidential, proprietary, and sensitive data,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confidential, proprietary, and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and the third parties upon which we rely are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particular, severe ransomware attacks are becoming increasingly prevalent and can lead to significant interruptions in our operations, loss of confidential, proprietary, and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our reliance on third-party service providers could introduce new cybersecurity risks and vulnerabilities, including supply-chain attacks, and other threats to our business operations.</w:t>
      </w:r>
      <w:r>
        <w:rPr>
          <w:rFonts w:ascii="Times New Roman" w:hAnsi="Times New Roman"/>
          <w:sz w:val="20"/>
        </w:rPr>
        <w:t xml:space="preserve"> </w:t>
      </w:r>
      <w:r>
        <w:rPr>
          <w:rFonts w:ascii="Times New Roman;serif" w:hAnsi="Times New Roman;serif"/>
          <w:b w:val="false"/>
          <w:sz w:val="20"/>
        </w:rPr>
        <w:t>We rely on third-party service providers and technologies to operate critical business systems to process confidential, proprietary, and sensitive data in a variety of contexts, including, without limitation, CROs, CMOs,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w:t>
      </w:r>
      <w:r>
        <w:rPr>
          <w:rFonts w:ascii="Times New Roman" w:hAnsi="Times New Roman"/>
          <w:sz w:val="20"/>
        </w:rPr>
        <w:t xml:space="preserve"> </w:t>
      </w:r>
      <w:r>
        <w:rPr>
          <w:rFonts w:ascii="Times New Roman;serif" w:hAnsi="Times New Roman;serif"/>
          <w:b w:val="false"/>
          <w:sz w:val="20"/>
        </w:rPr>
        <w:t>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r>
        <w:rPr>
          <w:rFonts w:ascii="Times New Roman" w:hAnsi="Times New Roman"/>
          <w:sz w:val="20"/>
        </w:rPr>
        <w:t xml:space="preserve"> </w:t>
      </w:r>
      <w:r>
        <w:rPr>
          <w:rFonts w:ascii="Times New Roman;serif" w:hAnsi="Times New Roman;serif"/>
          <w:b w:val="false"/>
          <w:sz w:val="20"/>
        </w:rPr>
        <w:t>In addition, supply-chain attacks have increased in frequency and severity, and we cannot guarantee that third parties’ infrastructure in our supply chain or our third-party partners’ supply chains have not been compromised.</w:t>
      </w:r>
    </w:p>
    <w:p>
      <w:pPr>
        <w:pStyle w:val="TextBody"/>
        <w:spacing w:before="240" w:after="0"/>
        <w:jc w:val="left"/>
        <w:rPr>
          <w:rFonts w:ascii="Times New Roman" w:hAnsi="Times New Roman"/>
          <w:sz w:val="20"/>
        </w:rPr>
      </w:pPr>
      <w:r>
        <w:rPr>
          <w:rFonts w:ascii="Times New Roman;serif" w:hAnsi="Times New Roman;serif"/>
          <w:b w:val="false"/>
          <w:sz w:val="20"/>
        </w:rPr>
        <w:t>Any of the previously identified or similar threats could cause a security incident or other interruption that could result in unauthorized, unlawful, or accidental acquisition, modification, destruction, loss, alteration, encryption, disclosure of, or access to our confidential, proprietary, and sensitive data or our information technology systems, or those of the third parties upon whom we rely. A security incident or other interruption could disrupt our ability (and that of third parties upon whom we rely) to provide our services.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confidential, proprietary, and sensitive data.</w:t>
      </w:r>
    </w:p>
    <w:p>
      <w:pPr>
        <w:pStyle w:val="TextBody"/>
        <w:spacing w:before="240" w:after="0"/>
        <w:jc w:val="left"/>
        <w:rPr>
          <w:rFonts w:ascii="Times New Roman" w:hAnsi="Times New Roman"/>
          <w:sz w:val="20"/>
        </w:rPr>
      </w:pPr>
      <w:r>
        <w:rPr>
          <w:rFonts w:ascii="Times New Roman;serif" w:hAnsi="Times New Roman;serif"/>
          <w:b w:val="false"/>
          <w:sz w:val="20"/>
        </w:rPr>
        <w:t>While we have implemented security measures designed to protect against security incidents, there can be no assurance that these measures will be effective.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75</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 w:hAnsi="Times New Roman"/>
          <w:sz w:val="20"/>
        </w:rPr>
      </w:pPr>
      <w:r>
        <w:rPr>
          <w:rFonts w:ascii="Times New Roman;serif" w:hAnsi="Times New Roman;serif"/>
          <w:b w:val="false"/>
          <w:sz w:val="20"/>
        </w:rPr>
        <w:t>Applicable data privacy and security obligations may require us to notify relevant stakeholders, such as governmental authorities, partners, and affected individuals, of security incidents. Such disclosures may involve inconsistent requirements and are costly, and the disclosure or the failure to comply with such requirements could lead to adverse consequences.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confidential, proprietary, and sensitive data (including personal data); litigation (including class claims); indemnification obligations; negative publicity; reputational harm; monetary fund diversions; interruptions in our operations (including availability of data); delays in our development or other business plans; financial loss; and other similar harms. Security incidents and attendant consequences may cause customers to stop using our services, deter new customers from using our services, and negatively impact our ability to grow and operate our business.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spacing w:before="360" w:after="0"/>
        <w:jc w:val="left"/>
        <w:rPr>
          <w:rFonts w:ascii="Times New Roman" w:hAnsi="Times New Roman"/>
          <w:sz w:val="20"/>
        </w:rPr>
      </w:pPr>
      <w:r>
        <w:rPr>
          <w:rFonts w:ascii="Times New Roman;serif" w:hAnsi="Times New Roman;serif"/>
          <w:b/>
          <w:i/>
          <w:sz w:val="20"/>
        </w:rPr>
        <w:t>Our headquarters are located near known earthquake fault zones.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and some of the third-party service providers on which we depend for various support functions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 and has been affected by the COVID-19 pandemic, including economic disruption resulting from the related shelter-in-place and stay-at-home governmental orders.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After a comprehensive earthquake risk analysis conducted by Marsh Risk, we decided not to purchase earthquake or flood insurance. Based upon (among other factors) the Marsh Risk analysis, the design and construction of our building, the expected potential loss, and the costs and deductibles associated with earthquake and flood insurance, we chose to self-insure. However, earthquakes or other natural disasters could severely disrupt our operations, or have a larger cost than expected, and have a material adverse effect on our business, results of operations, financial condition and prospects.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If a natural disaster, power outage or other event occurred that prevented us from using all or a significant portion of our headquarters, damaged critical infrastructure, or otherwise disrupted operations, all critical systems and services can be accessible from the disaster recovery site, but it may be difficult or, in certain cases, impossible for us to continue our business for a substantial period of time. The disaster recovery and business continuity plans are in draft and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Furthermore, integral parties in our supply chain are operating from single sites, increasing their vulnerability to natural disasters or other sudden, unforeseen and severe adverse events, such as the COVID-19 pandemic. If such an event were to affect our supply chain, it could have a material adverse effect on our business.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76</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sz w:val="20"/>
        </w:rPr>
      </w:pPr>
      <w:r>
        <w:rPr>
          <w:rFonts w:ascii="Times New Roman;serif" w:hAnsi="Times New Roman;serif"/>
          <w:b/>
          <w:sz w:val="20"/>
        </w:rPr>
        <w:t>Risks Related to Our Common Stock</w:t>
      </w:r>
    </w:p>
    <w:p>
      <w:pPr>
        <w:pStyle w:val="TextBody"/>
        <w:spacing w:before="120" w:after="0"/>
        <w:jc w:val="left"/>
        <w:rPr>
          <w:rFonts w:ascii="Times New Roman;serif" w:hAnsi="Times New Roman;serif"/>
          <w:b/>
          <w:i/>
          <w:sz w:val="20"/>
        </w:rPr>
      </w:pPr>
      <w:r>
        <w:rPr>
          <w:rFonts w:ascii="Times New Roman;serif" w:hAnsi="Times New Roman;serif"/>
          <w:b/>
          <w:i/>
          <w:sz w:val="20"/>
        </w:rPr>
        <w:t>The market price of our common stock may be highly volatile, and you may not be able to resell your shares at or above your purchase price.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results of clinical trials of our product candidates, including roxadustat and pamrevlumab;</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of the release of results of and regulatory updates regarding our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level of expenses related to any of our product candidates or clinical development programs;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results of clinical trials of our competitors’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safety issues with respect to our product candidates or our competitors’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actions with respect to our product candidates and any approved products or our competitors’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fluctuations in our financial condition and operating results, which will be significantly affected by the manner in which we recognize revenue from the achievement of milestones under our collaboration agreements;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adverse developments concerning our collaborations and our manufacturers;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termination of a collaboration or the inability to establish additional collaborations;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inability to obtain adequate product supply for any approved drug product or inability to do so at acceptable prices;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disputes or other developments relating to proprietary rights, including patents, litigation matters and our ability to obtain patent protection for our technologies;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legislation or other regulatory developments affecting our product candidates or our industry;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fluctuations in the valuation of the biotechnology industry and particular companies perceived by investors to be comparable to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speculation in the press or investment community;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announcements of investigations or regulatory scrutiny of our operations or lawsuits filed against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activities of the government of China, including those related to the pharmaceutical industry as well as industrial policy generally;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performance of other U.S. publicly traded companies with significant operations in China;</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market conditions for biopharmaceutical stocks; and</w:t>
      </w:r>
    </w:p>
    <w:p>
      <w:pPr>
        <w:pStyle w:val="TextBody"/>
        <w:spacing w:before="120" w:after="0"/>
        <w:jc w:val="left"/>
        <w:rPr/>
      </w:pPr>
      <w:r>
        <w:rPr/>
        <w:t>•</w:t>
      </w:r>
    </w:p>
    <w:p>
      <w:pPr>
        <w:pStyle w:val="TextBody"/>
        <w:spacing w:before="120" w:after="283"/>
        <w:jc w:val="left"/>
        <w:rPr/>
      </w:pPr>
      <w:r>
        <w:rPr>
          <w:rFonts w:ascii="Times New Roman;serif" w:hAnsi="Times New Roman;serif"/>
          <w:b w:val="false"/>
          <w:sz w:val="20"/>
        </w:rPr>
        <w:t>the other factors described in this “</w:t>
      </w:r>
      <w:r>
        <w:rPr>
          <w:rFonts w:ascii="Times New Roman;serif" w:hAnsi="Times New Roman;serif"/>
          <w:b w:val="false"/>
          <w:i/>
          <w:sz w:val="20"/>
        </w:rPr>
        <w:t>Risk Factors</w:t>
      </w:r>
      <w:r>
        <w:rPr/>
        <w:t xml:space="preserve">” </w:t>
      </w:r>
      <w:r>
        <w:rPr>
          <w:rFonts w:ascii="Times New Roman;serif" w:hAnsi="Times New Roman;serif"/>
          <w:b w:val="false"/>
          <w:sz w:val="20"/>
        </w:rPr>
        <w:t>section.</w:t>
      </w:r>
    </w:p>
    <w:p>
      <w:pPr>
        <w:pStyle w:val="TextBody"/>
        <w:spacing w:before="240" w:after="0"/>
        <w:jc w:val="left"/>
        <w:rPr>
          <w:rFonts w:ascii="Times New Roman" w:hAnsi="Times New Roman"/>
          <w:sz w:val="20"/>
        </w:rPr>
      </w:pPr>
      <w:r>
        <w:rPr>
          <w:rFonts w:ascii="Times New Roman;serif" w:hAnsi="Times New Roman;serif"/>
          <w:b w:val="false"/>
          <w:sz w:val="20"/>
        </w:rPr>
        <w:t xml:space="preserve">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We are currently subject to such litigation and it has diverted, and could continue to result in diversions of, our management’s attention and resources and it could result in significant expense, monetary damages, penalties or injunctive relief against us. For a description of our pending litigation and SEC investigation, see Note 10, </w:t>
      </w:r>
      <w:r>
        <w:rPr>
          <w:rFonts w:ascii="Times New Roman;serif" w:hAnsi="Times New Roman;serif"/>
          <w:b w:val="false"/>
          <w:i/>
          <w:sz w:val="20"/>
        </w:rPr>
        <w:t>Commitments and Contingencies</w:t>
      </w:r>
      <w:r>
        <w:rPr>
          <w:rFonts w:ascii="Times New Roman;serif" w:hAnsi="Times New Roman;serif"/>
          <w:b w:val="false"/>
          <w:sz w:val="20"/>
        </w:rPr>
        <w:t>, to the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77</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i/>
          <w:sz w:val="20"/>
        </w:rPr>
      </w:pPr>
      <w:r>
        <w:rPr>
          <w:rFonts w:ascii="Times New Roman;serif" w:hAnsi="Times New Roman;serif"/>
          <w:b/>
          <w:i/>
          <w:sz w:val="20"/>
        </w:rPr>
        <w:t>We may engage in acquisitions that could dilute stockholders and harm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issue stock that would dilute our existing stockholders’ percentage of ownership;</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incur debt and assume liabilities;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incur amortization expenses related to intangible assets or incur large and immediate write-offs.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problems integrating the purchased business, products or technologies, or employees or other assets of the acquisition target;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increases to our expenses;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disclosed or undisclosed liabilities of the acquired asset or company;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diversion of management’s attention from their day-to-day responsibilities;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reprioritization of our development programs and even cessation of development and commercialization of our current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harm to our operating results or financial condition;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entrance into markets in which we have limited or no prior experience;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potential loss of key employees, particularly those of the acquired entity.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may not be able to complete any acquisitions or effectively integrate the operations, products or personnel gained through any such acquisition.</w:t>
      </w:r>
    </w:p>
    <w:p>
      <w:pPr>
        <w:pStyle w:val="TextBody"/>
        <w:spacing w:before="360" w:after="0"/>
        <w:jc w:val="left"/>
        <w:rPr>
          <w:rFonts w:ascii="Times New Roman;serif" w:hAnsi="Times New Roman;serif"/>
          <w:b/>
          <w:i/>
          <w:sz w:val="20"/>
        </w:rPr>
      </w:pPr>
      <w:r>
        <w:rPr>
          <w:rFonts w:ascii="Times New Roman;serif" w:hAnsi="Times New Roman;serif"/>
          <w:b/>
          <w:i/>
          <w:sz w:val="20"/>
        </w:rPr>
        <w:t>Provisions in our charter documents and Delaware law may have anti-takeover effects that could discourage an acquisition of us by others, and may prevent attempts by our stockholders to replace or remove our current directors or management.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authorize “blank check” preferred stock, which could be issued by our Board of Directors without stockholder approval and may contain voting, liquidation, dividend and other rights superior to our common stock;</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create a classified Board of Directors whose members serve staggered three-year terms;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specify that special meetings of our stockholders can be called only by our Board of Directors pursuant to a resolution adopted by a majority of the total number of directors;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prohibit stockholder action by written consent;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establish an advance notice procedure for stockholder approvals to be brought before an annual meeting of our stockholders, including proposed nominations of persons for election to our Board of Directors;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provide that our directors may be removed prior to the end of their term only for cause;</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provide that vacancies on our Board of Directors may be filled only by a majority of directors then in office, even though less than a quorum;</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78</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require a supermajority vote of the holders of our common stock or the majority vote of our Board of Directors to amend our bylaws;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require a supermajority vote of the holders of our common stock to amend the classification of our Board of Directors into three classes and to amend certain other provisions of our certificate of incorporation.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spacing w:before="360" w:after="0"/>
        <w:jc w:val="left"/>
        <w:rPr>
          <w:rFonts w:ascii="Times New Roman" w:hAnsi="Times New Roman"/>
          <w:sz w:val="20"/>
        </w:rPr>
      </w:pPr>
      <w:r>
        <w:rPr>
          <w:rFonts w:ascii="Times New Roman;serif" w:hAnsi="Times New Roman;serif"/>
          <w:b/>
          <w:i/>
          <w:sz w:val="20"/>
        </w:rPr>
        <w:t>Changes in our tax provision or exposure to additional tax liabilities could adversely affect our earnings and financial condition.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are also subject to non-income taxes, such as payroll, withholding, excise, customs and duties, sales, use, value-added, net worth, property, gross receipts, and goods and services taxes in the U.S., state and local, and various foreign jurisdictions. We are subject to audit and assessments by tax authorities with respect to these non-income taxes and the determination of these non-income taxes is subject to varying interpretations arising from the complex nature of tax laws and regulations. Therefore, we may have exposure to additional non-income tax liabilities, which could have an adverse effect on our results of operations and financial condition.​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tax regulations in the U.S. and other jurisdictions in which we operate are extremely complex and subject to change. Changes in tax regulations could have an adverse effect on our results of operations and financial condition.</w:t>
      </w:r>
    </w:p>
    <w:p>
      <w:pPr>
        <w:pStyle w:val="TextBody"/>
        <w:spacing w:before="360" w:after="0"/>
        <w:jc w:val="left"/>
        <w:rPr>
          <w:rFonts w:ascii="Times New Roman;serif" w:hAnsi="Times New Roman;serif"/>
          <w:b/>
          <w:i/>
          <w:sz w:val="20"/>
        </w:rPr>
      </w:pPr>
      <w:r>
        <w:rPr>
          <w:rFonts w:ascii="Times New Roman;serif" w:hAnsi="Times New Roman;serif"/>
          <w:b/>
          <w:i/>
          <w:sz w:val="20"/>
        </w:rPr>
        <w:t>Tariffs imposed by the U.S. and those imposed in response by other countries could have a material adverse effect on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U.S. and foreign governments’ trade policies have resulted in, and may continue to result in, tariffs on imports into and exports from the U.S. Throughout 2018 and 2019, the U.S. imposed tariffs on imports from several countries, including China. In response, China has proposed and implemented their own tariffs on certain products, which may impact our supply chain and our costs of doing business. If we are impacted by the changing trade relations between the U.S. and China, our business and results of operations may be negatively impacted. Continued diminished trade relations between the U.S. and other countries, including potential reductions in trade with China and others, as well as the continued escalation of tariffs, could have a material adverse effect on our financial performance and results of operations.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79</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 w:hAnsi="Times New Roman"/>
          <w:sz w:val="20"/>
        </w:rPr>
      </w:pPr>
      <w:r>
        <w:rPr>
          <w:rFonts w:ascii="Times New Roman;serif" w:hAnsi="Times New Roman;serif"/>
          <w:b/>
          <w:i/>
          <w:sz w:val="20"/>
        </w:rPr>
        <w:t>Our certificate of incorporation designates courts located in Delaware as the sole forum for certain proceedings, which could limit our stockholders’ ability to obtain a favorable judicial forum for disputes with us or our directors, officers or employees.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amended and restated certificate of incorporation provides that, subject to limited exceptions, the Court of Chancery of the State of Delaware is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While the Delaware courts determined that such choice of forum provisions are facially valid, a stockholder may nevertheless seek to bring a claim in a venue other than that designated in the exclusive forum provisions. For example, one of the Derivative Litigation was brought in federal court in California, despite the exclusive forum provision. We are currently moving to dismiss that lawsuit on the basis of improper forum and we would expect to vigorously assert the validity and enforceability of the exclusive forum provisions of our amended and restated certificate of incorporation in any additional litigations that are brought in a venue other than that designated in the exclusive forum provision. This may require significant additional costs associated with resolving such action in other jurisdictions and there can be no assurance that the provisions will be enforced by a court in those other jurisdictions.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pStyle w:val="TextBody"/>
        <w:spacing w:before="360" w:after="0"/>
        <w:jc w:val="left"/>
        <w:rPr>
          <w:rFonts w:ascii="Times New Roman;serif" w:hAnsi="Times New Roman;serif"/>
          <w:b/>
          <w:i/>
          <w:sz w:val="20"/>
        </w:rPr>
      </w:pPr>
      <w:r>
        <w:rPr>
          <w:rFonts w:ascii="Times New Roman;serif" w:hAnsi="Times New Roman;serif"/>
          <w:b/>
          <w:i/>
          <w:sz w:val="20"/>
        </w:rPr>
        <w:t>We do not plan to pay dividends. Capital appreciation will be your sole possible source of gain, which may never occur.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pStyle w:val="TextBody"/>
        <w:spacing w:before="360" w:after="0"/>
        <w:jc w:val="left"/>
        <w:rPr>
          <w:rFonts w:ascii="Times New Roman;serif" w:hAnsi="Times New Roman;serif"/>
          <w:b/>
          <w:i/>
          <w:sz w:val="20"/>
        </w:rPr>
      </w:pPr>
      <w:r>
        <w:rPr>
          <w:rFonts w:ascii="Times New Roman;serif" w:hAnsi="Times New Roman;serif"/>
          <w:b/>
          <w:i/>
          <w:sz w:val="20"/>
        </w:rPr>
        <w:t>Our business or our share price could be negatively affected as a result of shareholder proposals or actions.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Public companies are facing increasing attention from stakeholders relating to environmental, social and governance matters, including corporate governance, executive compensation, environmental stewardship, social responsibility, and diversity and inclusion. Key stakeholders may advocate for enhanced environmental, social and governance disclosures or policies or may request that we make corporate governance changes or engage in certain corporate actions that we believe are not currently in the best interest of FibroGen or our stockholders. Responding to challenges from stockholders, such as proxy contests or media campaigns, could be costly and time consuming and could have an adverse effect on our reputation, which could have an adverse effect on our business and operational results, and could cause the market price of our common stock to decline or experience volatility.</w:t>
      </w:r>
    </w:p>
    <w:p>
      <w:pPr>
        <w:pStyle w:val="TextBody"/>
        <w:spacing w:before="360" w:after="0"/>
        <w:jc w:val="left"/>
        <w:rPr>
          <w:rFonts w:ascii="Times New Roman;serif" w:hAnsi="Times New Roman;serif"/>
          <w:b/>
          <w:sz w:val="20"/>
        </w:rPr>
      </w:pPr>
      <w:bookmarkStart w:id="19" w:name="item_2_unregistered_sales_equity_securit"/>
      <w:bookmarkEnd w:id="19"/>
      <w:r>
        <w:rPr>
          <w:rFonts w:ascii="Times New Roman;serif" w:hAnsi="Times New Roman;serif"/>
          <w:b/>
          <w:sz w:val="20"/>
        </w:rPr>
        <w:t>ITEM 2. UNREGISTERED SALES OF EQUITY SECURITIES AND USE OF PROCEEDS.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360" w:after="0"/>
        <w:jc w:val="left"/>
        <w:rPr>
          <w:rFonts w:ascii="Times New Roman;serif" w:hAnsi="Times New Roman;serif"/>
          <w:b/>
          <w:sz w:val="20"/>
        </w:rPr>
      </w:pPr>
      <w:bookmarkStart w:id="20" w:name="item_3_defaults_upon_senior_securities"/>
      <w:bookmarkEnd w:id="20"/>
      <w:r>
        <w:rPr>
          <w:rFonts w:ascii="Times New Roman;serif" w:hAnsi="Times New Roman;serif"/>
          <w:b/>
          <w:sz w:val="20"/>
        </w:rPr>
        <w:t>ITEM 3. DEFAULTS UPON SENIOR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360" w:after="0"/>
        <w:jc w:val="left"/>
        <w:rPr>
          <w:rFonts w:ascii="Times New Roman;serif" w:hAnsi="Times New Roman;serif"/>
          <w:b/>
          <w:sz w:val="20"/>
        </w:rPr>
      </w:pPr>
      <w:bookmarkStart w:id="21" w:name="item_4_mine_safety_disclosures"/>
      <w:bookmarkEnd w:id="21"/>
      <w:r>
        <w:rPr>
          <w:rFonts w:ascii="Times New Roman;serif" w:hAnsi="Times New Roman;serif"/>
          <w:b/>
          <w:sz w:val="20"/>
        </w:rPr>
        <w:t>ITEM 4. MINE SAFETY DISCLOSURES.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80</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360" w:after="0"/>
        <w:jc w:val="left"/>
        <w:rPr>
          <w:rFonts w:ascii="Times New Roman;serif" w:hAnsi="Times New Roman;serif"/>
          <w:b/>
          <w:sz w:val="20"/>
        </w:rPr>
      </w:pPr>
      <w:bookmarkStart w:id="22" w:name="item_5_or_information"/>
      <w:bookmarkEnd w:id="22"/>
      <w:r>
        <w:rPr>
          <w:rFonts w:ascii="Times New Roman;serif" w:hAnsi="Times New Roman;serif"/>
          <w:b/>
          <w:sz w:val="20"/>
        </w:rPr>
        <w:t>ITEM 5. OTHER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serif" w:hAnsi="Times New Roman;serif"/>
          <w:b/>
          <w:sz w:val="20"/>
        </w:rPr>
      </w:pPr>
      <w:bookmarkStart w:id="23" w:name="item_6_exhibits"/>
      <w:bookmarkEnd w:id="23"/>
      <w:r>
        <w:rPr>
          <w:rFonts w:ascii="Times New Roman;serif" w:hAnsi="Times New Roman;serif"/>
          <w:b/>
          <w:sz w:val="20"/>
        </w:rPr>
        <w:t>ITEM 6. EXHIBITS</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756"/>
        <w:gridCol w:w="146"/>
        <w:gridCol w:w="6305"/>
        <w:gridCol w:w="146"/>
        <w:gridCol w:w="529"/>
        <w:gridCol w:w="146"/>
        <w:gridCol w:w="850"/>
        <w:gridCol w:w="146"/>
        <w:gridCol w:w="631"/>
        <w:gridCol w:w="146"/>
        <w:gridCol w:w="738"/>
      </w:tblGrid>
      <w:tr>
        <w:trPr/>
        <w:tc>
          <w:tcPr>
            <w:tcW w:w="7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0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Exhibit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05"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86" w:type="dxa"/>
            <w:gridSpan w:val="7"/>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Incorporation By Reference</w:t>
            </w:r>
          </w:p>
        </w:tc>
      </w:tr>
      <w:tr>
        <w:trPr/>
        <w:tc>
          <w:tcPr>
            <w:tcW w:w="7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Number</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305"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 Description</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29"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850"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SEC File No.</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3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Filing Date</w:t>
            </w:r>
          </w:p>
        </w:tc>
      </w:tr>
      <w:tr>
        <w:trPr/>
        <w:tc>
          <w:tcPr>
            <w:tcW w:w="7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05"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2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0"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8"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
              <w:r>
                <w:rPr>
                  <w:rStyle w:val="InternetLink"/>
                  <w:rFonts w:ascii="Times New Roman;serif" w:hAnsi="Times New Roman;serif"/>
                  <w:b w:val="false"/>
                  <w:sz w:val="20"/>
                  <w:u w:val="single"/>
                </w:rPr>
                <w:t>Amended and Restated Certificate of Incorporation of FibroGen, Inc.</w:t>
              </w:r>
            </w:hyperlink>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001-36740</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11/21/2014</w:t>
            </w:r>
          </w:p>
        </w:tc>
      </w:tr>
      <w:tr>
        <w:trPr/>
        <w:tc>
          <w:tcPr>
            <w:tcW w:w="7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05"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2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0"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8"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
              <w:r>
                <w:rPr>
                  <w:rStyle w:val="InternetLink"/>
                  <w:rFonts w:ascii="Times New Roman;serif" w:hAnsi="Times New Roman;serif"/>
                  <w:b w:val="false"/>
                  <w:sz w:val="20"/>
                  <w:u w:val="single"/>
                </w:rPr>
                <w:t>Amended and Restated Bylaws of FibroGen, Inc.</w:t>
              </w:r>
            </w:hyperlink>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S-1/A</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333-199069</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3.4</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10/23/2014</w:t>
            </w:r>
          </w:p>
        </w:tc>
      </w:tr>
      <w:tr>
        <w:trPr/>
        <w:tc>
          <w:tcPr>
            <w:tcW w:w="7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05"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2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0"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8"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4">
              <w:r>
                <w:rPr>
                  <w:rStyle w:val="InternetLink"/>
                  <w:rFonts w:ascii="Times New Roman;serif" w:hAnsi="Times New Roman;serif"/>
                  <w:b w:val="false"/>
                  <w:sz w:val="20"/>
                  <w:u w:val="single"/>
                </w:rPr>
                <w:t>Form of Common Stock Certificate.</w:t>
              </w:r>
            </w:hyperlink>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001-36740</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11/21/2014</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5">
              <w:r>
                <w:rPr>
                  <w:rStyle w:val="InternetLink"/>
                  <w:rFonts w:ascii="Times New Roman;serif" w:hAnsi="Times New Roman;serif"/>
                  <w:b w:val="false"/>
                  <w:sz w:val="20"/>
                  <w:u w:val="single"/>
                </w:rPr>
                <w:t>Common Stock Purchase Agreement by and between FibroGen, Inc. and AstraZeneca AB, dated as of October 20, 2014.</w:t>
              </w:r>
            </w:hyperlink>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S-1/A</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333-199069</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4.17</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10/24/2014</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6">
              <w:r>
                <w:rPr>
                  <w:rStyle w:val="InternetLink"/>
                  <w:rFonts w:ascii="Times New Roman;serif" w:hAnsi="Times New Roman;serif"/>
                  <w:b w:val="false"/>
                  <w:sz w:val="20"/>
                  <w:u w:val="single"/>
                </w:rPr>
                <w:t>Amended and Restated Equity Distribution Agreement by and between FibroGen, Inc. and Goldman Sachs &amp; Co. LLC and BofA Securities, Inc., dated February 27, 2023.</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10-K</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001-36740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10.44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02/27/2023</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gen-ex10_2.htm">
              <w:r>
                <w:rPr>
                  <w:rStyle w:val="InternetLink"/>
                  <w:rFonts w:ascii="Times New Roman;serif" w:hAnsi="Times New Roman;serif"/>
                  <w:b w:val="false"/>
                  <w:sz w:val="20"/>
                  <w:u w:val="single"/>
                </w:rPr>
                <w:t>Amendment No. 1 to Commercial Supply Agreement (Roxadustat) by and between FibroGen, Inc. and its Affiliates and Catalent Pharma Solutions, LLC dated as of January 1, 2023.</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gen-ex10_3.htm">
              <w:r>
                <w:rPr>
                  <w:rStyle w:val="InternetLink"/>
                  <w:rFonts w:ascii="Times New Roman;serif" w:hAnsi="Times New Roman;serif"/>
                  <w:b w:val="false"/>
                  <w:sz w:val="20"/>
                  <w:u w:val="single"/>
                </w:rPr>
                <w:t>FibroGen, Inc. Non-Employee Director Compensation Policy, as amended.</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gen-ex10_4.htm">
              <w:r>
                <w:rPr>
                  <w:rStyle w:val="InternetLink"/>
                  <w:rFonts w:ascii="Times New Roman;serif" w:hAnsi="Times New Roman;serif"/>
                  <w:b w:val="false"/>
                  <w:sz w:val="20"/>
                  <w:u w:val="single"/>
                </w:rPr>
                <w:t>Form of Executive Officer Change in Control and Severance Agreement.</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gen-ex31_1.htm">
              <w:r>
                <w:rPr>
                  <w:rStyle w:val="InternetLink"/>
                  <w:rFonts w:ascii="Times New Roman;serif" w:hAnsi="Times New Roman;serif"/>
                  <w:b w:val="false"/>
                  <w:sz w:val="20"/>
                  <w:u w:val="single"/>
                </w:rPr>
                <w:t>Certification of Chief Executive Officer, as required by Rule 13a-14(a) or Rule 15d-14(a).</w:t>
              </w:r>
            </w:hyperlink>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r>
      <w:tr>
        <w:trPr/>
        <w:tc>
          <w:tcPr>
            <w:tcW w:w="7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05"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2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0"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8"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gen-ex31_2.htm">
              <w:r>
                <w:rPr>
                  <w:rStyle w:val="InternetLink"/>
                  <w:rFonts w:ascii="Times New Roman;serif" w:hAnsi="Times New Roman;serif"/>
                  <w:b w:val="false"/>
                  <w:sz w:val="20"/>
                  <w:u w:val="single"/>
                </w:rPr>
                <w:t>Certification of Chief Financial Officer, as required by Rule 13a-14(a) or Rule 15d-14(a).</w:t>
              </w:r>
            </w:hyperlink>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r>
      <w:tr>
        <w:trPr/>
        <w:tc>
          <w:tcPr>
            <w:tcW w:w="7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05"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2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0"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8"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gen-ex32_1.htm">
              <w:r>
                <w:rPr>
                  <w:rStyle w:val="InternetLink"/>
                  <w:rFonts w:ascii="Times New Roman;serif" w:hAnsi="Times New Roman;serif"/>
                  <w:b w:val="false"/>
                  <w:sz w:val="20"/>
                  <w:u w:val="single"/>
                </w:rPr>
                <w:t>Certification of Principal Executive Officer and Principal Financial Officer, as required by Rule 13a-14(b) or Rule 15d-14(b) and Section 1350 of Chapter 63 of Title 18 of the United States Code (18 U.S.C. §1350)(1)).</w:t>
              </w:r>
            </w:hyperlink>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r>
      <w:tr>
        <w:trPr/>
        <w:tc>
          <w:tcPr>
            <w:tcW w:w="7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05"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2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0"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8"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the instance document does not appear in the Interactive Data File because its XBRL tags are embedded within the Inline XBRL document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7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0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with applicable taxonomy extension information contained in Exhibits 101.)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5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r>
    </w:tbl>
    <w:p>
      <w:pPr>
        <w:pStyle w:val="TextBody"/>
        <w:spacing w:before="40" w:after="0"/>
        <w:jc w:val="left"/>
        <w:rPr>
          <w:rFonts w:ascii="Times New Roman;serif" w:hAnsi="Times New Roman;serif"/>
          <w:b w:val="false"/>
          <w:sz w:val="20"/>
        </w:rPr>
      </w:pPr>
      <w:r>
        <w:rPr>
          <w:rFonts w:ascii="Times New Roman;serif" w:hAnsi="Times New Roman;serif"/>
          <w:b w:val="false"/>
          <w:sz w:val="20"/>
        </w:rPr>
        <w:t>* Filed herewith</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Portions of this exhibit (indicated by asterisks) have been omitted as the Company has determined that (i) the omitted information is not material and (ii) the omitted information would likely cause competitive harm if publicly disclosed or is the type of information the Company treats as confidential.</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Indicates a management contract or compensatory plan.</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81</w:t>
      </w:r>
    </w:p>
    <w:p>
      <w:pPr>
        <w:pStyle w:val="HorizontalLine"/>
        <w:rPr/>
      </w:pPr>
      <w:r>
        <w:rPr/>
      </w:r>
    </w:p>
    <w:p>
      <w:pPr>
        <w:pStyle w:val="TextBody"/>
        <w:spacing w:before="0" w:after="200"/>
        <w:jc w:val="left"/>
        <w:rPr/>
      </w:pPr>
      <w:hyperlink w:anchor="toc">
        <w:r>
          <w:rPr>
            <w:rStyle w:val="InternetLink"/>
            <w:rFonts w:ascii="Times New Roman;serif" w:hAnsi="Times New Roman;serif"/>
            <w:b w:val="false"/>
            <w:sz w:val="20"/>
            <w:u w:val="single"/>
          </w:rPr>
          <w:t>Table of Contents</w:t>
        </w:r>
      </w:hyperlink>
    </w:p>
    <w:p>
      <w:pPr>
        <w:pStyle w:val="TextBody"/>
        <w:spacing w:before="0" w:after="0"/>
        <w:jc w:val="center"/>
        <w:rPr>
          <w:rFonts w:ascii="Times New Roman;serif" w:hAnsi="Times New Roman;serif"/>
          <w:b/>
          <w:sz w:val="20"/>
        </w:rPr>
      </w:pPr>
      <w:bookmarkStart w:id="24" w:name="signatures"/>
      <w:bookmarkEnd w:id="24"/>
      <w:r>
        <w:rPr>
          <w:rFonts w:ascii="Times New Roman;serif" w:hAnsi="Times New Roman;serif"/>
          <w:b/>
          <w:sz w:val="20"/>
        </w:rPr>
        <w:t>SIGNATURES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as amended, the registrant has duly caused this report to be signed on its behalf by the undersigned thereunto duly authorized.</w:t>
      </w:r>
    </w:p>
    <w:tbl>
      <w:tblPr>
        <w:tblW w:w="4739" w:type="dxa"/>
        <w:jc w:val="left"/>
        <w:tblInd w:w="0" w:type="dxa"/>
        <w:tblCellMar>
          <w:top w:w="28" w:type="dxa"/>
          <w:left w:w="28" w:type="dxa"/>
          <w:bottom w:w="28" w:type="dxa"/>
          <w:right w:w="28" w:type="dxa"/>
        </w:tblCellMar>
      </w:tblPr>
      <w:tblGrid>
        <w:gridCol w:w="1636"/>
        <w:gridCol w:w="146"/>
        <w:gridCol w:w="451"/>
        <w:gridCol w:w="2506"/>
      </w:tblGrid>
      <w:tr>
        <w:trPr/>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250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957" w:type="dxa"/>
            <w:gridSpan w:val="2"/>
            <w:tcBorders/>
            <w:shd w:fill="auto" w:val="cle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FibroGen, Inc.</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51" w:type="dxa"/>
            <w:tcBorders/>
            <w:shd w:fill="auto" w:val="clear"/>
            <w:vAlign w:val="center"/>
          </w:tcPr>
          <w:p>
            <w:pPr>
              <w:pStyle w:val="TableContents"/>
              <w:spacing w:before="0" w:after="283"/>
              <w:ind w:left="0" w:right="0" w:hanging="0"/>
              <w:rPr>
                <w:sz w:val="4"/>
                <w:szCs w:val="4"/>
              </w:rPr>
            </w:pPr>
            <w:r>
              <w:rPr>
                <w:sz w:val="4"/>
                <w:szCs w:val="4"/>
              </w:rPr>
            </w:r>
          </w:p>
        </w:tc>
        <w:tc>
          <w:tcPr>
            <w:tcW w:w="2506" w:type="dxa"/>
            <w:tcBorders/>
            <w:shd w:fill="auto" w:val="cle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8, 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25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Enrique Conterno</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51" w:type="dxa"/>
            <w:tcBorders/>
            <w:shd w:fill="auto" w:val="clear"/>
            <w:vAlign w:val="center"/>
          </w:tcPr>
          <w:p>
            <w:pPr>
              <w:pStyle w:val="TableContents"/>
              <w:spacing w:before="0" w:after="283"/>
              <w:ind w:left="0" w:right="0" w:hanging="0"/>
              <w:rPr>
                <w:sz w:val="4"/>
                <w:szCs w:val="4"/>
              </w:rPr>
            </w:pPr>
            <w:r>
              <w:rPr>
                <w:sz w:val="4"/>
                <w:szCs w:val="4"/>
              </w:rPr>
            </w:r>
          </w:p>
        </w:tc>
        <w:tc>
          <w:tcPr>
            <w:tcW w:w="2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Enrique Conterno</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51" w:type="dxa"/>
            <w:tcBorders/>
            <w:shd w:fill="auto" w:val="clear"/>
            <w:vAlign w:val="center"/>
          </w:tcPr>
          <w:p>
            <w:pPr>
              <w:pStyle w:val="TableContents"/>
              <w:spacing w:before="0" w:after="283"/>
              <w:ind w:left="0" w:right="0" w:hanging="0"/>
              <w:rPr>
                <w:sz w:val="4"/>
                <w:szCs w:val="4"/>
              </w:rPr>
            </w:pPr>
            <w:r>
              <w:rPr>
                <w:sz w:val="4"/>
                <w:szCs w:val="4"/>
              </w:rPr>
            </w:r>
          </w:p>
        </w:tc>
        <w:tc>
          <w:tcPr>
            <w:tcW w:w="2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1" w:type="dxa"/>
            <w:tcBorders/>
            <w:shd w:fill="auto" w:val="clear"/>
            <w:vAlign w:val="center"/>
          </w:tcPr>
          <w:p>
            <w:pPr>
              <w:pStyle w:val="TableContents"/>
              <w:spacing w:before="0" w:after="0"/>
              <w:ind w:left="0" w:right="0" w:hanging="0"/>
              <w:jc w:val="left"/>
              <w:rPr/>
            </w:pPr>
            <w:r>
              <w:rPr/>
              <w:t> </w:t>
            </w:r>
          </w:p>
        </w:tc>
        <w:tc>
          <w:tcPr>
            <w:tcW w:w="250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r>
    </w:tbl>
    <w:p>
      <w:pPr>
        <w:pStyle w:val="TextBody"/>
        <w:spacing w:before="0" w:after="0"/>
        <w:jc w:val="left"/>
        <w:rPr/>
      </w:pPr>
      <w:r>
        <w:rPr/>
        <w:t> </w:t>
      </w:r>
    </w:p>
    <w:tbl>
      <w:tblPr>
        <w:tblW w:w="6374" w:type="dxa"/>
        <w:jc w:val="left"/>
        <w:tblInd w:w="0" w:type="dxa"/>
        <w:tblCellMar>
          <w:top w:w="28" w:type="dxa"/>
          <w:left w:w="28" w:type="dxa"/>
          <w:bottom w:w="28" w:type="dxa"/>
          <w:right w:w="28" w:type="dxa"/>
        </w:tblCellMar>
      </w:tblPr>
      <w:tblGrid>
        <w:gridCol w:w="1636"/>
        <w:gridCol w:w="146"/>
        <w:gridCol w:w="451"/>
        <w:gridCol w:w="4141"/>
      </w:tblGrid>
      <w:tr>
        <w:trPr/>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14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8, 2023</w:t>
            </w:r>
          </w:p>
        </w:tc>
        <w:tc>
          <w:tcPr>
            <w:tcW w:w="146" w:type="dxa"/>
            <w:tcBorders/>
            <w:shd w:fill="auto" w:val="clear"/>
            <w:vAlign w:val="center"/>
          </w:tcPr>
          <w:p>
            <w:pPr>
              <w:pStyle w:val="TableContents"/>
              <w:spacing w:before="0" w:after="0"/>
              <w:ind w:left="0" w:right="0" w:hanging="0"/>
              <w:jc w:val="left"/>
              <w:rPr/>
            </w:pPr>
            <w:r>
              <w:rPr/>
              <w:t> </w:t>
            </w:r>
          </w:p>
        </w:tc>
        <w:tc>
          <w:tcPr>
            <w:tcW w:w="4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4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Juan Graham</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51" w:type="dxa"/>
            <w:tcBorders/>
            <w:shd w:fill="auto" w:val="clear"/>
            <w:vAlign w:val="center"/>
          </w:tcPr>
          <w:p>
            <w:pPr>
              <w:pStyle w:val="TableContents"/>
              <w:spacing w:before="0" w:after="283"/>
              <w:ind w:left="0" w:right="0" w:hanging="0"/>
              <w:rPr>
                <w:sz w:val="4"/>
                <w:szCs w:val="4"/>
              </w:rPr>
            </w:pPr>
            <w:r>
              <w:rPr>
                <w:sz w:val="4"/>
                <w:szCs w:val="4"/>
              </w:rPr>
            </w:r>
          </w:p>
        </w:tc>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Juan Graham</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51" w:type="dxa"/>
            <w:tcBorders/>
            <w:shd w:fill="auto" w:val="clear"/>
            <w:vAlign w:val="center"/>
          </w:tcPr>
          <w:p>
            <w:pPr>
              <w:pStyle w:val="TableContents"/>
              <w:spacing w:before="0" w:after="283"/>
              <w:ind w:left="0" w:right="0" w:hanging="0"/>
              <w:rPr>
                <w:sz w:val="4"/>
                <w:szCs w:val="4"/>
              </w:rPr>
            </w:pPr>
            <w:r>
              <w:rPr>
                <w:sz w:val="4"/>
                <w:szCs w:val="4"/>
              </w:rPr>
            </w:r>
          </w:p>
        </w:tc>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Senior Vice President and Chief Financial Officer</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1" w:type="dxa"/>
            <w:tcBorders/>
            <w:shd w:fill="auto" w:val="clear"/>
            <w:vAlign w:val="center"/>
          </w:tcPr>
          <w:p>
            <w:pPr>
              <w:pStyle w:val="TableContents"/>
              <w:spacing w:before="0" w:after="0"/>
              <w:ind w:left="0" w:right="0" w:hanging="0"/>
              <w:jc w:val="left"/>
              <w:rPr/>
            </w:pPr>
            <w:r>
              <w:rPr/>
              <w:t> </w:t>
            </w:r>
          </w:p>
        </w:tc>
        <w:tc>
          <w:tcPr>
            <w:tcW w:w="414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and Accounting Officer)</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82</w:t>
      </w:r>
    </w:p>
    <w:p>
      <w:pPr>
        <w:pStyle w:val="HorizontalLine"/>
        <w:rPr/>
      </w:pPr>
      <w:r>
        <w:rPr/>
      </w:r>
      <w:r>
        <w:br w:type="page"/>
      </w:r>
    </w:p>
    <w:p>
      <w:pPr>
        <w:pStyle w:val="TextBody"/>
        <w:spacing w:before="0" w:after="0"/>
        <w:jc w:val="right"/>
        <w:rPr>
          <w:rFonts w:ascii="Times New Roman;serif" w:hAnsi="Times New Roman;serif"/>
          <w:b w:val="false"/>
          <w:sz w:val="20"/>
        </w:rPr>
      </w:pPr>
      <w:bookmarkStart w:id="25" w:name="fgen-ex10_2.htm"/>
      <w:bookmarkStart w:id="26" w:name="ksfgenex10_2"/>
      <w:bookmarkEnd w:id="25"/>
      <w:bookmarkEnd w:id="26"/>
      <w:r>
        <w:rPr>
          <w:rFonts w:ascii="Times New Roman;serif" w:hAnsi="Times New Roman;serif"/>
          <w:b w:val="false"/>
          <w:sz w:val="20"/>
        </w:rPr>
        <w:t>EXECUTION VERSION</w:t>
      </w:r>
    </w:p>
    <w:p>
      <w:pPr>
        <w:pStyle w:val="TextBody"/>
        <w:spacing w:before="0" w:after="480"/>
        <w:jc w:val="both"/>
        <w:rPr>
          <w:rFonts w:ascii="Times New Roman;serif" w:hAnsi="Times New Roman;serif"/>
          <w:b/>
          <w:sz w:val="20"/>
        </w:rPr>
      </w:pPr>
      <w:r>
        <w:rPr>
          <w:rFonts w:ascii="Times New Roman;serif" w:hAnsi="Times New Roman;serif"/>
          <w:b/>
          <w:sz w:val="20"/>
        </w:rPr>
        <w:t>[*] = Certain confidential information contained in this document, marked by brackets, has been omitted because it is both (i) not material and (ii) would likely cause competitive harm to the company if publicly disclosed.</w:t>
      </w:r>
    </w:p>
    <w:p>
      <w:pPr>
        <w:pStyle w:val="TextBody"/>
        <w:spacing w:before="0" w:after="0"/>
        <w:jc w:val="right"/>
        <w:rPr>
          <w:rFonts w:ascii="Times New Roman;serif" w:hAnsi="Times New Roman;serif"/>
          <w:b/>
          <w:sz w:val="20"/>
        </w:rPr>
      </w:pPr>
      <w:r>
        <w:rPr>
          <w:rFonts w:ascii="Times New Roman;serif" w:hAnsi="Times New Roman;serif"/>
          <w:b/>
          <w:sz w:val="20"/>
        </w:rPr>
        <w:t>Exhibit 10.2</w:t>
      </w:r>
    </w:p>
    <w:p>
      <w:pPr>
        <w:pStyle w:val="TextBody"/>
        <w:spacing w:before="61" w:after="0"/>
        <w:jc w:val="center"/>
        <w:rPr/>
      </w:pPr>
      <w:r>
        <w:rPr/>
        <w:t> </w:t>
      </w:r>
    </w:p>
    <w:p>
      <w:pPr>
        <w:pStyle w:val="TextBody"/>
        <w:spacing w:before="61" w:after="0"/>
        <w:jc w:val="center"/>
        <w:rPr/>
      </w:pPr>
      <w:r>
        <w:rPr/>
        <w:t> </w:t>
      </w:r>
    </w:p>
    <w:p>
      <w:pPr>
        <w:pStyle w:val="TextBody"/>
        <w:spacing w:before="61" w:after="0"/>
        <w:jc w:val="center"/>
        <w:rPr>
          <w:rFonts w:ascii="Times New Roman;serif" w:hAnsi="Times New Roman;serif"/>
          <w:b/>
          <w:sz w:val="20"/>
        </w:rPr>
      </w:pPr>
      <w:r>
        <w:rPr>
          <w:rFonts w:ascii="Times New Roman;serif" w:hAnsi="Times New Roman;serif"/>
          <w:b/>
          <w:sz w:val="20"/>
        </w:rPr>
        <w:t>AMENDMENT NO. 1 TO COMMERCIAL SUPPLY AGREEMENT</w:t>
      </w:r>
    </w:p>
    <w:p>
      <w:pPr>
        <w:pStyle w:val="TextBody"/>
        <w:spacing w:before="0" w:after="0"/>
        <w:jc w:val="center"/>
        <w:rPr>
          <w:rFonts w:ascii="Times New Roman;serif" w:hAnsi="Times New Roman;serif"/>
          <w:b/>
          <w:sz w:val="20"/>
        </w:rPr>
      </w:pPr>
      <w:r>
        <w:rPr>
          <w:rFonts w:ascii="Times New Roman;serif" w:hAnsi="Times New Roman;serif"/>
          <w:b/>
          <w:sz w:val="20"/>
        </w:rPr>
        <w:t>(Roxadustat)</w:t>
      </w:r>
    </w:p>
    <w:p>
      <w:pPr>
        <w:pStyle w:val="TextBody"/>
        <w:spacing w:before="9"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 xml:space="preserve">This </w:t>
      </w:r>
      <w:r>
        <w:rPr>
          <w:rFonts w:ascii="Times New Roman;serif" w:hAnsi="Times New Roman;serif"/>
          <w:b/>
          <w:sz w:val="20"/>
        </w:rPr>
        <w:t>Amendment No. 1 to the</w:t>
      </w:r>
      <w:r>
        <w:rPr>
          <w:rFonts w:ascii="Times New Roman" w:hAnsi="Times New Roman"/>
          <w:sz w:val="20"/>
        </w:rPr>
        <w:t xml:space="preserve"> </w:t>
      </w:r>
      <w:r>
        <w:rPr>
          <w:rFonts w:ascii="Times New Roman;serif" w:hAnsi="Times New Roman;serif"/>
          <w:b/>
          <w:sz w:val="20"/>
        </w:rPr>
        <w:t xml:space="preserve">Commercial Supply Agreement </w:t>
      </w:r>
      <w:r>
        <w:rPr>
          <w:rFonts w:ascii="Times New Roman;serif" w:hAnsi="Times New Roman;serif"/>
          <w:b w:val="false"/>
          <w:sz w:val="20"/>
        </w:rPr>
        <w:t>(the “</w:t>
      </w:r>
      <w:r>
        <w:rPr>
          <w:rFonts w:ascii="Times New Roman;serif" w:hAnsi="Times New Roman;serif"/>
          <w:b/>
          <w:sz w:val="20"/>
        </w:rPr>
        <w:t>Agreement</w:t>
      </w:r>
      <w:r>
        <w:rPr>
          <w:rFonts w:ascii="Times New Roman" w:hAnsi="Times New Roman"/>
          <w:sz w:val="20"/>
        </w:rPr>
        <w:t>”</w:t>
      </w:r>
      <w:r>
        <w:rPr>
          <w:rFonts w:ascii="Times New Roman;serif" w:hAnsi="Times New Roman;serif"/>
          <w:b w:val="false"/>
          <w:sz w:val="20"/>
        </w:rPr>
        <w:t xml:space="preserve">) dated </w:t>
      </w:r>
      <w:r>
        <w:rPr>
          <w:rFonts w:ascii="Times New Roman;serif" w:hAnsi="Times New Roman;serif"/>
          <w:b/>
          <w:sz w:val="20"/>
        </w:rPr>
        <w:t xml:space="preserve">January 1, 2020 </w:t>
      </w:r>
      <w:r>
        <w:rPr>
          <w:rFonts w:ascii="Times New Roman;serif" w:hAnsi="Times New Roman;serif"/>
          <w:b w:val="false"/>
          <w:sz w:val="20"/>
        </w:rPr>
        <w:t>(“</w:t>
      </w:r>
      <w:r>
        <w:rPr>
          <w:rFonts w:ascii="Times New Roman;serif" w:hAnsi="Times New Roman;serif"/>
          <w:b/>
          <w:sz w:val="20"/>
        </w:rPr>
        <w:t>Effective Date</w:t>
      </w:r>
      <w:r>
        <w:rPr>
          <w:rFonts w:ascii="Times New Roman" w:hAnsi="Times New Roman"/>
          <w:sz w:val="20"/>
        </w:rPr>
        <w:t>”</w:t>
      </w:r>
      <w:r>
        <w:rPr>
          <w:rFonts w:ascii="Times New Roman;serif" w:hAnsi="Times New Roman;serif"/>
          <w:b w:val="false"/>
          <w:sz w:val="20"/>
        </w:rPr>
        <w:t xml:space="preserve">), is made and entered into as of </w:t>
      </w:r>
      <w:r>
        <w:rPr>
          <w:rFonts w:ascii="Times New Roman;serif" w:hAnsi="Times New Roman;serif"/>
          <w:b/>
          <w:sz w:val="20"/>
        </w:rPr>
        <w:t xml:space="preserve">January 1, 2023 </w:t>
      </w:r>
      <w:r>
        <w:rPr>
          <w:rFonts w:ascii="Times New Roman;serif" w:hAnsi="Times New Roman;serif"/>
          <w:b w:val="false"/>
          <w:sz w:val="20"/>
        </w:rPr>
        <w:t>(“</w:t>
      </w:r>
      <w:r>
        <w:rPr>
          <w:rFonts w:ascii="Times New Roman;serif" w:hAnsi="Times New Roman;serif"/>
          <w:b/>
          <w:sz w:val="20"/>
        </w:rPr>
        <w:t>Amendment No. 1 Effective Date</w:t>
      </w:r>
      <w:r>
        <w:rPr>
          <w:rFonts w:ascii="Times New Roman" w:hAnsi="Times New Roman"/>
          <w:sz w:val="20"/>
        </w:rPr>
        <w:t>”</w:t>
      </w:r>
      <w:r>
        <w:rPr>
          <w:rFonts w:ascii="Times New Roman;serif" w:hAnsi="Times New Roman;serif"/>
          <w:b w:val="false"/>
          <w:sz w:val="20"/>
        </w:rPr>
        <w:t>) by and between FibroGen, Inc. and its Affiliates (collectively, “</w:t>
      </w:r>
      <w:r>
        <w:rPr>
          <w:rFonts w:ascii="Times New Roman;serif" w:hAnsi="Times New Roman;serif"/>
          <w:b/>
          <w:sz w:val="20"/>
        </w:rPr>
        <w:t>FibroGen</w:t>
      </w:r>
      <w:r>
        <w:rPr>
          <w:rFonts w:ascii="Times New Roman" w:hAnsi="Times New Roman"/>
          <w:sz w:val="20"/>
        </w:rPr>
        <w:t>”</w:t>
      </w:r>
      <w:r>
        <w:rPr>
          <w:rFonts w:ascii="Times New Roman;serif" w:hAnsi="Times New Roman;serif"/>
          <w:b w:val="false"/>
          <w:sz w:val="20"/>
        </w:rPr>
        <w:t>), with offices located at 409 Illinois Street, San Francisco, California 94158, and Catalent Pharma Solutions, LLC (“</w:t>
      </w:r>
      <w:r>
        <w:rPr>
          <w:rFonts w:ascii="Times New Roman;serif" w:hAnsi="Times New Roman;serif"/>
          <w:b/>
          <w:sz w:val="20"/>
        </w:rPr>
        <w:t>Catalent</w:t>
      </w:r>
      <w:r>
        <w:rPr>
          <w:rFonts w:ascii="Times New Roman" w:hAnsi="Times New Roman"/>
          <w:sz w:val="20"/>
        </w:rPr>
        <w:t>”</w:t>
      </w:r>
      <w:r>
        <w:rPr>
          <w:rFonts w:ascii="Times New Roman;serif" w:hAnsi="Times New Roman;serif"/>
          <w:b w:val="false"/>
          <w:sz w:val="20"/>
        </w:rPr>
        <w:t>), a Delaware limited liability corporation, having an address at 14 Schoolhouse Road, Somerset, New Jersey 08873. FibroGen and Catalent may be referred to individually as a “</w:t>
      </w:r>
      <w:r>
        <w:rPr>
          <w:rFonts w:ascii="Times New Roman;serif" w:hAnsi="Times New Roman;serif"/>
          <w:b/>
          <w:sz w:val="20"/>
        </w:rPr>
        <w:t>Party</w:t>
      </w:r>
      <w:r>
        <w:rPr>
          <w:rFonts w:ascii="Times New Roman" w:hAnsi="Times New Roman"/>
          <w:sz w:val="20"/>
        </w:rPr>
        <w:t>”</w:t>
      </w:r>
      <w:r>
        <w:rPr>
          <w:rFonts w:ascii="Times New Roman;serif" w:hAnsi="Times New Roman;serif"/>
          <w:b w:val="false"/>
          <w:sz w:val="20"/>
        </w:rPr>
        <w:t>, and collectively as the “</w:t>
      </w:r>
      <w:r>
        <w:rPr>
          <w:rFonts w:ascii="Times New Roman;serif" w:hAnsi="Times New Roman;serif"/>
          <w:b/>
          <w:sz w:val="20"/>
        </w:rPr>
        <w:t>Parties</w:t>
      </w:r>
      <w:r>
        <w:rPr>
          <w:rFonts w:ascii="Times New Roman" w:hAnsi="Times New Roman"/>
          <w:sz w:val="20"/>
        </w:rPr>
        <w:t>”</w:t>
      </w:r>
      <w:r>
        <w:rPr>
          <w:rFonts w:ascii="Times New Roman;serif" w:hAnsi="Times New Roman;serif"/>
          <w:b w:val="false"/>
          <w:sz w:val="20"/>
        </w:rPr>
        <w: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20"/>
        </w:rPr>
        <w:t>WHEREAS</w:t>
      </w:r>
      <w:r>
        <w:rPr>
          <w:rFonts w:ascii="Times New Roman;serif" w:hAnsi="Times New Roman;serif"/>
          <w:b w:val="false"/>
          <w:sz w:val="20"/>
        </w:rPr>
        <w:t>, the Parties wish to clarify and modify certain terms and conditions of the Agreement under this amendment (the “</w:t>
      </w:r>
      <w:r>
        <w:rPr>
          <w:rFonts w:ascii="Times New Roman;serif" w:hAnsi="Times New Roman;serif"/>
          <w:b/>
          <w:sz w:val="20"/>
        </w:rPr>
        <w:t>Amendment No. 1</w:t>
      </w:r>
      <w:r>
        <w:rPr>
          <w:rFonts w:ascii="Times New Roman" w:hAnsi="Times New Roman"/>
          <w:sz w:val="20"/>
        </w:rPr>
        <w:t>”</w:t>
      </w:r>
      <w:r>
        <w:rPr>
          <w:rFonts w:ascii="Times New Roman;serif" w:hAnsi="Times New Roman;serif"/>
          <w:b w:val="false"/>
          <w:sz w:val="20"/>
        </w:rPr>
        <w:t>), which are hereby incorporated by reference as though fully set forth herein; and</w:t>
      </w:r>
    </w:p>
    <w:p>
      <w:pPr>
        <w:pStyle w:val="TextBody"/>
        <w:spacing w:before="11"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0"/>
        </w:rPr>
        <w:t xml:space="preserve">WHEREAS, </w:t>
      </w:r>
      <w:r>
        <w:rPr>
          <w:rFonts w:ascii="Times New Roman;serif" w:hAnsi="Times New Roman;serif"/>
          <w:b w:val="false"/>
          <w:sz w:val="20"/>
        </w:rPr>
        <w:t>FibroGen has engaged Catalent to perform Manufacturing Services, including without limitation the manufacture and supply of roxadustat bulk drug product, and Catalent desires to continue to provide such services, on the terms set forth below.</w:t>
      </w:r>
    </w:p>
    <w:p>
      <w:pPr>
        <w:pStyle w:val="TextBody"/>
        <w:spacing w:before="5"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0"/>
        </w:rPr>
        <w:t xml:space="preserve">NOW, THEREFORE, </w:t>
      </w:r>
      <w:r>
        <w:rPr>
          <w:rFonts w:ascii="Times New Roman;serif" w:hAnsi="Times New Roman;serif"/>
          <w:b w:val="false"/>
          <w:sz w:val="20"/>
        </w:rPr>
        <w:t>in consideration of the mutual promises and covenants contained herein and other good and valuable consideration, the receipt and sufficiency of which are hereby acknowledged, and intending to be legally bound hereby, the Parties hereto agree as follows:</w:t>
      </w:r>
    </w:p>
    <w:p>
      <w:pPr>
        <w:pStyle w:val="TextBody"/>
        <w:spacing w:before="9"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1.</w:t>
      </w:r>
    </w:p>
    <w:p>
      <w:pPr>
        <w:pStyle w:val="TextBody"/>
        <w:jc w:val="both"/>
        <w:rPr>
          <w:rFonts w:ascii="Times New Roman;serif" w:hAnsi="Times New Roman;serif"/>
          <w:b w:val="false"/>
          <w:sz w:val="20"/>
        </w:rPr>
      </w:pPr>
      <w:r>
        <w:rPr>
          <w:rFonts w:ascii="Times New Roman;serif" w:hAnsi="Times New Roman;serif"/>
          <w:b w:val="false"/>
          <w:sz w:val="20"/>
        </w:rPr>
        <w:t xml:space="preserve">[*]. The Agreement’s Attachment A is hereby deleted in its entirety and replaced with Amendment No. 1 Attachment A, attached hereto and incorporated herein. </w:t>
      </w:r>
    </w:p>
    <w:p>
      <w:pPr>
        <w:pStyle w:val="TextBody"/>
        <w:spacing w:before="9"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2.</w:t>
      </w:r>
    </w:p>
    <w:p>
      <w:pPr>
        <w:pStyle w:val="TextBody"/>
        <w:jc w:val="both"/>
        <w:rPr>
          <w:rFonts w:ascii="Times New Roman;serif" w:hAnsi="Times New Roman;serif"/>
          <w:b w:val="false"/>
          <w:sz w:val="20"/>
        </w:rPr>
      </w:pPr>
      <w:r>
        <w:rPr>
          <w:rFonts w:ascii="Times New Roman;serif" w:hAnsi="Times New Roman;serif"/>
          <w:b w:val="false"/>
          <w:sz w:val="20"/>
        </w:rPr>
        <w:t>Entirety; Amendments. This Amendment No. 1, including any exhibits or ancillary documents attached hereto or referenced herein, constitutes the full understanding of the Parties and a complete and exclusive statement of the terms of their agreement with respect to the specific subject matter hereof, and no terms, conditions, understandings or agreements purporting to modify or vary the terms thereof shall be binding unless hereafter made in a written instrument referencing this Agreement and signed by each of the Parties. Any sections of the Agreement not conflicting with the terms of this Amendment No. 1 shall remain unchanged and in full force and effect. Any terms and phases used herein, if not otherwise expressly defined in this Amendment No. 1, shall have the same meaning as under the Agreement. This Amendment No. 1 shall form part of and is hereby incorporated into the Agreement, and the Parties expressly agree to be bound by the terms and conditions hereof.</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mallCaps/>
          <w:sz w:val="20"/>
        </w:rPr>
        <w:t>In Witness Whereof</w:t>
      </w:r>
      <w:r>
        <w:rPr>
          <w:rFonts w:ascii="Times New Roman;serif" w:hAnsi="Times New Roman;serif"/>
          <w:b w:val="false"/>
          <w:sz w:val="20"/>
        </w:rPr>
        <w:t>, the Parties have caused this Agreement to be executed as of the Effective Date.</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 xml:space="preserve">REF: 00033430.1 </w:t>
      </w:r>
    </w:p>
    <w:p>
      <w:pPr>
        <w:pStyle w:val="TextBody"/>
        <w:spacing w:before="0" w:after="0"/>
        <w:jc w:val="right"/>
        <w:rPr>
          <w:rFonts w:ascii="Times New Roman;serif" w:hAnsi="Times New Roman;serif"/>
          <w:b w:val="false"/>
          <w:sz w:val="18"/>
        </w:rPr>
      </w:pPr>
      <w:r>
        <w:rPr>
          <w:rFonts w:ascii="Times New Roman;serif" w:hAnsi="Times New Roman;serif"/>
          <w:b w:val="false"/>
          <w:sz w:val="18"/>
        </w:rPr>
        <w:t>Confidential</w:t>
      </w:r>
    </w:p>
    <w:p>
      <w:pPr>
        <w:pStyle w:val="TextBody"/>
        <w:spacing w:before="0" w:after="0"/>
        <w:jc w:val="center"/>
        <w:rPr>
          <w:rFonts w:ascii="Times New Roman;serif" w:hAnsi="Times New Roman;serif"/>
          <w:b w:val="false"/>
          <w:sz w:val="18"/>
        </w:rPr>
      </w:pPr>
      <w:r>
        <w:rPr>
          <w:rFonts w:ascii="Times New Roman;serif" w:hAnsi="Times New Roman;serif"/>
          <w:b w:val="false"/>
          <w:sz w:val="18"/>
        </w:rPr>
        <w:t>1.</w:t>
      </w:r>
    </w:p>
    <w:p>
      <w:pPr>
        <w:pStyle w:val="TextBody"/>
        <w:spacing w:before="0" w:after="0"/>
        <w:jc w:val="left"/>
        <w:rPr>
          <w:rFonts w:ascii="Times New Roman;serif" w:hAnsi="Times New Roman;serif"/>
          <w:b w:val="false"/>
          <w:sz w:val="16"/>
        </w:rPr>
      </w:pPr>
      <w:r>
        <w:rPr>
          <w:rFonts w:ascii="Times New Roman;serif" w:hAnsi="Times New Roman;serif"/>
          <w:b w:val="false"/>
          <w:sz w:val="16"/>
        </w:rPr>
        <w:t>[*] = Certain confidential information contained in this document, marked by brackets, has been omitted because it is both (i) not material and (ii) would likely cause competitive harm to the company if publicly disclosed.</w:t>
      </w:r>
    </w:p>
    <w:p>
      <w:pPr>
        <w:pStyle w:val="TextBody"/>
        <w:spacing w:before="0" w:after="0"/>
        <w:jc w:val="left"/>
        <w:rPr/>
      </w:pPr>
      <w:r>
        <w:rPr/>
        <w:t> </w:t>
      </w:r>
    </w:p>
    <w:p>
      <w:pPr>
        <w:pStyle w:val="HorizontalLine"/>
        <w:rPr/>
      </w:pPr>
      <w:r>
        <w:rPr/>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EXECUTION VERSION</w:t>
      </w:r>
    </w:p>
    <w:p>
      <w:pPr>
        <w:pStyle w:val="TextBody"/>
        <w:spacing w:before="0" w:after="0"/>
        <w:jc w:val="left"/>
        <w:rPr/>
      </w:pPr>
      <w:r>
        <w:rPr/>
        <w:t> </w:t>
      </w:r>
    </w:p>
    <w:tbl>
      <w:tblPr>
        <w:tblW w:w="5338" w:type="dxa"/>
        <w:jc w:val="left"/>
        <w:tblInd w:w="0" w:type="dxa"/>
        <w:tblCellMar>
          <w:top w:w="28" w:type="dxa"/>
          <w:left w:w="28" w:type="dxa"/>
          <w:bottom w:w="28" w:type="dxa"/>
          <w:right w:w="28" w:type="dxa"/>
        </w:tblCellMar>
      </w:tblPr>
      <w:tblGrid>
        <w:gridCol w:w="1204"/>
        <w:gridCol w:w="2156"/>
        <w:gridCol w:w="146"/>
        <w:gridCol w:w="631"/>
        <w:gridCol w:w="1201"/>
      </w:tblGrid>
      <w:tr>
        <w:trPr/>
        <w:tc>
          <w:tcPr>
            <w:tcW w:w="1204" w:type="dxa"/>
            <w:tcBorders/>
            <w:shd w:fill="auto" w:val="clear"/>
            <w:vAlign w:val="center"/>
          </w:tcPr>
          <w:p>
            <w:pPr>
              <w:pStyle w:val="TableContents"/>
              <w:spacing w:before="0" w:after="283"/>
              <w:rPr>
                <w:sz w:val="4"/>
                <w:szCs w:val="4"/>
              </w:rPr>
            </w:pPr>
            <w:r>
              <w:rPr>
                <w:sz w:val="4"/>
                <w:szCs w:val="4"/>
              </w:rPr>
            </w:r>
          </w:p>
        </w:tc>
        <w:tc>
          <w:tcPr>
            <w:tcW w:w="21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r>
      <w:tr>
        <w:trPr/>
        <w:tc>
          <w:tcPr>
            <w:tcW w:w="3360"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mallCaps/>
                <w:sz w:val="20"/>
              </w:rPr>
            </w:pPr>
            <w:r>
              <w:rPr>
                <w:rFonts w:ascii="Times New Roman;serif" w:hAnsi="Times New Roman;serif"/>
                <w:b/>
                <w:smallCaps/>
                <w:sz w:val="20"/>
              </w:rPr>
              <w:t>Catalent Pharma Solutions, LLC</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83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mallCaps/>
                <w:sz w:val="20"/>
              </w:rPr>
            </w:pPr>
            <w:r>
              <w:rPr>
                <w:rFonts w:ascii="Times New Roman;serif" w:hAnsi="Times New Roman;serif"/>
                <w:b/>
                <w:smallCaps/>
                <w:sz w:val="20"/>
              </w:rPr>
              <w:t>Fibrogen, Inc.</w:t>
            </w:r>
          </w:p>
        </w:tc>
      </w:tr>
      <w:tr>
        <w:trPr/>
        <w:tc>
          <w:tcPr>
            <w:tcW w:w="120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2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w:t>
            </w:r>
          </w:p>
        </w:tc>
      </w:tr>
      <w:tr>
        <w:trPr/>
        <w:tc>
          <w:tcPr>
            <w:tcW w:w="12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2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2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2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2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2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08-Feb-2023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2023-Feb-09</w:t>
            </w:r>
          </w:p>
        </w:tc>
      </w:tr>
    </w:tbl>
    <w:p>
      <w:pPr>
        <w:pStyle w:val="TextBody"/>
        <w:spacing w:before="0" w:after="0"/>
        <w:jc w:val="left"/>
        <w:rPr/>
      </w:pPr>
      <w:r>
        <w:rPr/>
        <w:t> </w:t>
      </w:r>
    </w:p>
    <w:p>
      <w:pPr>
        <w:pStyle w:val="TextBody"/>
        <w:spacing w:before="11" w:after="0"/>
        <w:jc w:val="left"/>
        <w:rPr/>
      </w:pPr>
      <w:r>
        <w:rPr/>
        <w:t> </w:t>
      </w:r>
    </w:p>
    <w:p>
      <w:pPr>
        <w:pStyle w:val="TextBody"/>
        <w:spacing w:before="0" w:after="0"/>
        <w:jc w:val="both"/>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 xml:space="preserve">REF: 00033430.1 </w:t>
      </w:r>
    </w:p>
    <w:p>
      <w:pPr>
        <w:pStyle w:val="TextBody"/>
        <w:spacing w:before="0" w:after="0"/>
        <w:jc w:val="right"/>
        <w:rPr>
          <w:rFonts w:ascii="Times New Roman;serif" w:hAnsi="Times New Roman;serif"/>
          <w:b w:val="false"/>
          <w:sz w:val="18"/>
        </w:rPr>
      </w:pPr>
      <w:r>
        <w:rPr>
          <w:rFonts w:ascii="Times New Roman;serif" w:hAnsi="Times New Roman;serif"/>
          <w:b w:val="false"/>
          <w:sz w:val="18"/>
        </w:rPr>
        <w:t>Confidential</w:t>
      </w:r>
    </w:p>
    <w:p>
      <w:pPr>
        <w:pStyle w:val="TextBody"/>
        <w:spacing w:before="0" w:after="0"/>
        <w:jc w:val="center"/>
        <w:rPr>
          <w:rFonts w:ascii="Times New Roman;serif" w:hAnsi="Times New Roman;serif"/>
          <w:b w:val="false"/>
          <w:sz w:val="18"/>
        </w:rPr>
      </w:pPr>
      <w:r>
        <w:rPr>
          <w:rFonts w:ascii="Times New Roman;serif" w:hAnsi="Times New Roman;serif"/>
          <w:b w:val="false"/>
          <w:sz w:val="18"/>
        </w:rPr>
        <w:t>2.</w:t>
      </w:r>
    </w:p>
    <w:p>
      <w:pPr>
        <w:pStyle w:val="TextBody"/>
        <w:spacing w:before="0" w:after="0"/>
        <w:jc w:val="left"/>
        <w:rPr>
          <w:rFonts w:ascii="Times New Roman;serif" w:hAnsi="Times New Roman;serif"/>
          <w:b w:val="false"/>
          <w:sz w:val="16"/>
        </w:rPr>
      </w:pPr>
      <w:r>
        <w:rPr>
          <w:rFonts w:ascii="Times New Roman;serif" w:hAnsi="Times New Roman;serif"/>
          <w:b w:val="false"/>
          <w:sz w:val="16"/>
        </w:rPr>
        <w:t>[*] = Certain confidential information contained in this document, marked by brackets, has been omitted because it is both (i) not material and (ii) would likely cause competitive harm to the company if publicly disclosed.</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4" w:after="0"/>
        <w:jc w:val="left"/>
        <w:rPr/>
      </w:pPr>
      <w:r>
        <w:rPr/>
        <w:t> </w:t>
      </w:r>
    </w:p>
    <w:p>
      <w:pPr>
        <w:pStyle w:val="TextBody"/>
        <w:spacing w:before="72" w:after="0"/>
        <w:jc w:val="left"/>
        <w:rPr>
          <w:rFonts w:ascii="Times New Roman;serif" w:hAnsi="Times New Roman;serif"/>
          <w:b/>
          <w:sz w:val="20"/>
          <w:u w:val="single"/>
        </w:rPr>
      </w:pPr>
      <w:r>
        <w:rPr>
          <w:rFonts w:ascii="Times New Roman;serif" w:hAnsi="Times New Roman;serif"/>
          <w:b/>
          <w:sz w:val="20"/>
          <w:u w:val="single"/>
        </w:rPr>
        <w:t>AMENDMENT NO. 1 ATTACHMENT A</w:t>
      </w:r>
    </w:p>
    <w:p>
      <w:pPr>
        <w:pStyle w:val="TextBody"/>
        <w:spacing w:before="11" w:after="0"/>
        <w:jc w:val="left"/>
        <w:rPr/>
      </w:pPr>
      <w:r>
        <w:rPr/>
        <w:t> </w:t>
      </w:r>
    </w:p>
    <w:p>
      <w:pPr>
        <w:pStyle w:val="TextBody"/>
        <w:spacing w:before="72" w:after="0"/>
        <w:jc w:val="left"/>
        <w:rPr>
          <w:rFonts w:ascii="Times New Roman;serif" w:hAnsi="Times New Roman;serif"/>
          <w:b/>
          <w:sz w:val="20"/>
        </w:rPr>
      </w:pPr>
      <w:r>
        <w:rPr>
          <w:rFonts w:ascii="Times New Roman;serif" w:hAnsi="Times New Roman;serif"/>
          <w:b/>
          <w:sz w:val="20"/>
        </w:rPr>
        <w:t>UNIT PRICING, PURCHASE ORDERS AND ADDITIONAL FEES</w:t>
      </w:r>
    </w:p>
    <w:p>
      <w:pPr>
        <w:pStyle w:val="TextBody"/>
        <w:spacing w:before="7" w:after="0"/>
        <w:jc w:val="both"/>
        <w:rPr>
          <w:rFonts w:ascii="Times New Roman" w:hAnsi="Times New Roman"/>
          <w:sz w:val="20"/>
        </w:rPr>
      </w:pPr>
      <w:r>
        <w:rPr>
          <w:rFonts w:ascii="Times New Roman;serif" w:hAnsi="Times New Roman;serif"/>
          <w:b/>
          <w:sz w:val="20"/>
        </w:rPr>
        <w:t>[*</w:t>
      </w:r>
      <w:r>
        <w:rPr>
          <w:rFonts w:ascii="Times New Roman;serif" w:hAnsi="Times New Roman;serif"/>
          <w:b w:val="false"/>
          <w:sz w:val="20"/>
        </w:rPr>
        <w:t>]</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58" w:after="0"/>
        <w:jc w:val="center"/>
        <w:rPr>
          <w:rFonts w:ascii="Times New Roman;serif" w:hAnsi="Times New Roman;serif"/>
          <w:b/>
          <w:sz w:val="20"/>
        </w:rPr>
      </w:pPr>
      <w:r>
        <w:rPr>
          <w:rFonts w:ascii="Times New Roman;serif" w:hAnsi="Times New Roman;serif"/>
          <w:b/>
          <w:sz w:val="20"/>
        </w:rPr>
        <w:t>UNIT PRICING – [*]</w:t>
      </w:r>
    </w:p>
    <w:p>
      <w:pPr>
        <w:pStyle w:val="TextBody"/>
        <w:spacing w:before="15" w:after="0"/>
        <w:jc w:val="left"/>
        <w:rPr/>
      </w:pPr>
      <w:r>
        <w:rPr/>
        <w:t> </w:t>
      </w:r>
    </w:p>
    <w:p>
      <w:pPr>
        <w:pStyle w:val="TextBody"/>
        <w:spacing w:before="6" w:after="0"/>
        <w:jc w:val="left"/>
        <w:rPr/>
      </w:pPr>
      <w:r>
        <w:rPr/>
        <w:t> </w:t>
      </w:r>
    </w:p>
    <w:p>
      <w:pPr>
        <w:pStyle w:val="TextBody"/>
        <w:spacing w:before="6"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6"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t>
      </w:r>
    </w:p>
    <w:p>
      <w:pPr>
        <w:pStyle w:val="TextBody"/>
        <w:spacing w:before="0" w:after="0"/>
        <w:jc w:val="left"/>
        <w:rPr/>
      </w:pPr>
      <w:r>
        <w:rPr/>
        <w:t> </w:t>
      </w:r>
    </w:p>
    <w:p>
      <w:pPr>
        <w:pStyle w:val="HorizontalLine"/>
        <w:rPr/>
      </w:pPr>
      <w:r>
        <w:rPr/>
      </w:r>
      <w:r>
        <w:br w:type="page"/>
      </w:r>
    </w:p>
    <w:p>
      <w:pPr>
        <w:pStyle w:val="TextBody"/>
        <w:spacing w:before="0" w:after="120"/>
        <w:jc w:val="right"/>
        <w:rPr>
          <w:rFonts w:ascii="Times New Roman;serif" w:hAnsi="Times New Roman;serif"/>
          <w:b/>
          <w:sz w:val="20"/>
        </w:rPr>
      </w:pPr>
      <w:bookmarkStart w:id="27" w:name="fgen-ex10_3.htm"/>
      <w:bookmarkStart w:id="28" w:name="ksfgenex10_3"/>
      <w:bookmarkEnd w:id="27"/>
      <w:bookmarkEnd w:id="28"/>
      <w:r>
        <w:rPr>
          <w:rFonts w:ascii="Times New Roman;serif" w:hAnsi="Times New Roman;serif"/>
          <w:b/>
          <w:sz w:val="20"/>
        </w:rPr>
        <w:t>Exhibit 10.3</w:t>
      </w:r>
    </w:p>
    <w:p>
      <w:pPr>
        <w:pStyle w:val="TextBody"/>
        <w:spacing w:before="0" w:after="120"/>
        <w:jc w:val="right"/>
        <w:rPr/>
      </w:pPr>
      <w:r>
        <w:rPr/>
        <w:t> </w:t>
      </w:r>
    </w:p>
    <w:p>
      <w:pPr>
        <w:pStyle w:val="TextBody"/>
        <w:spacing w:before="0" w:after="120"/>
        <w:jc w:val="center"/>
        <w:rPr>
          <w:rFonts w:ascii="Times New Roman;serif" w:hAnsi="Times New Roman;serif"/>
          <w:b/>
          <w:sz w:val="20"/>
        </w:rPr>
      </w:pPr>
      <w:r>
        <w:rPr>
          <w:rFonts w:ascii="Times New Roman;serif" w:hAnsi="Times New Roman;serif"/>
          <w:b/>
          <w:sz w:val="20"/>
        </w:rPr>
        <w:t>FibroGen, Inc.</w:t>
      </w:r>
    </w:p>
    <w:p>
      <w:pPr>
        <w:pStyle w:val="TextBody"/>
        <w:spacing w:before="0" w:after="120"/>
        <w:jc w:val="center"/>
        <w:rPr>
          <w:rFonts w:ascii="Times New Roman;serif" w:hAnsi="Times New Roman;serif"/>
          <w:b/>
          <w:sz w:val="20"/>
        </w:rPr>
      </w:pPr>
      <w:r>
        <w:rPr>
          <w:rFonts w:ascii="Times New Roman;serif" w:hAnsi="Times New Roman;serif"/>
          <w:b/>
          <w:sz w:val="20"/>
        </w:rPr>
        <w:t>Non-Employee Director Compensation Policy</w:t>
      </w:r>
    </w:p>
    <w:p>
      <w:pPr>
        <w:pStyle w:val="TextBody"/>
        <w:spacing w:before="0" w:after="0"/>
        <w:jc w:val="center"/>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This Non-Employee Director Compensation Policy (the “</w:t>
      </w:r>
      <w:r>
        <w:rPr>
          <w:rFonts w:ascii="Times New Roman;serif" w:hAnsi="Times New Roman;serif"/>
          <w:b/>
          <w:i/>
          <w:sz w:val="20"/>
        </w:rPr>
        <w:t>Policy</w:t>
      </w:r>
      <w:r>
        <w:rPr>
          <w:rFonts w:ascii="Times New Roman" w:hAnsi="Times New Roman"/>
          <w:sz w:val="20"/>
        </w:rPr>
        <w:t>”</w:t>
      </w:r>
      <w:r>
        <w:rPr>
          <w:rFonts w:ascii="Times New Roman;serif" w:hAnsi="Times New Roman;serif"/>
          <w:b w:val="false"/>
          <w:sz w:val="20"/>
        </w:rPr>
        <w:t>) documents the terms and conditions of the cash and equity compensation that non-employee members of the Board of Directors (the “</w:t>
      </w:r>
      <w:r>
        <w:rPr>
          <w:rFonts w:ascii="Times New Roman;serif" w:hAnsi="Times New Roman;serif"/>
          <w:b/>
          <w:i/>
          <w:sz w:val="20"/>
        </w:rPr>
        <w:t>Board</w:t>
      </w:r>
      <w:r>
        <w:rPr>
          <w:rFonts w:ascii="Times New Roman" w:hAnsi="Times New Roman"/>
          <w:sz w:val="20"/>
        </w:rPr>
        <w:t>”</w:t>
      </w:r>
      <w:r>
        <w:rPr>
          <w:rFonts w:ascii="Times New Roman;serif" w:hAnsi="Times New Roman;serif"/>
          <w:b w:val="false"/>
          <w:sz w:val="20"/>
        </w:rPr>
        <w:t>) of FibroGen, Inc. (“</w:t>
      </w:r>
      <w:r>
        <w:rPr>
          <w:rFonts w:ascii="Times New Roman;serif" w:hAnsi="Times New Roman;serif"/>
          <w:b/>
          <w:i/>
          <w:sz w:val="20"/>
        </w:rPr>
        <w:t>FibroGen</w:t>
      </w:r>
      <w:r>
        <w:rPr>
          <w:rFonts w:ascii="Times New Roman" w:hAnsi="Times New Roman"/>
          <w:sz w:val="20"/>
        </w:rPr>
        <w:t>”</w:t>
      </w:r>
      <w:r>
        <w:rPr>
          <w:rFonts w:ascii="Times New Roman;serif" w:hAnsi="Times New Roman;serif"/>
          <w:b w:val="false"/>
          <w:sz w:val="20"/>
        </w:rPr>
        <w:t>) may earn for their service on the Board from and after the initial public offering of the common stock of FibroGen.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Eligible Directors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Only members of the Board who are not concurrently employees of FibroGen are eligible for compensation under this Policy (each such member, a “</w:t>
      </w:r>
      <w:r>
        <w:rPr>
          <w:rFonts w:ascii="Times New Roman;serif" w:hAnsi="Times New Roman;serif"/>
          <w:b/>
          <w:i/>
          <w:sz w:val="20"/>
        </w:rPr>
        <w:t>Director</w:t>
      </w:r>
      <w:r>
        <w:rPr>
          <w:rFonts w:ascii="Times New Roman" w:hAnsi="Times New Roman"/>
          <w:sz w:val="20"/>
        </w:rPr>
        <w:t>”</w:t>
      </w:r>
      <w:r>
        <w:rPr>
          <w:rFonts w:ascii="Times New Roman;serif" w:hAnsi="Times New Roman;serif"/>
          <w:b w:val="false"/>
          <w:sz w:val="20"/>
        </w:rPr>
        <w:t>). Any director may also decline compensation per policy of their affiliated entity or for any other reason prior to the start of the period of service to which the compensation relates.</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Annual Cash Compensation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annual cash compensation set forth below is payable in equal quarterly installments, in arrears, on the last day of each quarter in which the service occurred, pro-rated for any partial quarters of service. All annual cash fees are vested upon payment.</w:t>
      </w:r>
      <w:r>
        <w:rPr>
          <w:rFonts w:ascii="Times New Roman" w:hAnsi="Times New Roman"/>
          <w:sz w:val="20"/>
        </w:rPr>
        <w:t xml:space="preserve"> </w:t>
      </w:r>
    </w:p>
    <w:p>
      <w:pPr>
        <w:pStyle w:val="TextBody"/>
        <w:spacing w:before="0" w:after="0"/>
        <w:jc w:val="left"/>
        <w:rPr/>
      </w:pPr>
      <w:r>
        <w:rPr/>
        <w:t> </w:t>
      </w:r>
    </w:p>
    <w:p>
      <w:pPr>
        <w:pStyle w:val="TextBody"/>
        <w:spacing w:before="0" w:after="0"/>
        <w:jc w:val="both"/>
        <w:rPr>
          <w:rFonts w:ascii="Times New Roman" w:hAnsi="Times New Roman"/>
          <w:b w:val="false"/>
          <w:sz w:val="20"/>
          <w:u w:val="single"/>
        </w:rPr>
      </w:pPr>
      <w:r>
        <w:rPr>
          <w:rFonts w:ascii="Times New Roman" w:hAnsi="Times New Roman"/>
          <w:b w:val="false"/>
          <w:sz w:val="20"/>
          <w:u w:val="single"/>
        </w:rPr>
        <w:t>1.</w:t>
      </w:r>
    </w:p>
    <w:p>
      <w:pPr>
        <w:pStyle w:val="TextBody"/>
        <w:jc w:val="both"/>
        <w:rPr>
          <w:rFonts w:ascii="Times New Roman;serif" w:hAnsi="Times New Roman;serif"/>
          <w:b w:val="false"/>
          <w:sz w:val="20"/>
          <w:u w:val="single"/>
        </w:rPr>
      </w:pPr>
      <w:r>
        <w:rPr>
          <w:rFonts w:ascii="Times New Roman;serif" w:hAnsi="Times New Roman;serif"/>
          <w:b w:val="false"/>
          <w:sz w:val="20"/>
          <w:u w:val="single"/>
        </w:rPr>
        <w:t xml:space="preserve">Annual Board Service Retainer: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 All Directors: $50,000</w:t>
      </w:r>
    </w:p>
    <w:p>
      <w:pPr>
        <w:pStyle w:val="TextBody"/>
        <w:spacing w:before="0" w:after="0"/>
        <w:jc w:val="both"/>
        <w:rPr/>
      </w:pPr>
      <w:r>
        <w:rPr/>
        <w:t> </w:t>
      </w:r>
    </w:p>
    <w:p>
      <w:pPr>
        <w:pStyle w:val="TextBody"/>
        <w:spacing w:before="0" w:after="0"/>
        <w:jc w:val="both"/>
        <w:rPr>
          <w:rFonts w:ascii="Times New Roman" w:hAnsi="Times New Roman"/>
          <w:b w:val="false"/>
          <w:sz w:val="20"/>
          <w:u w:val="single"/>
        </w:rPr>
      </w:pPr>
      <w:r>
        <w:rPr>
          <w:rFonts w:ascii="Times New Roman" w:hAnsi="Times New Roman"/>
          <w:b w:val="false"/>
          <w:sz w:val="20"/>
          <w:u w:val="single"/>
        </w:rPr>
        <w:t>2.</w:t>
      </w:r>
    </w:p>
    <w:p>
      <w:pPr>
        <w:pStyle w:val="TextBody"/>
        <w:jc w:val="both"/>
        <w:rPr>
          <w:rFonts w:ascii="Times New Roman;serif" w:hAnsi="Times New Roman;serif"/>
          <w:b w:val="false"/>
          <w:sz w:val="20"/>
          <w:u w:val="single"/>
        </w:rPr>
      </w:pPr>
      <w:r>
        <w:rPr>
          <w:rFonts w:ascii="Times New Roman;serif" w:hAnsi="Times New Roman;serif"/>
          <w:b w:val="false"/>
          <w:sz w:val="20"/>
          <w:u w:val="single"/>
        </w:rPr>
        <w:t>Annual Committee Chair Service Fee (in lieu of non-Chair Service fee):</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 Chairman of the Audit Committee: $20,000</w:t>
      </w:r>
    </w:p>
    <w:p>
      <w:pPr>
        <w:pStyle w:val="TextBody"/>
        <w:spacing w:before="0" w:after="0"/>
        <w:jc w:val="both"/>
        <w:rPr>
          <w:rFonts w:ascii="Times New Roman;serif" w:hAnsi="Times New Roman;serif"/>
          <w:b w:val="false"/>
          <w:sz w:val="20"/>
        </w:rPr>
      </w:pPr>
      <w:r>
        <w:rPr>
          <w:rFonts w:ascii="Times New Roman;serif" w:hAnsi="Times New Roman;serif"/>
          <w:b w:val="false"/>
          <w:sz w:val="20"/>
        </w:rPr>
        <w:t>b. Chairman of the Compensation Committee: $17,500</w:t>
      </w:r>
    </w:p>
    <w:p>
      <w:pPr>
        <w:pStyle w:val="TextBody"/>
        <w:spacing w:before="0" w:after="0"/>
        <w:jc w:val="both"/>
        <w:rPr>
          <w:rFonts w:ascii="Times New Roman;serif" w:hAnsi="Times New Roman;serif"/>
          <w:b w:val="false"/>
          <w:sz w:val="20"/>
        </w:rPr>
      </w:pPr>
      <w:r>
        <w:rPr>
          <w:rFonts w:ascii="Times New Roman;serif" w:hAnsi="Times New Roman;serif"/>
          <w:b w:val="false"/>
          <w:sz w:val="20"/>
        </w:rPr>
        <w:t>c. Chairman of the Nominating and Governance Committee: $10,000</w:t>
      </w:r>
    </w:p>
    <w:p>
      <w:pPr>
        <w:pStyle w:val="TextBody"/>
        <w:spacing w:before="0" w:after="0"/>
        <w:jc w:val="both"/>
        <w:rPr/>
      </w:pPr>
      <w:r>
        <w:rPr/>
        <w:t> </w:t>
      </w:r>
    </w:p>
    <w:p>
      <w:pPr>
        <w:pStyle w:val="TextBody"/>
        <w:spacing w:before="0" w:after="0"/>
        <w:jc w:val="both"/>
        <w:rPr>
          <w:rFonts w:ascii="Times New Roman" w:hAnsi="Times New Roman"/>
          <w:b w:val="false"/>
          <w:sz w:val="20"/>
          <w:u w:val="single"/>
        </w:rPr>
      </w:pPr>
      <w:r>
        <w:rPr>
          <w:rFonts w:ascii="Times New Roman" w:hAnsi="Times New Roman"/>
          <w:b w:val="false"/>
          <w:sz w:val="20"/>
          <w:u w:val="single"/>
        </w:rPr>
        <w:t>3.</w:t>
      </w:r>
    </w:p>
    <w:p>
      <w:pPr>
        <w:pStyle w:val="TextBody"/>
        <w:jc w:val="both"/>
        <w:rPr>
          <w:rFonts w:ascii="Times New Roman;serif" w:hAnsi="Times New Roman;serif"/>
          <w:b w:val="false"/>
          <w:sz w:val="20"/>
          <w:u w:val="single"/>
        </w:rPr>
      </w:pPr>
      <w:r>
        <w:rPr>
          <w:rFonts w:ascii="Times New Roman;serif" w:hAnsi="Times New Roman;serif"/>
          <w:b w:val="false"/>
          <w:sz w:val="20"/>
          <w:u w:val="single"/>
        </w:rPr>
        <w:t xml:space="preserve">Annual Committee Member (non-Chair) Service Fee: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 Audit Committee: $10,000</w:t>
      </w:r>
    </w:p>
    <w:p>
      <w:pPr>
        <w:pStyle w:val="TextBody"/>
        <w:spacing w:before="0" w:after="0"/>
        <w:jc w:val="both"/>
        <w:rPr>
          <w:rFonts w:ascii="Times New Roman;serif" w:hAnsi="Times New Roman;serif"/>
          <w:b w:val="false"/>
          <w:sz w:val="20"/>
        </w:rPr>
      </w:pPr>
      <w:r>
        <w:rPr>
          <w:rFonts w:ascii="Times New Roman;serif" w:hAnsi="Times New Roman;serif"/>
          <w:b w:val="false"/>
          <w:sz w:val="20"/>
        </w:rPr>
        <w:t>b. Compensation Committee: $7,500</w:t>
      </w:r>
    </w:p>
    <w:p>
      <w:pPr>
        <w:pStyle w:val="TextBody"/>
        <w:spacing w:before="0" w:after="0"/>
        <w:jc w:val="both"/>
        <w:rPr>
          <w:rFonts w:ascii="Times New Roman;serif" w:hAnsi="Times New Roman;serif"/>
          <w:b w:val="false"/>
          <w:sz w:val="20"/>
        </w:rPr>
      </w:pPr>
      <w:r>
        <w:rPr>
          <w:rFonts w:ascii="Times New Roman;serif" w:hAnsi="Times New Roman;serif"/>
          <w:b w:val="false"/>
          <w:sz w:val="20"/>
        </w:rPr>
        <w:t>c. Nominating and Governance Committee: $5,000</w:t>
      </w:r>
    </w:p>
    <w:p>
      <w:pPr>
        <w:pStyle w:val="TextBody"/>
        <w:spacing w:before="0" w:after="0"/>
        <w:jc w:val="both"/>
        <w:rPr/>
      </w:pPr>
      <w:r>
        <w:rPr/>
        <w:t> </w:t>
      </w:r>
    </w:p>
    <w:p>
      <w:pPr>
        <w:pStyle w:val="TextBody"/>
        <w:spacing w:before="0" w:after="0"/>
        <w:jc w:val="both"/>
        <w:rPr>
          <w:rFonts w:ascii="Times New Roman" w:hAnsi="Times New Roman"/>
          <w:b w:val="false"/>
          <w:sz w:val="20"/>
          <w:u w:val="single"/>
        </w:rPr>
      </w:pPr>
      <w:r>
        <w:rPr>
          <w:rFonts w:ascii="Times New Roman" w:hAnsi="Times New Roman"/>
          <w:b w:val="false"/>
          <w:sz w:val="20"/>
          <w:u w:val="single"/>
        </w:rPr>
        <w:t>4.</w:t>
      </w:r>
    </w:p>
    <w:p>
      <w:pPr>
        <w:pStyle w:val="TextBody"/>
        <w:jc w:val="both"/>
        <w:rPr>
          <w:rFonts w:ascii="Times New Roman;serif" w:hAnsi="Times New Roman;serif"/>
          <w:b w:val="false"/>
          <w:sz w:val="20"/>
          <w:u w:val="single"/>
        </w:rPr>
      </w:pPr>
      <w:r>
        <w:rPr>
          <w:rFonts w:ascii="Times New Roman;serif" w:hAnsi="Times New Roman;serif"/>
          <w:b w:val="false"/>
          <w:sz w:val="20"/>
          <w:u w:val="single"/>
        </w:rPr>
        <w:t xml:space="preserve">Annual Non-Executive Chairperson/Lead Independent Director Service Retainer: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 Lead Independent Director: $22,500</w:t>
      </w:r>
    </w:p>
    <w:p>
      <w:pPr>
        <w:pStyle w:val="TextBody"/>
        <w:spacing w:before="0" w:after="0"/>
        <w:jc w:val="both"/>
        <w:rPr>
          <w:rFonts w:ascii="Times New Roman;serif" w:hAnsi="Times New Roman;serif"/>
          <w:b w:val="false"/>
          <w:sz w:val="20"/>
        </w:rPr>
      </w:pPr>
      <w:r>
        <w:rPr>
          <w:rFonts w:ascii="Times New Roman;serif" w:hAnsi="Times New Roman;serif"/>
          <w:b w:val="false"/>
          <w:sz w:val="20"/>
        </w:rPr>
        <w:t>b. Non-Executive Chairperson: $100,000</w:t>
      </w:r>
    </w:p>
    <w:p>
      <w:pPr>
        <w:pStyle w:val="TextBody"/>
        <w:spacing w:before="0" w:after="0"/>
        <w:jc w:val="both"/>
        <w:rPr/>
      </w:pPr>
      <w:r>
        <w:rPr/>
        <w:t> </w:t>
      </w:r>
    </w:p>
    <w:p>
      <w:pPr>
        <w:pStyle w:val="TextBody"/>
        <w:spacing w:before="0" w:after="0"/>
        <w:jc w:val="both"/>
        <w:rPr>
          <w:rFonts w:ascii="Times New Roman" w:hAnsi="Times New Roman"/>
          <w:b w:val="false"/>
          <w:sz w:val="20"/>
          <w:u w:val="single"/>
        </w:rPr>
      </w:pPr>
      <w:r>
        <w:rPr>
          <w:rFonts w:ascii="Times New Roman" w:hAnsi="Times New Roman"/>
          <w:b w:val="false"/>
          <w:sz w:val="20"/>
          <w:u w:val="single"/>
        </w:rPr>
        <w:t>5.</w:t>
      </w:r>
    </w:p>
    <w:p>
      <w:pPr>
        <w:pStyle w:val="TextBody"/>
        <w:jc w:val="both"/>
        <w:rPr>
          <w:rFonts w:ascii="Times New Roman;serif" w:hAnsi="Times New Roman;serif"/>
          <w:b w:val="false"/>
          <w:sz w:val="20"/>
          <w:u w:val="single"/>
        </w:rPr>
      </w:pPr>
      <w:r>
        <w:rPr>
          <w:rFonts w:ascii="Times New Roman;serif" w:hAnsi="Times New Roman;serif"/>
          <w:b w:val="false"/>
          <w:sz w:val="20"/>
          <w:u w:val="single"/>
        </w:rPr>
        <w:t>Annual Scientific Advisory Board Service Fee:</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 $25,000</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Equity Compensation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Equity awards will be granted under the FibroGen, Inc. 2014 Equity Incentive Plan (or any successor thereto, the “</w:t>
      </w:r>
      <w:r>
        <w:rPr>
          <w:rFonts w:ascii="Times New Roman;serif" w:hAnsi="Times New Roman;serif"/>
          <w:b/>
          <w:i/>
          <w:sz w:val="20"/>
        </w:rPr>
        <w:t>Plan</w:t>
      </w:r>
      <w:r>
        <w:rPr>
          <w:rFonts w:ascii="Times New Roman" w:hAnsi="Times New Roman"/>
          <w:sz w:val="20"/>
        </w:rPr>
        <w:t>”</w:t>
      </w:r>
      <w:r>
        <w:rPr>
          <w:rFonts w:ascii="Times New Roman;serif" w:hAnsi="Times New Roman;serif"/>
          <w:b w:val="false"/>
          <w:sz w:val="20"/>
        </w:rPr>
        <w:t>). All stock options granted under this policy will be non-statutory stock options, with an exercise price per share equal to 100% of the Fair Market Value (as defined in the Plan) of the underlying Company common stock on the date of grant, and a term of ten (10) years from the date of grant (subject to earlier termination in connection with a termination of service or a corporate transaction as provided in the Plan). All equity awards granted under this Policy will be documented on the applicable form of equity award agreement most recently approved for use by the Board (or a duly authorized committee thereof) for Directors. The terms of the equity awards described in this Policy will be automatically adjusted upon any Capitalization Adjustment (as defined and provided for under the Plan).</w:t>
      </w:r>
    </w:p>
    <w:p>
      <w:pPr>
        <w:pStyle w:val="TextBody"/>
        <w:spacing w:before="0" w:after="0"/>
        <w:jc w:val="both"/>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both"/>
        <w:rPr>
          <w:rFonts w:ascii="Times New Roman" w:hAnsi="Times New Roman"/>
          <w:sz w:val="20"/>
        </w:rPr>
      </w:pPr>
      <w:r>
        <w:rPr>
          <w:rFonts w:ascii="Times New Roman;serif" w:hAnsi="Times New Roman;serif"/>
          <w:b w:val="false"/>
          <w:sz w:val="20"/>
        </w:rPr>
        <w:t xml:space="preserve">1. </w:t>
      </w:r>
      <w:r>
        <w:rPr>
          <w:rFonts w:ascii="Times New Roman;serif" w:hAnsi="Times New Roman;serif"/>
          <w:b w:val="false"/>
          <w:sz w:val="20"/>
          <w:u w:val="single"/>
        </w:rPr>
        <w:t>Initial Grant</w:t>
      </w:r>
      <w:r>
        <w:rPr>
          <w:rFonts w:ascii="Times New Roman;serif" w:hAnsi="Times New Roman;serif"/>
          <w:b w:val="false"/>
          <w:sz w:val="20"/>
        </w:rPr>
        <w:t>: On the date of the Director’s initial election or appointment to the Board (or, if such date is not a market trading day, the first market trading day thereafter), the Director will be automatically, and without further action by the Board, granted a stock option award with an aggregate value of $142,000 and a Restricted Stock Unit (“RSU”) award with an aggregate value of $142,000. Such awards will vest in equal quarterly installments over three years from the grant date, subject to the Director’s Continuous Service. A Director who, in the one year prior to his or her initial election to serve on the Board as a Director, served as an employee of FibroGen or one of its subsidiaries, will not be eligible for an initial grant.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 xml:space="preserve">2. </w:t>
      </w:r>
      <w:r>
        <w:rPr>
          <w:rFonts w:ascii="Times New Roman;serif" w:hAnsi="Times New Roman;serif"/>
          <w:b w:val="false"/>
          <w:sz w:val="20"/>
          <w:u w:val="single"/>
        </w:rPr>
        <w:t>Annual Grant</w:t>
      </w:r>
      <w:r>
        <w:rPr>
          <w:rFonts w:ascii="Times New Roman;serif" w:hAnsi="Times New Roman;serif"/>
          <w:b w:val="false"/>
          <w:sz w:val="20"/>
        </w:rPr>
        <w:t>: On the date of each Company annual stockholder meeting, each person who is elected or appointed as a Director, and each other Director who continues to serve as a Director immediately after such annual stockholder meeting, will be automatically, and without further action by the Board, granted a stock option award with an aggregate value of $142,000 and an RSU grant with an aggregate value of $142,000. Such options and RSUs will vest upon the earlier of (x) June 16 of the following year and (y) the following year’s annual stockholder meeting, subject to the Director’s Continuous Service.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 xml:space="preserve">3. </w:t>
      </w:r>
      <w:r>
        <w:rPr>
          <w:rFonts w:ascii="Times New Roman;serif" w:hAnsi="Times New Roman;serif"/>
          <w:b w:val="false"/>
          <w:sz w:val="20"/>
          <w:u w:val="single"/>
        </w:rPr>
        <w:t>Prorated Annual Grants</w:t>
      </w:r>
      <w:r>
        <w:rPr>
          <w:rFonts w:ascii="Times New Roman;serif" w:hAnsi="Times New Roman;serif"/>
          <w:b w:val="false"/>
          <w:sz w:val="20"/>
        </w:rPr>
        <w:t>. If a Director is elected or appointed to the Board at a time other than at the annual stockholder meeting, then on the date of such election or appointment (or, if such date is not a market trading day, the first market trading day thereafter), the Director will be automatically, and without further action by the Board, granted (a) a stock option award with an aggregate value of $142,000 multiplied by the Applicable Fraction (as defined below) and (b) an RSU grant with an aggregate value of $142,000 multiplied by the Applicable Fraction (a “</w:t>
      </w:r>
      <w:r>
        <w:rPr>
          <w:rFonts w:ascii="Times New Roman;serif" w:hAnsi="Times New Roman;serif"/>
          <w:b/>
          <w:i/>
          <w:sz w:val="20"/>
        </w:rPr>
        <w:t>Prorated Annual Grant</w:t>
      </w:r>
      <w:r>
        <w:rPr>
          <w:rFonts w:ascii="Times New Roman" w:hAnsi="Times New Roman"/>
          <w:sz w:val="20"/>
        </w:rPr>
        <w:t>”</w:t>
      </w:r>
      <w:r>
        <w:rPr>
          <w:rFonts w:ascii="Times New Roman;serif" w:hAnsi="Times New Roman;serif"/>
          <w:b w:val="false"/>
          <w:sz w:val="20"/>
        </w:rPr>
        <w:t>). The “</w:t>
      </w:r>
      <w:r>
        <w:rPr>
          <w:rFonts w:ascii="Times New Roman;serif" w:hAnsi="Times New Roman;serif"/>
          <w:b/>
          <w:i/>
          <w:sz w:val="20"/>
        </w:rPr>
        <w:t>Applicable Fraction</w:t>
      </w:r>
      <w:r>
        <w:rPr>
          <w:rFonts w:ascii="Times New Roman" w:hAnsi="Times New Roman"/>
          <w:sz w:val="20"/>
        </w:rPr>
        <w:t xml:space="preserve">” </w:t>
      </w:r>
      <w:r>
        <w:rPr>
          <w:rFonts w:ascii="Times New Roman;serif" w:hAnsi="Times New Roman;serif"/>
          <w:b w:val="false"/>
          <w:sz w:val="20"/>
        </w:rPr>
        <w:t>means a fraction with (a) a numerator equal to the number of days between the date of the Director’s initial election or appointment to the Board and the date which is the first anniversary of the date of the most recent annual stockholder meeting occurring before the Director is elected or appointed to the Board, and (b) a denominator equal to 365.</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4. Option Value. The value of a stock option to be granted under the Director Compensation Policy shall be determined using the same method the Company uses to calculate stock option awards to its employees, as approved by the Compensation Committee of the Board, using the grant date fair value, rounding down to the nearest share.</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5. RSU Value. The number of shares subject to RSUs granted under the Director Compensation Policy shall be determined based on the closing price on the NASDAQ of the Company’s common on the grant date, rounded down to the nearest share.</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 xml:space="preserve">6. </w:t>
      </w:r>
      <w:r>
        <w:rPr>
          <w:rFonts w:ascii="Times New Roman;serif" w:hAnsi="Times New Roman;serif"/>
          <w:b w:val="false"/>
          <w:sz w:val="20"/>
          <w:u w:val="single"/>
        </w:rPr>
        <w:t>Vesting</w:t>
      </w:r>
      <w:r>
        <w:rPr>
          <w:rFonts w:ascii="Times New Roman;serif" w:hAnsi="Times New Roman;serif"/>
          <w:b w:val="false"/>
          <w:sz w:val="20"/>
        </w:rPr>
        <w:t>. Vesting of awards granted under this Policy will cease if the Director resigns from the Board or otherwise ceases to serve as a Director, unless the Board determines that the circumstances warrant continuation of vesting. All equity awards granted under this Policy will vest in full immediately prior to a Change in Control (as defined in the Plan), subject to the Director’s Continuous Service (as defined in the Plan) as of the day prior to the closing of the Change in Control.</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Reimbursement of Expenses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Company will reimburse Directors for ordinary, necessary and reasonable out-of-pocket travel expenses to cover in-person attendance at and participation in Board meetings, and other activities performed in the course of their service on the Board.</w:t>
      </w:r>
    </w:p>
    <w:p>
      <w:pPr>
        <w:pStyle w:val="TextBody"/>
        <w:spacing w:before="0" w:after="0"/>
        <w:jc w:val="both"/>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both"/>
        <w:rPr>
          <w:rFonts w:ascii="Times New Roman;serif" w:hAnsi="Times New Roman;serif"/>
          <w:b/>
          <w:sz w:val="20"/>
        </w:rPr>
      </w:pPr>
      <w:r>
        <w:rPr>
          <w:rFonts w:ascii="Times New Roman;serif" w:hAnsi="Times New Roman;serif"/>
          <w:b/>
          <w:sz w:val="20"/>
        </w:rPr>
        <w:t>Philosophy</w:t>
      </w:r>
    </w:p>
    <w:p>
      <w:pPr>
        <w:pStyle w:val="TextBody"/>
        <w:spacing w:before="198" w:after="0"/>
        <w:jc w:val="both"/>
        <w:rPr>
          <w:rFonts w:ascii="Times New Roman" w:hAnsi="Times New Roman"/>
          <w:sz w:val="20"/>
        </w:rPr>
      </w:pPr>
      <w:r>
        <w:rPr>
          <w:rFonts w:ascii="Times New Roman;serif" w:hAnsi="Times New Roman;serif"/>
          <w:b w:val="false"/>
          <w:sz w:val="20"/>
        </w:rPr>
        <w:t>This Policy is designed to attract and retain experienced, talented individuals to serve on the Board. The Board anticipates that the Board, or a duly authorized committee thereof, will generally review Director compensation on an annual basis following the initial public offering. The Policy, as amended from time to time, may take into account the time commitment expected of Directors, best practices and market rates in Director compensation, the economic position of FibroGen, broader economic conditions, historical compensation structure, the advice of the compensation consultant that the Compensation Committee or the Board may retain from time to time, and the potential dilutive effect of equity awards on our stockholders.</w:t>
      </w:r>
      <w:r>
        <w:rPr>
          <w:rFonts w:ascii="Times New Roman" w:hAnsi="Times New Roman"/>
          <w:sz w:val="20"/>
        </w:rPr>
        <w:t xml:space="preserve"> </w:t>
      </w:r>
    </w:p>
    <w:p>
      <w:pPr>
        <w:pStyle w:val="TextBody"/>
        <w:spacing w:before="198" w:after="0"/>
        <w:jc w:val="both"/>
        <w:rPr>
          <w:rFonts w:ascii="Times New Roman;serif" w:hAnsi="Times New Roman;serif"/>
          <w:b w:val="false"/>
          <w:sz w:val="20"/>
        </w:rPr>
      </w:pPr>
      <w:r>
        <w:rPr>
          <w:rFonts w:ascii="Times New Roman;serif" w:hAnsi="Times New Roman;serif"/>
          <w:b w:val="false"/>
          <w:sz w:val="20"/>
        </w:rPr>
        <w:t>Under this Policy, Directors receive cash compensation in the form of retainers to recognize their day to day contributions, the level of responsibility as well as the necessary time commitment involved in serving in a leadership role and/or on committees. Directors also receive equity compensation because we believe that stock ownership provides an incentive to act in ways that maximize long-term stockholder value. Further, we believe that stock-based awards are essential to attracting and retaining talented Board members. When options are granted, these options have an exercise price equal to not less than the fair market value of FibroGen’s Common Stock on the date of grant, so that options provide a return only if the fair market value appreciates over the period in which the option vests and remains exercisable. We believe that the vesting acceleration provided in the case of a change in control is consistent with market practices and is critical to attracting and retaining high quality Directors.</w:t>
      </w:r>
    </w:p>
    <w:p>
      <w:pPr>
        <w:pStyle w:val="TextBody"/>
        <w:spacing w:before="0" w:after="0"/>
        <w:jc w:val="both"/>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Adopted: September 17, 2014</w:t>
      </w:r>
    </w:p>
    <w:p>
      <w:pPr>
        <w:pStyle w:val="TextBody"/>
        <w:spacing w:before="0" w:after="0"/>
        <w:jc w:val="center"/>
        <w:rPr>
          <w:rFonts w:ascii="Times New Roman;serif" w:hAnsi="Times New Roman;serif"/>
          <w:b/>
          <w:sz w:val="20"/>
        </w:rPr>
      </w:pPr>
      <w:r>
        <w:rPr>
          <w:rFonts w:ascii="Times New Roman;serif" w:hAnsi="Times New Roman;serif"/>
          <w:b/>
          <w:sz w:val="20"/>
        </w:rPr>
        <w:t>Amended: March 4, 2015</w:t>
      </w:r>
    </w:p>
    <w:p>
      <w:pPr>
        <w:pStyle w:val="TextBody"/>
        <w:spacing w:before="0" w:after="0"/>
        <w:jc w:val="center"/>
        <w:rPr>
          <w:rFonts w:ascii="Times New Roman;serif" w:hAnsi="Times New Roman;serif"/>
          <w:b/>
          <w:sz w:val="20"/>
        </w:rPr>
      </w:pPr>
      <w:r>
        <w:rPr>
          <w:rFonts w:ascii="Times New Roman;serif" w:hAnsi="Times New Roman;serif"/>
          <w:b/>
          <w:sz w:val="20"/>
        </w:rPr>
        <w:t>Amended: February 23, 2016, Effective as of the 2016 Annual Meeting of Stockholders</w:t>
      </w:r>
    </w:p>
    <w:p>
      <w:pPr>
        <w:pStyle w:val="TextBody"/>
        <w:spacing w:before="0" w:after="0"/>
        <w:jc w:val="center"/>
        <w:rPr>
          <w:rFonts w:ascii="Times New Roman;serif" w:hAnsi="Times New Roman;serif"/>
          <w:b/>
          <w:sz w:val="20"/>
        </w:rPr>
      </w:pPr>
      <w:r>
        <w:rPr>
          <w:rFonts w:ascii="Times New Roman;serif" w:hAnsi="Times New Roman;serif"/>
          <w:b/>
          <w:sz w:val="20"/>
        </w:rPr>
        <w:t>Amended: June 5, 2018</w:t>
      </w:r>
    </w:p>
    <w:p>
      <w:pPr>
        <w:pStyle w:val="TextBody"/>
        <w:spacing w:before="0" w:after="0"/>
        <w:jc w:val="center"/>
        <w:rPr>
          <w:rFonts w:ascii="Times New Roman;serif" w:hAnsi="Times New Roman;serif"/>
          <w:b/>
          <w:sz w:val="20"/>
        </w:rPr>
      </w:pPr>
      <w:r>
        <w:rPr>
          <w:rFonts w:ascii="Times New Roman;serif" w:hAnsi="Times New Roman;serif"/>
          <w:b/>
          <w:sz w:val="20"/>
        </w:rPr>
        <w:t>Amended: June 5, 2019</w:t>
      </w:r>
    </w:p>
    <w:p>
      <w:pPr>
        <w:pStyle w:val="TextBody"/>
        <w:spacing w:before="0" w:after="0"/>
        <w:jc w:val="center"/>
        <w:rPr>
          <w:rFonts w:ascii="Times New Roman;serif" w:hAnsi="Times New Roman;serif"/>
          <w:b/>
          <w:sz w:val="20"/>
        </w:rPr>
      </w:pPr>
      <w:r>
        <w:rPr>
          <w:rFonts w:ascii="Times New Roman;serif" w:hAnsi="Times New Roman;serif"/>
          <w:b/>
          <w:sz w:val="20"/>
        </w:rPr>
        <w:t>Amended: February 10, 2020</w:t>
      </w:r>
    </w:p>
    <w:p>
      <w:pPr>
        <w:pStyle w:val="TextBody"/>
        <w:spacing w:before="0" w:after="0"/>
        <w:jc w:val="center"/>
        <w:rPr>
          <w:rFonts w:ascii="Times New Roman;serif" w:hAnsi="Times New Roman;serif"/>
          <w:b/>
          <w:sz w:val="20"/>
        </w:rPr>
      </w:pPr>
      <w:r>
        <w:rPr>
          <w:rFonts w:ascii="Times New Roman;serif" w:hAnsi="Times New Roman;serif"/>
          <w:b/>
          <w:sz w:val="20"/>
        </w:rPr>
        <w:t>Amended: April 13, 2022</w:t>
      </w:r>
    </w:p>
    <w:p>
      <w:pPr>
        <w:pStyle w:val="TextBody"/>
        <w:spacing w:before="0" w:after="0"/>
        <w:jc w:val="center"/>
        <w:rPr>
          <w:rFonts w:ascii="Times New Roman;serif" w:hAnsi="Times New Roman;serif"/>
          <w:b/>
          <w:sz w:val="20"/>
        </w:rPr>
      </w:pPr>
      <w:r>
        <w:rPr>
          <w:rFonts w:ascii="Times New Roman;serif" w:hAnsi="Times New Roman;serif"/>
          <w:b/>
          <w:sz w:val="20"/>
        </w:rPr>
        <w:t>Amended: February 14, 2023</w:t>
      </w:r>
    </w:p>
    <w:p>
      <w:pPr>
        <w:pStyle w:val="TextBody"/>
        <w:spacing w:before="0" w:after="0"/>
        <w:jc w:val="both"/>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r>
        <w:br w:type="page"/>
      </w:r>
    </w:p>
    <w:p>
      <w:pPr>
        <w:pStyle w:val="TextBody"/>
        <w:spacing w:before="0" w:after="480"/>
        <w:jc w:val="right"/>
        <w:rPr>
          <w:rFonts w:ascii="Times New Roman;serif" w:hAnsi="Times New Roman;serif"/>
          <w:b w:val="false"/>
          <w:sz w:val="20"/>
        </w:rPr>
      </w:pPr>
      <w:bookmarkStart w:id="29" w:name="fgen-ex10_4.htm"/>
      <w:bookmarkStart w:id="30" w:name="ksfgenex10_4"/>
      <w:bookmarkEnd w:id="29"/>
      <w:bookmarkEnd w:id="30"/>
      <w:r>
        <w:rPr>
          <w:rFonts w:ascii="Times New Roman;serif" w:hAnsi="Times New Roman;serif"/>
          <w:b w:val="false"/>
          <w:sz w:val="20"/>
        </w:rPr>
        <w:t>Form of Agreement</w:t>
      </w:r>
    </w:p>
    <w:p>
      <w:pPr>
        <w:pStyle w:val="TextBody"/>
        <w:spacing w:before="240" w:after="0"/>
        <w:jc w:val="right"/>
        <w:rPr>
          <w:rFonts w:ascii="Times New Roman;serif" w:hAnsi="Times New Roman;serif"/>
          <w:b/>
          <w:sz w:val="20"/>
        </w:rPr>
      </w:pPr>
      <w:r>
        <w:rPr>
          <w:rFonts w:ascii="Times New Roman;serif" w:hAnsi="Times New Roman;serif"/>
          <w:b/>
          <w:sz w:val="20"/>
        </w:rPr>
        <w:t>Exhibit 10.4</w:t>
      </w:r>
    </w:p>
    <w:p>
      <w:pPr>
        <w:pStyle w:val="TextBody"/>
        <w:spacing w:before="240" w:after="0"/>
        <w:jc w:val="center"/>
        <w:rPr>
          <w:rFonts w:ascii="Times New Roman;serif" w:hAnsi="Times New Roman;serif"/>
          <w:b/>
          <w:sz w:val="20"/>
        </w:rPr>
      </w:pPr>
      <w:r>
        <w:rPr>
          <w:rFonts w:ascii="Times New Roman;serif" w:hAnsi="Times New Roman;serif"/>
          <w:b/>
          <w:sz w:val="20"/>
        </w:rPr>
        <w:t>FIBROGEN, INC.</w:t>
      </w:r>
    </w:p>
    <w:p>
      <w:pPr>
        <w:pStyle w:val="TextBody"/>
        <w:spacing w:before="240" w:after="0"/>
        <w:jc w:val="center"/>
        <w:rPr>
          <w:rFonts w:ascii="Times New Roman;serif" w:hAnsi="Times New Roman;serif"/>
          <w:b/>
          <w:sz w:val="20"/>
        </w:rPr>
      </w:pPr>
      <w:r>
        <w:rPr>
          <w:rFonts w:ascii="Times New Roman;serif" w:hAnsi="Times New Roman;serif"/>
          <w:b/>
          <w:sz w:val="20"/>
        </w:rPr>
        <w:t>CHANGE IN CONTROL AND SEVERANCE AGREEMENT</w:t>
      </w:r>
    </w:p>
    <w:p>
      <w:pPr>
        <w:pStyle w:val="TextBody"/>
        <w:spacing w:before="0" w:after="0"/>
        <w:jc w:val="center"/>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This Change in Control and Severance Agreement (this “</w:t>
      </w:r>
      <w:r>
        <w:rPr>
          <w:rFonts w:ascii="Times New Roman;serif" w:hAnsi="Times New Roman;serif"/>
          <w:b w:val="false"/>
          <w:sz w:val="20"/>
          <w:u w:val="single"/>
        </w:rPr>
        <w:t>Agreement</w:t>
      </w:r>
      <w:r>
        <w:rPr>
          <w:rFonts w:ascii="Times New Roman" w:hAnsi="Times New Roman"/>
          <w:sz w:val="20"/>
        </w:rPr>
        <w:t>”</w:t>
      </w:r>
      <w:r>
        <w:rPr>
          <w:rFonts w:ascii="Times New Roman;serif" w:hAnsi="Times New Roman;serif"/>
          <w:b w:val="false"/>
          <w:sz w:val="20"/>
        </w:rPr>
        <w:t>) is dated as of __________, 20__ (the “</w:t>
      </w:r>
      <w:r>
        <w:rPr>
          <w:rFonts w:ascii="Times New Roman;serif" w:hAnsi="Times New Roman;serif"/>
          <w:b w:val="false"/>
          <w:sz w:val="20"/>
          <w:u w:val="single"/>
        </w:rPr>
        <w:t>Effective Date</w:t>
      </w:r>
      <w:r>
        <w:rPr>
          <w:rFonts w:ascii="Times New Roman" w:hAnsi="Times New Roman"/>
          <w:sz w:val="20"/>
        </w:rPr>
        <w:t>”</w:t>
      </w:r>
      <w:r>
        <w:rPr>
          <w:rFonts w:ascii="Times New Roman;serif" w:hAnsi="Times New Roman;serif"/>
          <w:b w:val="false"/>
          <w:sz w:val="20"/>
        </w:rPr>
        <w:t>), by and between [______________] (“</w:t>
      </w:r>
      <w:r>
        <w:rPr>
          <w:rFonts w:ascii="Times New Roman;serif" w:hAnsi="Times New Roman;serif"/>
          <w:b w:val="false"/>
          <w:sz w:val="20"/>
          <w:u w:val="single"/>
        </w:rPr>
        <w:t>Executive</w:t>
      </w:r>
      <w:r>
        <w:rPr>
          <w:rFonts w:ascii="Times New Roman" w:hAnsi="Times New Roman"/>
          <w:sz w:val="20"/>
        </w:rPr>
        <w:t>”</w:t>
      </w:r>
      <w:r>
        <w:rPr>
          <w:rFonts w:ascii="Times New Roman;serif" w:hAnsi="Times New Roman;serif"/>
          <w:b w:val="false"/>
          <w:sz w:val="20"/>
        </w:rPr>
        <w:t>) and FibroGen, Inc., a Delaware corporation (the “</w:t>
      </w:r>
      <w:r>
        <w:rPr>
          <w:rFonts w:ascii="Times New Roman;serif" w:hAnsi="Times New Roman;serif"/>
          <w:b w:val="false"/>
          <w:sz w:val="20"/>
          <w:u w:val="single"/>
        </w:rPr>
        <w:t>Company</w:t>
      </w:r>
      <w:r>
        <w:rPr>
          <w:rFonts w:ascii="Times New Roman" w:hAnsi="Times New Roman"/>
          <w:sz w:val="20"/>
        </w:rPr>
        <w:t>”</w:t>
      </w:r>
      <w:r>
        <w:rPr>
          <w:rFonts w:ascii="Times New Roman;serif" w:hAnsi="Times New Roman;serif"/>
          <w:b w:val="false"/>
          <w:sz w:val="20"/>
        </w:rPr>
        <w:t>). This Agreement is intended to provide Executive with certain benefits described herein upon the occurrence of specific events.</w:t>
      </w:r>
      <w:r>
        <w:rPr>
          <w:rFonts w:ascii="Times New Roman" w:hAnsi="Times New Roman"/>
          <w:sz w:val="20"/>
        </w:rPr>
        <w:t xml:space="preserve"> </w:t>
      </w:r>
    </w:p>
    <w:p>
      <w:pPr>
        <w:pStyle w:val="TextBody"/>
        <w:spacing w:before="240" w:after="0"/>
        <w:jc w:val="center"/>
        <w:rPr>
          <w:rFonts w:ascii="Times New Roman;serif" w:hAnsi="Times New Roman;serif"/>
          <w:b w:val="false"/>
          <w:sz w:val="20"/>
          <w:u w:val="single"/>
        </w:rPr>
      </w:pPr>
      <w:r>
        <w:rPr>
          <w:rFonts w:ascii="Times New Roman;serif" w:hAnsi="Times New Roman;serif"/>
          <w:b w:val="false"/>
          <w:sz w:val="20"/>
          <w:u w:val="single"/>
        </w:rPr>
        <w:t>RECITALS</w:t>
      </w:r>
    </w:p>
    <w:p>
      <w:pPr>
        <w:pStyle w:val="TextBody"/>
        <w:spacing w:before="240" w:after="0"/>
        <w:jc w:val="left"/>
        <w:rPr>
          <w:rFonts w:ascii="Times New Roman" w:hAnsi="Times New Roman"/>
          <w:sz w:val="20"/>
        </w:rPr>
      </w:pPr>
      <w:r>
        <w:rPr>
          <w:rFonts w:ascii="Times New Roman;serif" w:hAnsi="Times New Roman;serif"/>
          <w:b w:val="false"/>
          <w:sz w:val="20"/>
        </w:rPr>
        <w:t>A. It is expected that the Company from time to time will consider the possibility of a Change in Control. The Company’s Board of Directors (the “</w:t>
      </w:r>
      <w:r>
        <w:rPr>
          <w:rFonts w:ascii="Times New Roman;serif" w:hAnsi="Times New Roman;serif"/>
          <w:b w:val="false"/>
          <w:sz w:val="20"/>
          <w:u w:val="single"/>
        </w:rPr>
        <w:t>Board</w:t>
      </w:r>
      <w:r>
        <w:rPr>
          <w:rFonts w:ascii="Times New Roman" w:hAnsi="Times New Roman"/>
          <w:sz w:val="20"/>
        </w:rPr>
        <w:t>”</w:t>
      </w:r>
      <w:r>
        <w:rPr>
          <w:rFonts w:ascii="Times New Roman;serif" w:hAnsi="Times New Roman;serif"/>
          <w:b w:val="false"/>
          <w:sz w:val="20"/>
        </w:rPr>
        <w:t>) recognizes that such consideration can be a distraction to Executive and can cause Executive to consider alternative employment opportunities. The Board believes that it is in the best interests of the Company and its stockholders to assure that the Company will have the continued dedication and objectivity of Executive, notwithstanding the possibility, threat or occurrence of a Change in Control (as defined below).</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 The Company’s Board believes it is in the best interests of the Company and its shareholders to retain Executive and provide incentives to Executive to continue in the service of the Company.</w:t>
      </w:r>
    </w:p>
    <w:p>
      <w:pPr>
        <w:pStyle w:val="TextBody"/>
        <w:spacing w:before="240" w:after="0"/>
        <w:jc w:val="left"/>
        <w:rPr>
          <w:rFonts w:ascii="Times New Roman" w:hAnsi="Times New Roman"/>
          <w:sz w:val="20"/>
        </w:rPr>
      </w:pPr>
      <w:r>
        <w:rPr>
          <w:rFonts w:ascii="Times New Roman;serif" w:hAnsi="Times New Roman;serif"/>
          <w:b w:val="false"/>
          <w:sz w:val="20"/>
        </w:rPr>
        <w:t>C. The Board further believes that it is imperative to provide Executive with certain benefits upon a qualifying termination of Executive’s employment (whether in connection with a Change in Control or otherwise) which benefits are intended to provide Executive with financial security and provide sufficient income and encouragement to Executive to remain with the Company, notwithstanding the possibility of a Change in Control and/or termination of Executive’s employment with the Company under certain circumstances.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Now therefore, in consideration of the mutual promises, covenants and agreements contained herein, and in consideration of the continuing employment of Executive by the Company, the parties hereto agree as follows:</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pPr>
      <w:r>
        <w:rPr>
          <w:rFonts w:ascii="Times New Roman;serif" w:hAnsi="Times New Roman;serif"/>
          <w:b w:val="false"/>
          <w:sz w:val="20"/>
          <w:u w:val="single"/>
        </w:rPr>
        <w:t>At-Will Employment</w:t>
      </w:r>
      <w:r>
        <w:rPr>
          <w:rFonts w:ascii="Times New Roman;serif" w:hAnsi="Times New Roman;serif"/>
          <w:b w:val="false"/>
          <w:sz w:val="20"/>
        </w:rPr>
        <w:t>. The term of the Agreement shall begin on the Effective Date and shall end on the third anniversary of the Effective Date. Executive’s employment is at-will, which means that the Company may terminate Executive’s employment at any time, with or without advance notice, and with or without Cause. Similarly, Executive may resign Executive’s employment at any time, with or without advance notice. Executive shall not receive any compensation of any kind, including, without limitation, Stock Awards (as defined below), or other equity award vesting acceleration and severance benefits, following Executive’s termination of employment with the Company in connection with a Change in Control, except as expressly provided herein.</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283"/>
        <w:jc w:val="left"/>
        <w:rPr/>
      </w:pPr>
      <w:r>
        <w:rPr>
          <w:rFonts w:ascii="Times New Roman;serif" w:hAnsi="Times New Roman;serif"/>
          <w:b w:val="false"/>
          <w:sz w:val="20"/>
          <w:u w:val="single"/>
        </w:rPr>
        <w:t>Accrued Wages, Bonus and Vacation, Expenses</w:t>
      </w:r>
      <w:r>
        <w:rPr>
          <w:rFonts w:ascii="Times New Roman;serif" w:hAnsi="Times New Roman;serif"/>
          <w:b w:val="false"/>
          <w:sz w:val="20"/>
        </w:rPr>
        <w:t xml:space="preserve">. Without regard to the reason for, or the timing of, Executive’s termination of employment: (i) the Company shall pay Executive any unpaid base salary due for periods prior to and including the date of Separation from Service (as defined below); (ii) the Company shall pay Executive all of Executive’s accrued and unused vacation through the date of Separation from Service; (iii) the Company shall pay Executive any earned (as determined and approved by the Board prior to the Separation from Service) but not yet paid incentive bonus from the prior fiscal year, which bonus shall be paid in accordance with the Company’s regular bonus payment process and in any event by no later than March 15 of such subsequent year; and (iv) following submission of proper expense reports by Executive, the Company shall reimburse Executive for all expenses reasonably and necessarily incurred by Executive in connection with the business of the Company prior to the Separation from Service. These payments shall be made promptly upon or following termination and within the period of time mandated by law (or in the case of an earned bonus, within the time period set forth in the Company’s bonus plan and in any event by no later than March 15 of the calendar year following the year in which the bonus was earned).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pPr>
      <w:r>
        <w:rPr>
          <w:rFonts w:ascii="Times New Roman;serif" w:hAnsi="Times New Roman;serif"/>
          <w:b w:val="false"/>
          <w:sz w:val="20"/>
          <w:u w:val="single"/>
        </w:rPr>
        <w:t>Severance Benefits</w:t>
      </w:r>
      <w:r>
        <w:rPr>
          <w:rFonts w:ascii="Times New Roman;serif" w:hAnsi="Times New Roman;serif"/>
          <w:b w:val="false"/>
          <w:sz w:val="20"/>
        </w:rPr>
        <w:t>. Executive shall be eligible for severance benefits (“</w:t>
      </w:r>
      <w:r>
        <w:rPr>
          <w:rFonts w:ascii="Times New Roman;serif" w:hAnsi="Times New Roman;serif"/>
          <w:b w:val="false"/>
          <w:sz w:val="20"/>
          <w:u w:val="single"/>
        </w:rPr>
        <w:t>Severance Benefits</w:t>
      </w:r>
      <w:r>
        <w:rPr/>
        <w:t>”</w:t>
      </w:r>
      <w:r>
        <w:rPr>
          <w:rFonts w:ascii="Times New Roman;serif" w:hAnsi="Times New Roman;serif"/>
          <w:b w:val="false"/>
          <w:sz w:val="20"/>
        </w:rPr>
        <w:t>) in the amounts and under the conditions set forth in subsections 3(a) and 3(b) below. For the avoidance of doubt, Executive shall not receive Severance Benefits under more than one such subsection. Notwithstanding any other provision hereof, no Severance Benefits shall be provided upon termination of employment unless such termination constitutes a “separation from service” (within the meaning of Treasury Regulation Section 1.409A-1(h), a “</w:t>
      </w:r>
      <w:r>
        <w:rPr>
          <w:rFonts w:ascii="Times New Roman;serif" w:hAnsi="Times New Roman;serif"/>
          <w:b w:val="false"/>
          <w:sz w:val="20"/>
          <w:u w:val="single"/>
        </w:rPr>
        <w:t>Separation from Service</w:t>
      </w:r>
      <w:r>
        <w:rPr/>
        <w:t>”</w:t>
      </w:r>
      <w:r>
        <w:rPr>
          <w:rFonts w:ascii="Times New Roman;serif" w:hAnsi="Times New Roman;serif"/>
          <w:b w:val="false"/>
          <w:sz w:val="20"/>
        </w:rPr>
        <w:t>).</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pPr>
      <w:r>
        <w:rPr>
          <w:rFonts w:ascii="Times New Roman;serif" w:hAnsi="Times New Roman;serif"/>
          <w:b w:val="false"/>
          <w:sz w:val="20"/>
          <w:u w:val="single"/>
        </w:rPr>
        <w:t>Benefits upon a Termination in Connection with or Following a Change in Control</w:t>
      </w:r>
      <w:r>
        <w:rPr>
          <w:rFonts w:ascii="Times New Roman;serif" w:hAnsi="Times New Roman;serif"/>
          <w:b w:val="false"/>
          <w:sz w:val="20"/>
        </w:rPr>
        <w:t>. If Executive’s employment is terminated by the Company without Cause (as defined below), and other than as a result of death or disability, or Executive resigns his or her employment with the Company for Good Reason (as defined below) in connection with or within twelve (12) months following the effective date of a Change in Control, and provided that Executive delivers an effective release of claims as required under Section 4 below, then Executive shall be entitled to the following Severance Benefits:</w:t>
      </w:r>
    </w:p>
    <w:p>
      <w:pPr>
        <w:pStyle w:val="TextBody"/>
        <w:spacing w:before="240" w:after="0"/>
        <w:jc w:val="left"/>
        <w:rPr>
          <w:rFonts w:ascii="Times New Roman" w:hAnsi="Times New Roman"/>
          <w:b w:val="false"/>
          <w:sz w:val="20"/>
        </w:rPr>
      </w:pPr>
      <w:r>
        <w:rPr>
          <w:rFonts w:ascii="Times New Roman" w:hAnsi="Times New Roman"/>
          <w:b w:val="false"/>
          <w:sz w:val="20"/>
        </w:rPr>
        <w:t>(i)</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shall pay Executive an amount equal to the sum of (A) [twenty-four (24)] [eighteen (18)] [twelve (12)] months of Executive’s then current base salary and (B) [one-and-a-half (1.5) times] [one (1) times][one-half (0.5) times] Executive’s then current target bonus, ignoring any decrease in base salary or target bonus that forms the basis for Good Reason, less all applicable withholdings and deductions, paid over the [twenty-four (24)] [eighteen (18)] [twelve (12)] month period immediately following the Separation from Service in accordance with the Company’s regular payroll practices, on the schedule described in Section 4 below.</w:t>
      </w:r>
    </w:p>
    <w:p>
      <w:pPr>
        <w:pStyle w:val="TextBody"/>
        <w:spacing w:before="240" w:after="0"/>
        <w:jc w:val="left"/>
        <w:rPr>
          <w:rFonts w:ascii="Times New Roman" w:hAnsi="Times New Roman"/>
          <w:b w:val="false"/>
          <w:sz w:val="20"/>
        </w:rPr>
      </w:pPr>
      <w:r>
        <w:rPr>
          <w:rFonts w:ascii="Times New Roman" w:hAnsi="Times New Roman"/>
          <w:b w:val="false"/>
          <w:sz w:val="20"/>
        </w:rPr>
        <w:t>(ii)</w:t>
      </w:r>
    </w:p>
    <w:p>
      <w:pPr>
        <w:pStyle w:val="TextBody"/>
        <w:spacing w:before="240" w:after="0"/>
        <w:jc w:val="left"/>
        <w:rPr/>
      </w:pPr>
      <w:r>
        <w:rPr>
          <w:rFonts w:ascii="Times New Roman;serif" w:hAnsi="Times New Roman;serif"/>
          <w:b w:val="false"/>
          <w:sz w:val="20"/>
        </w:rPr>
        <w:t>The Company shall pay Executive’s expenses for continuing his or her health care coverage and the coverage of his or her dependents who are covered at the time of the Executive’s Separation from Service (the “</w:t>
      </w:r>
      <w:r>
        <w:rPr>
          <w:rFonts w:ascii="Times New Roman;serif" w:hAnsi="Times New Roman;serif"/>
          <w:b w:val="false"/>
          <w:sz w:val="20"/>
          <w:u w:val="single"/>
        </w:rPr>
        <w:t>COBRA Premiums</w:t>
      </w:r>
      <w:r>
        <w:rPr/>
        <w:t>”</w:t>
      </w:r>
      <w:r>
        <w:rPr>
          <w:rFonts w:ascii="Times New Roman;serif" w:hAnsi="Times New Roman;serif"/>
          <w:b w:val="false"/>
          <w:sz w:val="20"/>
        </w:rPr>
        <w:t>) under the Consolidated Omnibus Budget Reconciliation Act of 1985, as amended (“</w:t>
      </w:r>
      <w:r>
        <w:rPr>
          <w:rFonts w:ascii="Times New Roman;serif" w:hAnsi="Times New Roman;serif"/>
          <w:b w:val="false"/>
          <w:sz w:val="20"/>
          <w:u w:val="single"/>
        </w:rPr>
        <w:t>COBRA</w:t>
      </w:r>
      <w:r>
        <w:rPr/>
        <w:t>”</w:t>
      </w:r>
      <w:r>
        <w:rPr>
          <w:rFonts w:ascii="Times New Roman;serif" w:hAnsi="Times New Roman;serif"/>
          <w:b w:val="false"/>
          <w:sz w:val="20"/>
        </w:rPr>
        <w:t>) (or another state law equivalent), as applicable, for a period ending on the earlier of the [eighteen (18)] [eighteen (18)] [twelve (12)][six (6)] month anniversary of the Separation from Service or the date on which Executive becomes eligible to be covered by the health care plans of another employer; provided however that any Company obligation under this paragraph requires that Executive timely elects COBRA continuation coverage as required by applicable law. Notwithstanding the foregoing, if the Company determines, in its sole discretion, that the Company cannot pay the COBRA Premiums without potentially incurring financial costs or penalties under applicable law (including, without limitation, Section 2716 of the Public Health Service Act), the Company shall in lieu thereof pay Executive a taxable cash amount, which payment shall be made regardless of whether Executive or Executive’s eligible family members elect health care continuation coverage (the “</w:t>
      </w:r>
      <w:r>
        <w:rPr>
          <w:rFonts w:ascii="Times New Roman;serif" w:hAnsi="Times New Roman;serif"/>
          <w:b w:val="false"/>
          <w:sz w:val="20"/>
          <w:u w:val="single"/>
        </w:rPr>
        <w:t>Health Care Benefit Payment</w:t>
      </w:r>
      <w:r>
        <w:rPr/>
        <w:t>”</w:t>
      </w:r>
      <w:r>
        <w:rPr>
          <w:rFonts w:ascii="Times New Roman;serif" w:hAnsi="Times New Roman;serif"/>
          <w:b w:val="false"/>
          <w:sz w:val="20"/>
        </w:rPr>
        <w:t>). The Health Care Benefit Payment shall be paid in monthly installments on the same schedule that the COBRA Premiums would otherwise have been paid to the insurer. The Health Care Benefit Payment shall be equal to the amount that the Company would have otherwise paid for COBRA Premiums (which amount shall be calculated based on the premium for the first month of coverage), and shall be paid until the expiration of the period during which the COBRA Premiums would have been paid.</w:t>
      </w:r>
    </w:p>
    <w:p>
      <w:pPr>
        <w:pStyle w:val="TextBody"/>
        <w:spacing w:before="240" w:after="0"/>
        <w:jc w:val="left"/>
        <w:rPr>
          <w:rFonts w:ascii="Times New Roman" w:hAnsi="Times New Roman"/>
          <w:b w:val="false"/>
          <w:sz w:val="20"/>
        </w:rPr>
      </w:pPr>
      <w:r>
        <w:rPr>
          <w:rFonts w:ascii="Times New Roman" w:hAnsi="Times New Roman"/>
          <w:b w:val="false"/>
          <w:sz w:val="20"/>
        </w:rPr>
        <w:t>(iii)</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All outstanding Stock Awards then held by Executive shall become fully vested and exercisable with respect to all of the shares subject thereto effective immediately prior to Executive’s Separation from Service under this Section 3(a).</w:t>
      </w:r>
    </w:p>
    <w:p>
      <w:pPr>
        <w:pStyle w:val="TextBody"/>
        <w:spacing w:before="240" w:after="0"/>
        <w:jc w:val="left"/>
        <w:rPr>
          <w:rFonts w:ascii="Times New Roman" w:hAnsi="Times New Roman"/>
          <w:sz w:val="20"/>
        </w:rPr>
      </w:pPr>
      <w:r>
        <w:rPr>
          <w:rFonts w:ascii="Times New Roman;serif" w:hAnsi="Times New Roman;serif"/>
          <w:b w:val="false"/>
          <w:sz w:val="20"/>
        </w:rPr>
        <w:t>Notwithstanding the foregoing, in the event that Executive would be entitled to a greater level of severance benefits under the terms and conditions of a severance plan or policy provided by the Company or its successor to other Company employees being terminated in connection with or within twelve (12) months following a Change in Control but for the existence of this Agreement (the “</w:t>
      </w:r>
      <w:r>
        <w:rPr>
          <w:rFonts w:ascii="Times New Roman;serif" w:hAnsi="Times New Roman;serif"/>
          <w:b w:val="false"/>
          <w:sz w:val="20"/>
          <w:u w:val="single"/>
        </w:rPr>
        <w:t>Change in Control Benefits</w:t>
      </w:r>
      <w:r>
        <w:rPr>
          <w:rFonts w:ascii="Times New Roman" w:hAnsi="Times New Roman"/>
          <w:sz w:val="20"/>
        </w:rPr>
        <w:t>”</w:t>
      </w:r>
      <w:r>
        <w:rPr>
          <w:rFonts w:ascii="Times New Roman;serif" w:hAnsi="Times New Roman;serif"/>
          <w:b w:val="false"/>
          <w:sz w:val="20"/>
        </w:rPr>
        <w:t>), Executive shall be entitled to receive the greater of the severance benefits under this Section 3(a) or the Change in Control Benefits, subject to the applicable terms and conditions thereof.</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0"/>
        <w:jc w:val="left"/>
        <w:rPr/>
      </w:pPr>
      <w:r>
        <w:rPr>
          <w:rFonts w:ascii="Times New Roman;serif" w:hAnsi="Times New Roman;serif"/>
          <w:b w:val="false"/>
          <w:sz w:val="20"/>
          <w:u w:val="single"/>
        </w:rPr>
        <w:t>Benefits Upon Certain Other Terminations</w:t>
      </w:r>
      <w:r>
        <w:rPr>
          <w:rFonts w:ascii="Times New Roman;serif" w:hAnsi="Times New Roman;serif"/>
          <w:b w:val="false"/>
          <w:sz w:val="20"/>
        </w:rPr>
        <w:t>. If Executive’s employment is terminated by the Company without Cause, and other than as a result of death or disability, under circumstances other than those set forth in in the foregoing provisions of this Section 3, and provided that Executive delivers an effective release of claims as required under Section 4 below, then Executive shall be entitled to the following severance benefits:</w:t>
      </w:r>
    </w:p>
    <w:p>
      <w:pPr>
        <w:pStyle w:val="TextBody"/>
        <w:spacing w:before="240" w:after="0"/>
        <w:jc w:val="left"/>
        <w:rPr>
          <w:rFonts w:ascii="Times New Roman" w:hAnsi="Times New Roman"/>
          <w:b w:val="false"/>
          <w:sz w:val="20"/>
        </w:rPr>
      </w:pPr>
      <w:r>
        <w:rPr>
          <w:rFonts w:ascii="Times New Roman" w:hAnsi="Times New Roman"/>
          <w:b w:val="false"/>
          <w:sz w:val="20"/>
        </w:rPr>
        <w:t>(i)</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 xml:space="preserve">The Company shall pay Executive an amount equal to [eighteen (18)] [twelve (12)] [six (6)] months of Executive’s then current base salary, less all applicable withholdings and deductions, paid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over such [eighteen (18)] [twelve (12)] [six (6)] month period immediately following the Separation from Service in accordance with the Company’s regular payroll practices, on the schedule described in Section 4 below.</w:t>
      </w:r>
    </w:p>
    <w:p>
      <w:pPr>
        <w:pStyle w:val="TextBody"/>
        <w:spacing w:before="240" w:after="0"/>
        <w:jc w:val="left"/>
        <w:rPr>
          <w:rFonts w:ascii="Times New Roman" w:hAnsi="Times New Roman"/>
          <w:b w:val="false"/>
          <w:sz w:val="20"/>
        </w:rPr>
      </w:pPr>
      <w:r>
        <w:rPr>
          <w:rFonts w:ascii="Times New Roman" w:hAnsi="Times New Roman"/>
          <w:b w:val="false"/>
          <w:sz w:val="20"/>
        </w:rPr>
        <w:t>(ii)</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shall pay Executive’s COBRA Premiums for a period ending on the earlier of the [eighteen (18)] [twelve (12)] [six (6)] month anniversary of the Separation from Service or the date on which Executive becomes eligible to be covered by the health care plans of another employer; provided however that any Company obligation under this paragraph requires that Executive timely elects COBRA continuation coverage as required by applicable law. Notwithstanding the foregoing, if the Company determines, in its sole discretion, that the Company cannot pay the COBRA Premiums without potentially incurring financial costs or penalties under applicable law (including, without limitation, Section 2716 of the Public Health Service Act), the Company shall in lieu thereof pay the Health Care Benefit Payment. The Health Care Benefit Payment shall be paid in monthly installments on the same schedule that the COBRA Premiums would otherwise have been paid to the insurer. The Health Care Benefit Payment shall be equal to the amount that the Company would have otherwise paid for COBRA Premiums (which amount shall be calculated based on the premium for the first month of coverage), and shall be paid until the expiration of the period during which the COBRA Premiums would have been paid.</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283"/>
        <w:jc w:val="left"/>
        <w:rPr/>
      </w:pPr>
      <w:r>
        <w:rPr>
          <w:rFonts w:ascii="Times New Roman;serif" w:hAnsi="Times New Roman;serif"/>
          <w:b w:val="false"/>
          <w:sz w:val="20"/>
          <w:u w:val="single"/>
        </w:rPr>
        <w:t>Release Prior to Payment of Severance Benefits</w:t>
      </w:r>
      <w:r>
        <w:rPr>
          <w:rFonts w:ascii="Times New Roman;serif" w:hAnsi="Times New Roman;serif"/>
          <w:b w:val="false"/>
          <w:sz w:val="20"/>
        </w:rPr>
        <w:t xml:space="preserve">. Prior to the payment of any of the Severance Benefits, Executive shall execute, and allow to become effective, a customary and standard employment release agreement in substantially the form attached hereto as </w:t>
      </w:r>
      <w:r>
        <w:rPr>
          <w:rFonts w:ascii="Times New Roman;serif" w:hAnsi="Times New Roman;serif"/>
          <w:b/>
          <w:smallCaps/>
          <w:sz w:val="20"/>
          <w:u w:val="single"/>
        </w:rPr>
        <w:t>Exhibit A</w:t>
      </w:r>
      <w:r>
        <w:rPr>
          <w:rFonts w:ascii="Times New Roman;serif" w:hAnsi="Times New Roman;serif"/>
          <w:b w:val="false"/>
          <w:sz w:val="20"/>
        </w:rPr>
        <w:t xml:space="preserve">, </w:t>
      </w:r>
      <w:r>
        <w:rPr>
          <w:rFonts w:ascii="Times New Roman;serif" w:hAnsi="Times New Roman;serif"/>
          <w:b/>
          <w:smallCaps/>
          <w:sz w:val="20"/>
          <w:u w:val="single"/>
        </w:rPr>
        <w:t>Exhibit B</w:t>
      </w:r>
      <w:r>
        <w:rPr>
          <w:rFonts w:ascii="Times New Roman;serif" w:hAnsi="Times New Roman;serif"/>
          <w:b w:val="false"/>
          <w:sz w:val="20"/>
        </w:rPr>
        <w:t xml:space="preserve">, or </w:t>
      </w:r>
      <w:r>
        <w:rPr>
          <w:rFonts w:ascii="Times New Roman;serif" w:hAnsi="Times New Roman;serif"/>
          <w:b/>
          <w:smallCaps/>
          <w:sz w:val="20"/>
          <w:u w:val="single"/>
        </w:rPr>
        <w:t>Exhibit C</w:t>
      </w:r>
      <w:r>
        <w:rPr>
          <w:rFonts w:ascii="Times New Roman;serif" w:hAnsi="Times New Roman;serif"/>
          <w:b w:val="false"/>
          <w:sz w:val="20"/>
        </w:rPr>
        <w:t>, as applicable, releasing the Company (and its successor) from any and all claims Executive may have against such entities related to or arising in connection with his or her employment and the terms of such employment and termination thereof (the “</w:t>
      </w:r>
      <w:r>
        <w:rPr>
          <w:rFonts w:ascii="Times New Roman;serif" w:hAnsi="Times New Roman;serif"/>
          <w:b w:val="false"/>
          <w:sz w:val="20"/>
          <w:u w:val="single"/>
        </w:rPr>
        <w:t>Release</w:t>
      </w:r>
      <w:r>
        <w:rPr/>
        <w:t>”</w:t>
      </w:r>
      <w:r>
        <w:rPr>
          <w:rFonts w:ascii="Times New Roman;serif" w:hAnsi="Times New Roman;serif"/>
          <w:b w:val="false"/>
          <w:sz w:val="20"/>
        </w:rPr>
        <w:t>) within the time frame set forth therein, but not later than sixty (60) days following Executive’s Separation from Service (the “</w:t>
      </w:r>
      <w:r>
        <w:rPr>
          <w:rFonts w:ascii="Times New Roman;serif" w:hAnsi="Times New Roman;serif"/>
          <w:b w:val="false"/>
          <w:sz w:val="20"/>
          <w:u w:val="single"/>
        </w:rPr>
        <w:t>Release Effective Date</w:t>
      </w:r>
      <w:r>
        <w:rPr/>
        <w:t>”</w:t>
      </w:r>
      <w:r>
        <w:rPr>
          <w:rFonts w:ascii="Times New Roman;serif" w:hAnsi="Times New Roman;serif"/>
          <w:b w:val="false"/>
          <w:sz w:val="20"/>
        </w:rPr>
        <w:t>). Such Release shall specifically relate to all of Executive’s rights and claims in existence at the time of such execution and shall confirm Executive’s continuing obligations to the Company (including but not limited to obligations under any confidentiality and/or non-solicitation agreement with the Company). No Severance Benefits will be paid prior to the Release Effective Date. Within five (5) days following the Release Effective Date, the Company will pay Executive the Severance Benefits Executive would otherwise have received on or prior to such date but for the delay in payment related to the effectiveness of the Release, with the balance of the benefits being paid as originally scheduled. Unless a Change in Control has occurred, the Board, in its sole discretion, may modify the form of the required Release to comply with applicable law and shall determine the form of the required Release, which may be incorporated into a termination agreement or other agreement with Executive. Notwithstanding the foregoing, if the Company (or, if applicable, the successor entity thereto) determines that any of the Severance Benefits constitute “deferred compensation” under Section 409A (defined below), then, solely to the extent necessary to avoid the incurrence of the adverse personal tax consequences under Section 409A, no Severance Benefits will be paid prior to the sixtieth (60th) day following Executive’s Separation from Service. On the sixtieth (60th) day following the date of Separation from Service, the Company will pay to Executive in a lump sum the applicable Severance Benefits that Executive would otherwise have received on or prior to such date, with the balance of the Severance Benefits being paid as originally scheduled.</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b w:val="false"/>
          <w:sz w:val="20"/>
        </w:rPr>
      </w:pPr>
      <w:r>
        <w:rPr>
          <w:rFonts w:ascii="Times New Roman" w:hAnsi="Times New Roman"/>
          <w:b w:val="false"/>
          <w:sz w:val="20"/>
        </w:rPr>
        <w:t>5.</w:t>
      </w:r>
    </w:p>
    <w:p>
      <w:pPr>
        <w:pStyle w:val="TextBody"/>
        <w:spacing w:before="240" w:after="0"/>
        <w:jc w:val="left"/>
        <w:rPr/>
      </w:pPr>
      <w:r>
        <w:rPr>
          <w:rFonts w:ascii="Times New Roman;serif" w:hAnsi="Times New Roman;serif"/>
          <w:b w:val="false"/>
          <w:sz w:val="20"/>
          <w:u w:val="single"/>
        </w:rPr>
        <w:t>Limitation on Payments</w:t>
      </w:r>
      <w:r>
        <w:rPr>
          <w:rFonts w:ascii="Times New Roman;serif" w:hAnsi="Times New Roman;serif"/>
          <w:b w:val="false"/>
          <w:sz w:val="20"/>
        </w:rPr>
        <w:t>. If any payment or benefit (including payments and benefits pursuant to this Agreement) that Executive would receive in connection with a Change in Control from the Company or otherwise (“</w:t>
      </w:r>
      <w:r>
        <w:rPr>
          <w:rFonts w:ascii="Times New Roman;serif" w:hAnsi="Times New Roman;serif"/>
          <w:b w:val="false"/>
          <w:sz w:val="20"/>
          <w:u w:val="single"/>
        </w:rPr>
        <w:t>Transaction Payment</w:t>
      </w:r>
      <w:r>
        <w:rPr/>
        <w:t>”</w:t>
      </w:r>
      <w:r>
        <w:rPr>
          <w:rFonts w:ascii="Times New Roman;serif" w:hAnsi="Times New Roman;serif"/>
          <w:b w:val="false"/>
          <w:sz w:val="20"/>
        </w:rPr>
        <w:t>) would (i) constitute a “parachute payment” within the meaning of Section 280G of the Code, and (ii) but for this sentence, be subject to the excise tax imposed by Section 4999 of the Code (the “</w:t>
      </w:r>
      <w:r>
        <w:rPr>
          <w:rFonts w:ascii="Times New Roman;serif" w:hAnsi="Times New Roman;serif"/>
          <w:b w:val="false"/>
          <w:sz w:val="20"/>
          <w:u w:val="single"/>
        </w:rPr>
        <w:t>Excise Tax</w:t>
      </w:r>
      <w:r>
        <w:rPr/>
        <w:t>”</w:t>
      </w:r>
      <w:r>
        <w:rPr>
          <w:rFonts w:ascii="Times New Roman;serif" w:hAnsi="Times New Roman;serif"/>
          <w:b w:val="false"/>
          <w:sz w:val="20"/>
        </w:rPr>
        <w:t>), then the Company shall cause to be determined, before any amounts of the Transaction Payment are paid to Executive, which of the following two alternative forms of payment would result in Executive’s receipt, on an after-tax basis, of the greater amount of the Transaction Payment notwithstanding that all or some portion of the Transaction Payment may be subject to the Excise Tax: (1) payment in full of the entire amount of the Transaction Payment (a “</w:t>
      </w:r>
      <w:r>
        <w:rPr>
          <w:rFonts w:ascii="Times New Roman;serif" w:hAnsi="Times New Roman;serif"/>
          <w:b w:val="false"/>
          <w:sz w:val="20"/>
          <w:u w:val="single"/>
        </w:rPr>
        <w:t>Full Payment</w:t>
      </w:r>
      <w:r>
        <w:rPr/>
        <w:t>”</w:t>
      </w:r>
      <w:r>
        <w:rPr>
          <w:rFonts w:ascii="Times New Roman;serif" w:hAnsi="Times New Roman;serif"/>
          <w:b w:val="false"/>
          <w:sz w:val="20"/>
        </w:rPr>
        <w:t>), or (2) payment of only a part of the Transaction Payment so that Executive receives the largest payment possible without the imposition of the Excise Tax (a “</w:t>
      </w:r>
      <w:r>
        <w:rPr>
          <w:rFonts w:ascii="Times New Roman;serif" w:hAnsi="Times New Roman;serif"/>
          <w:b w:val="false"/>
          <w:sz w:val="20"/>
          <w:u w:val="single"/>
        </w:rPr>
        <w:t>Reduced Payment</w:t>
      </w:r>
      <w:r>
        <w:rPr/>
        <w:t>”</w:t>
      </w:r>
      <w:r>
        <w:rPr>
          <w:rFonts w:ascii="Times New Roman;serif" w:hAnsi="Times New Roman;serif"/>
          <w:b w:val="false"/>
          <w:sz w:val="20"/>
        </w:rPr>
        <w:t>) .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(x) Executive shall have no rights to any additional payments and/or benefits constituting the Transaction Payment, and (y) reduction in payments and/or benefits will occur in the following order: (1) reduction of cash payments; (2) cancellation of accelerated vesting of equity awards other than stock options; (3) cancellation of accelerated vesting of stock options; and (4) reduction of other benefits paid to Executive. In the event that acceleration of vesting of equity award compensation is to be reduced, such acceleration of vesting will be cancelled in the reverse order of the date of grant of Executive’s equity awards. In no event will the Company or any stockholder be liable to Executive for any amounts not paid as a result of the operation of this Section 5.</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professional firm engaged by the Company for general tax purposes as of the day prior to the effective date of the Change in Control shall make all determinations required to be made under this Section 5. If the professional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professional firm required to be made hereunder.</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professional firm engaged to make the determinations hereunder shall provide its calculations, together with detailed supporting documentation, to the Company and Executive within fifteen (15) calendar days after the date on which Executive’s right to a Transaction Payment is triggered or such other time as reasonably requested by the Company or Executive. If the professional firm determines that no Excise Tax is payable with respect to the Transaction Payment, either before or after the application of the Reduced Amount, it shall furnish the Company and Executive with detailed supporting calculations of its determinations that no Excise Tax will be imposed with respect to such Transaction Payment. Any good faith determinations of the professional firm made hereunder shall be final, binding and conclusive upon the Company and Executive.</w:t>
      </w:r>
    </w:p>
    <w:p>
      <w:pPr>
        <w:pStyle w:val="TextBody"/>
        <w:spacing w:before="240" w:after="0"/>
        <w:jc w:val="left"/>
        <w:rPr>
          <w:rFonts w:ascii="Times New Roman" w:hAnsi="Times New Roman"/>
          <w:b w:val="false"/>
          <w:sz w:val="20"/>
        </w:rPr>
      </w:pPr>
      <w:r>
        <w:rPr>
          <w:rFonts w:ascii="Times New Roman" w:hAnsi="Times New Roman"/>
          <w:b w:val="false"/>
          <w:sz w:val="20"/>
        </w:rPr>
        <w:t>6.</w:t>
      </w:r>
    </w:p>
    <w:p>
      <w:pPr>
        <w:pStyle w:val="TextBody"/>
        <w:spacing w:before="240" w:after="283"/>
        <w:jc w:val="left"/>
        <w:rPr/>
      </w:pPr>
      <w:r>
        <w:rPr>
          <w:rFonts w:ascii="Times New Roman;serif" w:hAnsi="Times New Roman;serif"/>
          <w:b w:val="false"/>
          <w:sz w:val="20"/>
          <w:u w:val="single"/>
        </w:rPr>
        <w:t>Successors</w:t>
      </w:r>
      <w:r>
        <w:rPr>
          <w:rFonts w:ascii="Times New Roman;serif" w:hAnsi="Times New Roman;serif"/>
          <w:b w:val="false"/>
          <w:sz w:val="20"/>
        </w:rPr>
        <w:t>.</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(a)</w:t>
      </w:r>
    </w:p>
    <w:p>
      <w:pPr>
        <w:pStyle w:val="TextBody"/>
        <w:jc w:val="left"/>
        <w:rPr/>
      </w:pPr>
      <w:r>
        <w:rPr>
          <w:rFonts w:ascii="Times New Roman;serif" w:hAnsi="Times New Roman;serif"/>
          <w:b w:val="false"/>
          <w:sz w:val="20"/>
          <w:u w:val="single"/>
        </w:rPr>
        <w:t>Company’s Successors</w:t>
      </w:r>
      <w:r>
        <w:rPr>
          <w:rFonts w:ascii="Times New Roman;serif" w:hAnsi="Times New Roman;serif"/>
          <w:b w:val="false"/>
          <w:sz w:val="20"/>
        </w:rPr>
        <w:t>. Any successor to the Company (whether direct or indirect and whether by purchase, lease, merger, consolidation, liquidation or otherwise) to all or substantially all of the Company’s business and/or assets shall assume the Company’s, or ensure that the Company fully performs its, obligations under this Agreement and shall perform the Company’s, or ensure that the Company performs its, obligations, under this Agreement in the same manner and to the same extent as the Company would be required to perform such obligations in the absence of a succession. For all purposes under this Agreement, the term “Company” shall include any such successor.</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(b)</w:t>
      </w:r>
    </w:p>
    <w:p>
      <w:pPr>
        <w:pStyle w:val="TextBody"/>
        <w:jc w:val="left"/>
        <w:rPr/>
      </w:pPr>
      <w:r>
        <w:rPr>
          <w:rFonts w:ascii="Times New Roman;serif" w:hAnsi="Times New Roman;serif"/>
          <w:b w:val="false"/>
          <w:sz w:val="20"/>
          <w:u w:val="single"/>
        </w:rPr>
        <w:t>Executive’s Successors</w:t>
      </w:r>
      <w:r>
        <w:rPr>
          <w:rFonts w:ascii="Times New Roman;serif" w:hAnsi="Times New Roman;serif"/>
          <w:b w:val="false"/>
          <w:sz w:val="20"/>
        </w:rPr>
        <w:t>. Without the written consent of the Company, Executive shall not assign or transfer any right or obligation under this Agreement to any other person or entity. Notwithstanding the foregoing, the terms of this Agreement and all rights of Executive hereunder shall inure to the benefit of, and be enforceable by, Executive’s personal or legal representatives, executors, administrators, successors, heirs, distributees, devisees and legatees.</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b w:val="false"/>
          <w:sz w:val="20"/>
        </w:rPr>
      </w:pPr>
      <w:r>
        <w:rPr>
          <w:rFonts w:ascii="Times New Roman" w:hAnsi="Times New Roman"/>
          <w:b w:val="false"/>
          <w:sz w:val="20"/>
        </w:rPr>
        <w:t>7.</w:t>
      </w:r>
    </w:p>
    <w:p>
      <w:pPr>
        <w:pStyle w:val="TextBody"/>
        <w:spacing w:before="240" w:after="0"/>
        <w:jc w:val="left"/>
        <w:rPr/>
      </w:pPr>
      <w:r>
        <w:rPr>
          <w:rFonts w:ascii="Times New Roman;serif" w:hAnsi="Times New Roman;serif"/>
          <w:b w:val="false"/>
          <w:sz w:val="20"/>
          <w:u w:val="single"/>
        </w:rPr>
        <w:t>Notices</w:t>
      </w:r>
      <w:r>
        <w:rPr>
          <w:rFonts w:ascii="Times New Roman;serif" w:hAnsi="Times New Roman;serif"/>
          <w:b w:val="false"/>
          <w:sz w:val="20"/>
        </w:rPr>
        <w:t>.</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pPr>
      <w:r>
        <w:rPr>
          <w:rFonts w:ascii="Times New Roman;serif" w:hAnsi="Times New Roman;serif"/>
          <w:b w:val="false"/>
          <w:sz w:val="20"/>
          <w:u w:val="single"/>
        </w:rPr>
        <w:t>General</w:t>
      </w:r>
      <w:r>
        <w:rPr>
          <w:rFonts w:ascii="Times New Roman;serif" w:hAnsi="Times New Roman;serif"/>
          <w:b w:val="false"/>
          <w:sz w:val="20"/>
        </w:rPr>
        <w:t>. Notices and all other communications contemplated by this Agreement shall be in writing and shall be deemed to have been duly given when personally delivered or when mailed by U.S. registered or certified mail, return receipt requested and postage prepaid. In the case of Executive, mailed notices shall be addressed to him at the home address which he most recently communicated to the Company in writing. In the case of the Company, mailed notices shall be addressed to its corporate headquarters, and all notices shall be directed to the attention of its Secretary.</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0"/>
        <w:jc w:val="left"/>
        <w:rPr/>
      </w:pPr>
      <w:r>
        <w:rPr>
          <w:rFonts w:ascii="Times New Roman;serif" w:hAnsi="Times New Roman;serif"/>
          <w:b w:val="false"/>
          <w:sz w:val="20"/>
          <w:u w:val="single"/>
        </w:rPr>
        <w:t>Notice of Termination</w:t>
      </w:r>
      <w:r>
        <w:rPr>
          <w:rFonts w:ascii="Times New Roman;serif" w:hAnsi="Times New Roman;serif"/>
          <w:b w:val="false"/>
          <w:sz w:val="20"/>
        </w:rPr>
        <w:t>. Any termination by the Company with or without Cause or by Executive as a result of a voluntary resignation for any reason shall be communicated by a notice of termination to the other party hereto given in accordance with this Agreement.</w:t>
      </w:r>
    </w:p>
    <w:p>
      <w:pPr>
        <w:pStyle w:val="TextBody"/>
        <w:spacing w:before="240" w:after="0"/>
        <w:jc w:val="left"/>
        <w:rPr>
          <w:rFonts w:ascii="Times New Roman" w:hAnsi="Times New Roman"/>
          <w:b w:val="false"/>
          <w:sz w:val="20"/>
        </w:rPr>
      </w:pPr>
      <w:r>
        <w:rPr>
          <w:rFonts w:ascii="Times New Roman" w:hAnsi="Times New Roman"/>
          <w:b w:val="false"/>
          <w:sz w:val="20"/>
        </w:rPr>
        <w:t>8.</w:t>
      </w:r>
    </w:p>
    <w:p>
      <w:pPr>
        <w:pStyle w:val="TextBody"/>
        <w:spacing w:before="240" w:after="0"/>
        <w:jc w:val="left"/>
        <w:rPr/>
      </w:pPr>
      <w:r>
        <w:rPr>
          <w:rFonts w:ascii="Times New Roman;serif" w:hAnsi="Times New Roman;serif"/>
          <w:b w:val="false"/>
          <w:sz w:val="20"/>
          <w:u w:val="single"/>
        </w:rPr>
        <w:t>Arbitration</w:t>
      </w:r>
      <w:r>
        <w:rPr>
          <w:rFonts w:ascii="Times New Roman;serif" w:hAnsi="Times New Roman;serif"/>
          <w:b w:val="false"/>
          <w:sz w:val="20"/>
        </w:rPr>
        <w:t>. The Company and Executive shall attempt to settle any disputes arising in connection with this Agreement through good faith consultation. In the event that Executive and the Company are not able to resolve any such disputes within fifteen (15) days after notification in writing to the other, any</w:t>
      </w:r>
      <w:r>
        <w:rPr/>
        <w:t xml:space="preserve"> </w:t>
      </w:r>
      <w:r>
        <w:rPr>
          <w:rFonts w:ascii="Times New Roman;serif" w:hAnsi="Times New Roman;serif"/>
          <w:b w:val="false"/>
          <w:sz w:val="20"/>
        </w:rPr>
        <w:t>dispute or claim arising out of or in connection with this Agreement will be finally settled by binding arbitration in San Francisco, California in accordance with the rules of the American Arbitration Association by one arbitrator</w:t>
      </w:r>
      <w:r>
        <w:rPr/>
        <w:t xml:space="preserve"> </w:t>
      </w:r>
      <w:r>
        <w:rPr>
          <w:rFonts w:ascii="Times New Roman;serif" w:hAnsi="Times New Roman;serif"/>
          <w:b w:val="false"/>
          <w:sz w:val="20"/>
        </w:rPr>
        <w:t>mutually agreed upon by the parties. The arbitrator will apply California law, without reference to rules of conflicts of law or rules of statutory arbitration, to the resolution of any dispute. Except as set forth in Section 10(h) below, the arbitrator shall not have authority to modify the terms of this Agreement. The Company shall pay the costs of the arbitration proceeding. Each party shall, unless otherwise determined by the arbitrator, bear its or his or her own attorneys’ fees and expenses, provided however that if Executive prevails in an arbitration proceeding, the Company shall reimburse Executive for his or her reasonable attorneys' fees and costs. Judgment on the award rendered by the arbitrator may be entered in any court having jurisdiction thereof. Notwithstanding the foregoing, the Company and Executive may apply to any court of competent jurisdiction for preliminary or interim equitable relief, or to compel arbitration in accordance with this paragraph, without breach of this arbitration provision.</w:t>
      </w:r>
    </w:p>
    <w:p>
      <w:pPr>
        <w:pStyle w:val="TextBody"/>
        <w:spacing w:before="240" w:after="0"/>
        <w:jc w:val="left"/>
        <w:rPr>
          <w:rFonts w:ascii="Times New Roman" w:hAnsi="Times New Roman"/>
          <w:b w:val="false"/>
          <w:sz w:val="20"/>
        </w:rPr>
      </w:pPr>
      <w:r>
        <w:rPr>
          <w:rFonts w:ascii="Times New Roman" w:hAnsi="Times New Roman"/>
          <w:b w:val="false"/>
          <w:sz w:val="20"/>
        </w:rPr>
        <w:t>9.</w:t>
      </w:r>
    </w:p>
    <w:p>
      <w:pPr>
        <w:pStyle w:val="TextBody"/>
        <w:spacing w:before="240" w:after="0"/>
        <w:jc w:val="left"/>
        <w:rPr/>
      </w:pPr>
      <w:r>
        <w:rPr>
          <w:rFonts w:ascii="Times New Roman;serif" w:hAnsi="Times New Roman;serif"/>
          <w:b w:val="false"/>
          <w:sz w:val="20"/>
          <w:u w:val="single"/>
        </w:rPr>
        <w:t>Definition of Terms</w:t>
      </w:r>
      <w:r>
        <w:rPr>
          <w:rFonts w:ascii="Times New Roman;serif" w:hAnsi="Times New Roman;serif"/>
          <w:b w:val="false"/>
          <w:sz w:val="20"/>
        </w:rPr>
        <w:t>. The following terms referred to in this Agreement shall have the following meanings:</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283"/>
        <w:jc w:val="left"/>
        <w:rPr/>
      </w:pPr>
      <w:r>
        <w:rPr>
          <w:rFonts w:ascii="Times New Roman;serif" w:hAnsi="Times New Roman;serif"/>
          <w:b w:val="false"/>
          <w:sz w:val="20"/>
          <w:u w:val="single"/>
        </w:rPr>
        <w:t>Cause</w:t>
      </w:r>
      <w:r>
        <w:rPr>
          <w:rFonts w:ascii="Times New Roman;serif" w:hAnsi="Times New Roman;serif"/>
          <w:b w:val="false"/>
          <w:sz w:val="20"/>
        </w:rPr>
        <w:t>. “</w:t>
      </w:r>
      <w:r>
        <w:rPr>
          <w:rFonts w:ascii="Times New Roman;serif" w:hAnsi="Times New Roman;serif"/>
          <w:b w:val="false"/>
          <w:sz w:val="20"/>
          <w:u w:val="single"/>
        </w:rPr>
        <w:t>Cause</w:t>
      </w:r>
      <w:r>
        <w:rPr/>
        <w:t xml:space="preserve">” </w:t>
      </w:r>
      <w:r>
        <w:rPr>
          <w:rFonts w:ascii="Times New Roman;serif" w:hAnsi="Times New Roman;serif"/>
          <w:b w:val="false"/>
          <w:sz w:val="20"/>
        </w:rPr>
        <w:t xml:space="preserve">for termination of Executive’s employment will exist if Executive is terminated by the Company for any of the following reasons: (i) Executive’s willful failure substantially to perform his or her duties and responsibilities to the Company or deliberate violation of a Company policy; (ii) Executive’s commission of any act of fraud, embezzlement, dishonesty or any other willful misconduct that has caused or is reasonably expected to result in material injury to the Company; (iii) unauthorized use or disclosure by Executive of any proprietary information or trade secrets of the Company or any other party to whom Executive owes an obligation of nondisclosure as a result of his or her relationship with the Company; or (iv) Executive’s willful breach of any of his or her obligations under any written agreement or covenant with the Company. The determination as to whether Executive is being terminated for Cause shall be made in good faith by the Company and shall be final and binding on Executive. The foregoing definition does not in any way limit the Company’s ability to terminate Executive’s employment relationship at any time as provided in Sections 1 and 10(d) of this Agreement, and the term “Company” will be interpreted to include any subsidiary, parent or affiliate of the Company, as appropriate. </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(b)</w:t>
      </w:r>
    </w:p>
    <w:p>
      <w:pPr>
        <w:pStyle w:val="TextBody"/>
        <w:jc w:val="left"/>
        <w:rPr/>
      </w:pPr>
      <w:r>
        <w:rPr>
          <w:rFonts w:ascii="Times New Roman;serif" w:hAnsi="Times New Roman;serif"/>
          <w:b w:val="false"/>
          <w:sz w:val="20"/>
          <w:u w:val="single"/>
        </w:rPr>
        <w:t>Change in Control</w:t>
      </w:r>
      <w:r>
        <w:rPr>
          <w:rFonts w:ascii="Times New Roman;serif" w:hAnsi="Times New Roman;serif"/>
          <w:b w:val="false"/>
          <w:sz w:val="20"/>
        </w:rPr>
        <w:t>. “</w:t>
      </w:r>
      <w:r>
        <w:rPr>
          <w:rFonts w:ascii="Times New Roman;serif" w:hAnsi="Times New Roman;serif"/>
          <w:b w:val="false"/>
          <w:sz w:val="20"/>
          <w:u w:val="single"/>
        </w:rPr>
        <w:t>Change in Control</w:t>
      </w:r>
      <w:r>
        <w:rPr/>
        <w:t xml:space="preserve">” </w:t>
      </w:r>
      <w:r>
        <w:rPr>
          <w:rFonts w:ascii="Times New Roman;serif" w:hAnsi="Times New Roman;serif"/>
          <w:b w:val="false"/>
          <w:sz w:val="20"/>
        </w:rPr>
        <w:t>means the first to occur of any of the following transactions that also constitutes a change in the ownership or effective control of the Company, or a change in the ownership of a substantial portion of the Company’s assets, as described in Treasury Regulation Section 1.409A</w:t>
        <w:noBreakHyphen/>
        <w:t>3(i)(5): (A) a merger or consolidation in which the Company is not the surviving entity, except for a transaction the principal purpose of which is to change the state in which the Company is incorporated; (B) the sale, transfer or other disposition of all or substantially all of the assets of the Company (including the capital stock of the Company’s subsidiary corporations); (C) any reverse merger in which the Company is the surviving entity but in which securities possessing more than fifty percent (50%) of the total combined voting power of the Company’s outstanding securities are transferred to a person or persons different from those who held such securities immediately prior to such merger; or (D) an 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b w:val="false"/>
          <w:sz w:val="20"/>
        </w:rPr>
      </w:pPr>
      <w:r>
        <w:rPr>
          <w:rFonts w:ascii="Times New Roman" w:hAnsi="Times New Roman"/>
          <w:b w:val="false"/>
          <w:sz w:val="20"/>
        </w:rPr>
        <w:t>(c)</w:t>
      </w:r>
    </w:p>
    <w:p>
      <w:pPr>
        <w:pStyle w:val="TextBody"/>
        <w:spacing w:before="240" w:after="0"/>
        <w:jc w:val="left"/>
        <w:rPr/>
      </w:pPr>
      <w:r>
        <w:rPr>
          <w:rFonts w:ascii="Times New Roman;serif" w:hAnsi="Times New Roman;serif"/>
          <w:b w:val="false"/>
          <w:sz w:val="20"/>
          <w:u w:val="single"/>
        </w:rPr>
        <w:t>Good Reason</w:t>
      </w:r>
      <w:r>
        <w:rPr>
          <w:rFonts w:ascii="Times New Roman;serif" w:hAnsi="Times New Roman;serif"/>
          <w:b w:val="false"/>
          <w:sz w:val="20"/>
        </w:rPr>
        <w:t>. “</w:t>
      </w:r>
      <w:r>
        <w:rPr>
          <w:rFonts w:ascii="Times New Roman;serif" w:hAnsi="Times New Roman;serif"/>
          <w:b w:val="false"/>
          <w:sz w:val="20"/>
          <w:u w:val="single"/>
        </w:rPr>
        <w:t>Good Reason</w:t>
      </w:r>
      <w:r>
        <w:rPr/>
        <w:t xml:space="preserve">” </w:t>
      </w:r>
      <w:r>
        <w:rPr>
          <w:rFonts w:ascii="Times New Roman;serif" w:hAnsi="Times New Roman;serif"/>
          <w:b w:val="false"/>
          <w:sz w:val="20"/>
        </w:rPr>
        <w:t xml:space="preserve">for Executive's resignation of his or her employment shall exist following the occurrence of any of the following without Executive’s written consent: (i) a material reduction in job duties or responsibilities inconsistent with the Executive’s position with the Company;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however,</w:t>
      </w:r>
      <w:r>
        <w:rPr/>
        <w:t xml:space="preserve"> </w:t>
      </w:r>
      <w:r>
        <w:rPr>
          <w:rFonts w:ascii="Times New Roman;serif" w:hAnsi="Times New Roman;serif"/>
          <w:b w:val="false"/>
          <w:sz w:val="20"/>
        </w:rPr>
        <w:t xml:space="preserve">that any such reduction or change after a Change in Control will not constitute Good Reason if Executive retains reasonably comparable duties, and responsibilities with respect to the Company’s business within the successor entity following a Change of Control; (ii) a material reduction of Executive’s then current base salary or target bonus; (iii) the relocation of Executive’s principal place of employment to a place that increases Executive’s one-way commute by more than forty (40) miles as compared to Executive’s then current principal place of employment immediately prior to such relocation; (iv) any material breach by the Company of the Plan or any other written agreement between the Company and the Executive; or (v) the failure by any successor to the Company to assume the Plan and any obligations under the Plan; </w:t>
      </w:r>
      <w:r>
        <w:rPr>
          <w:rFonts w:ascii="Times New Roman;serif" w:hAnsi="Times New Roman;serif"/>
          <w:b w:val="false"/>
          <w:sz w:val="20"/>
          <w:u w:val="single"/>
        </w:rPr>
        <w:t>provided</w:t>
      </w:r>
      <w:r>
        <w:rPr>
          <w:rFonts w:ascii="Times New Roman;serif" w:hAnsi="Times New Roman;serif"/>
          <w:b w:val="false"/>
          <w:sz w:val="20"/>
        </w:rPr>
        <w:t>, that the Executive gives written notice to the Company of the event forming the basis of the termination for Good Reason within sixty (60) days after the date on which the Company gives written notice to the Executive of the Company’s affirmative decision to take an action set forth in clause (i), (ii), (iii), (iv) or (v) above, the Company fails to cure such basis for the Good Reason resignation within thirty (30) days after receipt of Executive’s written notice and Executive terminates his or her employment within thirty (30) days following the expiration of the cure period.</w:t>
      </w:r>
    </w:p>
    <w:p>
      <w:pPr>
        <w:pStyle w:val="TextBody"/>
        <w:spacing w:before="240" w:after="0"/>
        <w:jc w:val="left"/>
        <w:rPr>
          <w:rFonts w:ascii="Times New Roman" w:hAnsi="Times New Roman"/>
          <w:b w:val="false"/>
          <w:sz w:val="20"/>
        </w:rPr>
      </w:pPr>
      <w:r>
        <w:rPr>
          <w:rFonts w:ascii="Times New Roman" w:hAnsi="Times New Roman"/>
          <w:b w:val="false"/>
          <w:sz w:val="20"/>
        </w:rPr>
        <w:t>(d)</w:t>
      </w:r>
    </w:p>
    <w:p>
      <w:pPr>
        <w:pStyle w:val="TextBody"/>
        <w:spacing w:before="240" w:after="0"/>
        <w:jc w:val="left"/>
        <w:rPr/>
      </w:pPr>
      <w:r>
        <w:rPr>
          <w:rFonts w:ascii="Times New Roman;serif" w:hAnsi="Times New Roman;serif"/>
          <w:b w:val="false"/>
          <w:sz w:val="20"/>
          <w:u w:val="single"/>
        </w:rPr>
        <w:t>Plan</w:t>
      </w:r>
      <w:r>
        <w:rPr>
          <w:rFonts w:ascii="Times New Roman;serif" w:hAnsi="Times New Roman;serif"/>
          <w:b w:val="false"/>
          <w:sz w:val="20"/>
        </w:rPr>
        <w:t>. “</w:t>
      </w:r>
      <w:r>
        <w:rPr>
          <w:rFonts w:ascii="Times New Roman;serif" w:hAnsi="Times New Roman;serif"/>
          <w:b w:val="false"/>
          <w:sz w:val="20"/>
          <w:u w:val="single"/>
        </w:rPr>
        <w:t>Plan</w:t>
      </w:r>
      <w:r>
        <w:rPr/>
        <w:t xml:space="preserve">” </w:t>
      </w:r>
      <w:r>
        <w:rPr>
          <w:rFonts w:ascii="Times New Roman;serif" w:hAnsi="Times New Roman;serif"/>
          <w:b w:val="false"/>
          <w:sz w:val="20"/>
        </w:rPr>
        <w:t>collectively refers to (i) Company’s Amended and Restated 2005 Stock Plan, adopted by the Board on February 17, 2005, as amended from time to time, (ii) Company’s 2014 Equity Incentive Plan, adopted by the Board on September 9, 2014, as amended from time to time, and (iii) any preceding and succeeding plans thereto.</w:t>
      </w:r>
    </w:p>
    <w:p>
      <w:pPr>
        <w:pStyle w:val="TextBody"/>
        <w:spacing w:before="240" w:after="0"/>
        <w:jc w:val="left"/>
        <w:rPr>
          <w:rFonts w:ascii="Times New Roman" w:hAnsi="Times New Roman"/>
          <w:b w:val="false"/>
          <w:sz w:val="20"/>
        </w:rPr>
      </w:pPr>
      <w:r>
        <w:rPr>
          <w:rFonts w:ascii="Times New Roman" w:hAnsi="Times New Roman"/>
          <w:b w:val="false"/>
          <w:sz w:val="20"/>
        </w:rPr>
        <w:t>(e)</w:t>
      </w:r>
    </w:p>
    <w:p>
      <w:pPr>
        <w:pStyle w:val="TextBody"/>
        <w:spacing w:before="240" w:after="0"/>
        <w:jc w:val="left"/>
        <w:rPr/>
      </w:pPr>
      <w:r>
        <w:rPr>
          <w:rFonts w:ascii="Times New Roman;serif" w:hAnsi="Times New Roman;serif"/>
          <w:b w:val="false"/>
          <w:sz w:val="20"/>
          <w:u w:val="single"/>
        </w:rPr>
        <w:t>Stock Awards</w:t>
      </w:r>
      <w:r>
        <w:rPr>
          <w:rFonts w:ascii="Times New Roman;serif" w:hAnsi="Times New Roman;serif"/>
          <w:b w:val="false"/>
          <w:sz w:val="20"/>
        </w:rPr>
        <w:t>. “</w:t>
      </w:r>
      <w:r>
        <w:rPr>
          <w:rFonts w:ascii="Times New Roman;serif" w:hAnsi="Times New Roman;serif"/>
          <w:b w:val="false"/>
          <w:sz w:val="20"/>
          <w:u w:val="single"/>
        </w:rPr>
        <w:t>Stock Award(s)</w:t>
      </w:r>
      <w:r>
        <w:rPr/>
        <w:t xml:space="preserve">” </w:t>
      </w:r>
      <w:r>
        <w:rPr>
          <w:rFonts w:ascii="Times New Roman;serif" w:hAnsi="Times New Roman;serif"/>
          <w:b w:val="false"/>
          <w:sz w:val="20"/>
        </w:rPr>
        <w:t xml:space="preserve">means any right to receive or purchase equity of the Company or other equity based award or compensation as granted under the Plan, including without limitation an Incentive Stock Option, a Nonstatutory Stock Option, a Stock Purchase Award, a Stock Bonus Award, a Restricted Stock Award, a Restricted Stock Unit Award, a Stock Unit Award, a Stock Appreciation Right, a Performance Stock Award or any Other Stock Award, each of the foregoing as defined under the Plan; </w:t>
      </w:r>
      <w:r>
        <w:rPr>
          <w:rFonts w:ascii="Times New Roman;serif" w:hAnsi="Times New Roman;serif"/>
          <w:b w:val="false"/>
          <w:i/>
          <w:sz w:val="20"/>
        </w:rPr>
        <w:t>provided, however,</w:t>
      </w:r>
      <w:r>
        <w:rPr/>
        <w:t xml:space="preserve"> </w:t>
      </w:r>
      <w:r>
        <w:rPr>
          <w:rFonts w:ascii="Times New Roman;serif" w:hAnsi="Times New Roman;serif"/>
          <w:b w:val="false"/>
          <w:sz w:val="20"/>
        </w:rPr>
        <w:t>that a Stock Award shall not include any of the foregoing awards to the extent that the grant documentation evidencing such award explicitly provides that the terms of this Agreement shall be superseded by the provisions of such grant documentation.</w:t>
      </w:r>
      <w:r>
        <w:rPr>
          <w:u w:val="single"/>
        </w:rPr>
        <w:t xml:space="preserve"> </w:t>
      </w:r>
    </w:p>
    <w:p>
      <w:pPr>
        <w:pStyle w:val="TextBody"/>
        <w:spacing w:before="240" w:after="0"/>
        <w:jc w:val="left"/>
        <w:rPr>
          <w:rFonts w:ascii="Times New Roman" w:hAnsi="Times New Roman"/>
          <w:b w:val="false"/>
          <w:sz w:val="20"/>
        </w:rPr>
      </w:pPr>
      <w:r>
        <w:rPr>
          <w:rFonts w:ascii="Times New Roman" w:hAnsi="Times New Roman"/>
          <w:b w:val="false"/>
          <w:sz w:val="20"/>
        </w:rPr>
        <w:t>10.</w:t>
      </w:r>
    </w:p>
    <w:p>
      <w:pPr>
        <w:pStyle w:val="TextBody"/>
        <w:spacing w:before="240" w:after="0"/>
        <w:jc w:val="left"/>
        <w:rPr/>
      </w:pPr>
      <w:r>
        <w:rPr>
          <w:rFonts w:ascii="Times New Roman;serif" w:hAnsi="Times New Roman;serif"/>
          <w:b w:val="false"/>
          <w:sz w:val="20"/>
          <w:u w:val="single"/>
        </w:rPr>
        <w:t>Miscellaneous Provisions</w:t>
      </w:r>
      <w:r>
        <w:rPr>
          <w:rFonts w:ascii="Times New Roman;serif" w:hAnsi="Times New Roman;serif"/>
          <w:b w:val="false"/>
          <w:sz w:val="20"/>
        </w:rPr>
        <w:t>.</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pPr>
      <w:r>
        <w:rPr>
          <w:rFonts w:ascii="Times New Roman;serif" w:hAnsi="Times New Roman;serif"/>
          <w:b w:val="false"/>
          <w:sz w:val="20"/>
          <w:u w:val="single"/>
        </w:rPr>
        <w:t>Executive Obligations</w:t>
      </w:r>
      <w:r>
        <w:rPr>
          <w:rFonts w:ascii="Times New Roman;serif" w:hAnsi="Times New Roman;serif"/>
          <w:b w:val="false"/>
          <w:sz w:val="20"/>
        </w:rPr>
        <w:t xml:space="preserve">. Notwithstanding anything to the contrary contained herein, payment of any of the Severance Benefits will be conditioned upon (i) Executive continuing to comply with his or her obligations under his or her Confidential Information, Secrecy and Invention Agreement during the period of time in which Executive is receiving the Severance Benefits; and (ii) if Executive is a member of the Board, Executive’s resignation from the Board, to be effective no later than the date of Separation from Service (or such other date as requested by the Board). </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283"/>
        <w:jc w:val="left"/>
        <w:rPr/>
      </w:pPr>
      <w:r>
        <w:rPr>
          <w:rFonts w:ascii="Times New Roman;serif" w:hAnsi="Times New Roman;serif"/>
          <w:b w:val="false"/>
          <w:sz w:val="20"/>
          <w:u w:val="single"/>
        </w:rPr>
        <w:t>Effect of Statutory Benefits</w:t>
      </w:r>
      <w:r>
        <w:rPr>
          <w:rFonts w:ascii="Times New Roman;serif" w:hAnsi="Times New Roman;serif"/>
          <w:b w:val="false"/>
          <w:sz w:val="20"/>
        </w:rPr>
        <w:t xml:space="preserve">. To the extent that any severance benefits are required to be paid to Executive upon termination of employment with the Company as a result of any requirement of law or any governmental entity in any applicable jurisdiction, the aggregate amount of severance benefits payable pursuant to Section 3 hereof shall not be reduced by such amount. </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(c)</w:t>
      </w:r>
    </w:p>
    <w:p>
      <w:pPr>
        <w:pStyle w:val="TextBody"/>
        <w:jc w:val="left"/>
        <w:rPr/>
      </w:pPr>
      <w:r>
        <w:rPr>
          <w:rFonts w:ascii="Times New Roman;serif" w:hAnsi="Times New Roman;serif"/>
          <w:b w:val="false"/>
          <w:sz w:val="20"/>
          <w:u w:val="single"/>
        </w:rPr>
        <w:t>No Duty to Mitigate</w:t>
      </w:r>
      <w:r>
        <w:rPr>
          <w:rFonts w:ascii="Times New Roman;serif" w:hAnsi="Times New Roman;serif"/>
          <w:b w:val="false"/>
          <w:sz w:val="20"/>
        </w:rPr>
        <w:t>. Executive shall not be required to mitigate the amount of any payment contemplated by this Agreement, nor shall any such payment be reduced by any earnings that Executive may receive from any other source.</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(d)</w:t>
      </w:r>
    </w:p>
    <w:p>
      <w:pPr>
        <w:pStyle w:val="TextBody"/>
        <w:jc w:val="left"/>
        <w:rPr/>
      </w:pPr>
      <w:r>
        <w:rPr>
          <w:rFonts w:ascii="Times New Roman;serif" w:hAnsi="Times New Roman;serif"/>
          <w:b w:val="false"/>
          <w:sz w:val="20"/>
          <w:u w:val="single"/>
        </w:rPr>
        <w:t>At-Will Employment Status</w:t>
      </w:r>
      <w:r>
        <w:rPr>
          <w:rFonts w:ascii="Times New Roman;serif" w:hAnsi="Times New Roman;serif"/>
          <w:b w:val="false"/>
          <w:sz w:val="20"/>
        </w:rPr>
        <w:t>. Nothing in this Agreement modifies Executive’s at-will employment status. Either Executive or the Company can terminate the employment relationship at any time, with or without Cause.</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(e)</w:t>
      </w:r>
    </w:p>
    <w:p>
      <w:pPr>
        <w:pStyle w:val="TextBody"/>
        <w:jc w:val="left"/>
        <w:rPr/>
      </w:pPr>
      <w:r>
        <w:rPr>
          <w:rFonts w:ascii="Times New Roman;serif" w:hAnsi="Times New Roman;serif"/>
          <w:b w:val="false"/>
          <w:sz w:val="20"/>
          <w:u w:val="single"/>
        </w:rPr>
        <w:t>Waiver</w:t>
      </w:r>
      <w:r>
        <w:rPr>
          <w:rFonts w:ascii="Times New Roman;serif" w:hAnsi="Times New Roman;serif"/>
          <w:b w:val="false"/>
          <w:sz w:val="20"/>
        </w:rPr>
        <w:t xml:space="preserve">. No provision of this Agreement may be waived or discharged unless the waiver or discharge is agreed to in writing and signed by the Executive and by an authorized officer of the Company (other than Executive). No waiver by either party of any breach of, or of compliance with, any condition or provision of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this Agreement by the other party shall be considered a waiver of any other condition or provision or of the same condition or provision at another time.</w:t>
      </w:r>
    </w:p>
    <w:p>
      <w:pPr>
        <w:pStyle w:val="TextBody"/>
        <w:spacing w:before="240" w:after="0"/>
        <w:jc w:val="left"/>
        <w:rPr>
          <w:rFonts w:ascii="Times New Roman" w:hAnsi="Times New Roman"/>
          <w:b w:val="false"/>
          <w:sz w:val="20"/>
        </w:rPr>
      </w:pPr>
      <w:r>
        <w:rPr>
          <w:rFonts w:ascii="Times New Roman" w:hAnsi="Times New Roman"/>
          <w:b w:val="false"/>
          <w:sz w:val="20"/>
        </w:rPr>
        <w:t>(f)</w:t>
      </w:r>
    </w:p>
    <w:p>
      <w:pPr>
        <w:pStyle w:val="TextBody"/>
        <w:spacing w:before="240" w:after="0"/>
        <w:jc w:val="left"/>
        <w:rPr/>
      </w:pPr>
      <w:r>
        <w:rPr>
          <w:rFonts w:ascii="Times New Roman;serif" w:hAnsi="Times New Roman;serif"/>
          <w:b w:val="false"/>
          <w:sz w:val="20"/>
          <w:u w:val="single"/>
        </w:rPr>
        <w:t>Integration</w:t>
      </w:r>
      <w:r>
        <w:rPr>
          <w:rFonts w:ascii="Times New Roman;serif" w:hAnsi="Times New Roman;serif"/>
          <w:b w:val="false"/>
          <w:sz w:val="20"/>
        </w:rPr>
        <w:t xml:space="preserve">. This Agreement supersedes all prior or contemporaneous agreements, whether written or oral, with respect to this Agreement; provided that, for clarification purposes, this Agreement shall not affect any agreements between the Company and Executive regarding intellectual property matters, non-solicitation or non-competition restrictions or confidential information of the Company. [This Agreement expressly supersedes and terminates all Change in Control and Severance Agreements entered into by and between Company and Executive prior to the Effective Date.] </w:t>
      </w:r>
    </w:p>
    <w:p>
      <w:pPr>
        <w:pStyle w:val="TextBody"/>
        <w:spacing w:before="240" w:after="0"/>
        <w:jc w:val="left"/>
        <w:rPr>
          <w:rFonts w:ascii="Times New Roman" w:hAnsi="Times New Roman"/>
          <w:b w:val="false"/>
          <w:sz w:val="20"/>
        </w:rPr>
      </w:pPr>
      <w:r>
        <w:rPr>
          <w:rFonts w:ascii="Times New Roman" w:hAnsi="Times New Roman"/>
          <w:b w:val="false"/>
          <w:sz w:val="20"/>
        </w:rPr>
        <w:t>(g)</w:t>
      </w:r>
    </w:p>
    <w:p>
      <w:pPr>
        <w:pStyle w:val="TextBody"/>
        <w:spacing w:before="240" w:after="0"/>
        <w:jc w:val="left"/>
        <w:rPr/>
      </w:pPr>
      <w:r>
        <w:rPr>
          <w:rFonts w:ascii="Times New Roman;serif" w:hAnsi="Times New Roman;serif"/>
          <w:b w:val="false"/>
          <w:sz w:val="20"/>
          <w:u w:val="single"/>
        </w:rPr>
        <w:t>Choice of Law</w:t>
      </w:r>
      <w:r>
        <w:rPr>
          <w:rFonts w:ascii="Times New Roman;serif" w:hAnsi="Times New Roman;serif"/>
          <w:b w:val="false"/>
          <w:sz w:val="20"/>
        </w:rPr>
        <w:t>. The validity, interpretation, construction and performance of this Agreement shall be governed by the internal substantive laws, but not the conflicts of law rules, of the State of California.</w:t>
      </w:r>
    </w:p>
    <w:p>
      <w:pPr>
        <w:pStyle w:val="TextBody"/>
        <w:spacing w:before="240" w:after="0"/>
        <w:jc w:val="left"/>
        <w:rPr>
          <w:rFonts w:ascii="Times New Roman" w:hAnsi="Times New Roman"/>
          <w:b w:val="false"/>
          <w:sz w:val="20"/>
        </w:rPr>
      </w:pPr>
      <w:r>
        <w:rPr>
          <w:rFonts w:ascii="Times New Roman" w:hAnsi="Times New Roman"/>
          <w:b w:val="false"/>
          <w:sz w:val="20"/>
        </w:rPr>
        <w:t>(h)</w:t>
      </w:r>
    </w:p>
    <w:p>
      <w:pPr>
        <w:pStyle w:val="TextBody"/>
        <w:spacing w:before="240" w:after="0"/>
        <w:jc w:val="left"/>
        <w:rPr/>
      </w:pPr>
      <w:r>
        <w:rPr>
          <w:rFonts w:ascii="Times New Roman;serif" w:hAnsi="Times New Roman;serif"/>
          <w:b w:val="false"/>
          <w:sz w:val="20"/>
          <w:u w:val="single"/>
        </w:rPr>
        <w:t>Severability</w:t>
      </w:r>
      <w:r>
        <w:rPr>
          <w:rFonts w:ascii="Times New Roman;serif" w:hAnsi="Times New Roman;serif"/>
          <w:b w:val="false"/>
          <w:sz w:val="20"/>
        </w:rPr>
        <w:t>. The invalidity or unenforceability of any provision or provisions of this Agreement shall not affect the validity or enforceability of any other provision hereof, which shall remain in full force and effect.</w:t>
      </w:r>
    </w:p>
    <w:p>
      <w:pPr>
        <w:pStyle w:val="TextBody"/>
        <w:spacing w:before="240" w:after="0"/>
        <w:jc w:val="left"/>
        <w:rPr>
          <w:rFonts w:ascii="Times New Roman" w:hAnsi="Times New Roman"/>
          <w:b w:val="false"/>
          <w:sz w:val="20"/>
        </w:rPr>
      </w:pPr>
      <w:r>
        <w:rPr>
          <w:rFonts w:ascii="Times New Roman" w:hAnsi="Times New Roman"/>
          <w:b w:val="false"/>
          <w:sz w:val="20"/>
        </w:rPr>
        <w:t>(i)</w:t>
      </w:r>
    </w:p>
    <w:p>
      <w:pPr>
        <w:pStyle w:val="TextBody"/>
        <w:spacing w:before="240" w:after="0"/>
        <w:jc w:val="left"/>
        <w:rPr/>
      </w:pPr>
      <w:r>
        <w:rPr>
          <w:rFonts w:ascii="Times New Roman;serif" w:hAnsi="Times New Roman;serif"/>
          <w:b w:val="false"/>
          <w:sz w:val="20"/>
          <w:u w:val="single"/>
        </w:rPr>
        <w:t>Income and Employment Taxes</w:t>
      </w:r>
      <w:r>
        <w:rPr>
          <w:rFonts w:ascii="Times New Roman;serif" w:hAnsi="Times New Roman;serif"/>
          <w:b w:val="false"/>
          <w:sz w:val="20"/>
        </w:rPr>
        <w:t xml:space="preserve">. Executive is responsible for any applicable taxes of any nature (including any penalties or interest that may apply to such taxes) that the Company reasonably determines apply to any payment made hereunder. Executive’s receipt of any benefit hereunder is conditioned on his or her satisfaction of any applicable withholding or similar obligations that apply to such benefit and any cash payment owed hereunder will be reduced to satisfy any such withholding or similar obligations that may apply. </w:t>
      </w:r>
    </w:p>
    <w:p>
      <w:pPr>
        <w:pStyle w:val="TextBody"/>
        <w:spacing w:before="240" w:after="0"/>
        <w:jc w:val="left"/>
        <w:rPr>
          <w:rFonts w:ascii="Times New Roman" w:hAnsi="Times New Roman"/>
          <w:b w:val="false"/>
          <w:sz w:val="20"/>
        </w:rPr>
      </w:pPr>
      <w:r>
        <w:rPr>
          <w:rFonts w:ascii="Times New Roman" w:hAnsi="Times New Roman"/>
          <w:b w:val="false"/>
          <w:sz w:val="20"/>
        </w:rPr>
        <w:t>(j)</w:t>
      </w:r>
    </w:p>
    <w:p>
      <w:pPr>
        <w:pStyle w:val="TextBody"/>
        <w:spacing w:before="240" w:after="0"/>
        <w:jc w:val="left"/>
        <w:rPr/>
      </w:pPr>
      <w:r>
        <w:rPr>
          <w:rFonts w:ascii="Times New Roman;serif" w:hAnsi="Times New Roman;serif"/>
          <w:b w:val="false"/>
          <w:sz w:val="20"/>
          <w:u w:val="single"/>
        </w:rPr>
        <w:t>Code Section 409A</w:t>
      </w:r>
      <w:r>
        <w:rPr>
          <w:rFonts w:ascii="Times New Roman;serif" w:hAnsi="Times New Roman;serif"/>
          <w:b w:val="false"/>
          <w:sz w:val="20"/>
        </w:rPr>
        <w:t>. It is intended that each installment of the payments and benefits provided for in this Agreements constitute a separate “payment” for purposes of Treasury Regulation Section 1.409A-2(b)(2)(i). For the avoidance of doubt, it is intended that payments of the amounts set forth in this Agreement satisfy, to the greatest extent possible, the exemptions from the application of Section 409A of the Internal Revenue Code of 1986, as amended (the “</w:t>
      </w:r>
      <w:r>
        <w:rPr>
          <w:rFonts w:ascii="Times New Roman;serif" w:hAnsi="Times New Roman;serif"/>
          <w:b w:val="false"/>
          <w:sz w:val="20"/>
          <w:u w:val="single"/>
        </w:rPr>
        <w:t>Code</w:t>
      </w:r>
      <w:r>
        <w:rPr/>
        <w:t>”</w:t>
      </w:r>
      <w:r>
        <w:rPr>
          <w:rFonts w:ascii="Times New Roman;serif" w:hAnsi="Times New Roman;serif"/>
          <w:b w:val="false"/>
          <w:sz w:val="20"/>
        </w:rPr>
        <w:t>) (Section 409A of the Code, together, with any state law of similar effect, “</w:t>
      </w:r>
      <w:r>
        <w:rPr>
          <w:rFonts w:ascii="Times New Roman;serif" w:hAnsi="Times New Roman;serif"/>
          <w:b w:val="false"/>
          <w:sz w:val="20"/>
          <w:u w:val="single"/>
        </w:rPr>
        <w:t>Section 409A</w:t>
      </w:r>
      <w:r>
        <w:rPr/>
        <w:t>”</w:t>
      </w:r>
      <w:r>
        <w:rPr>
          <w:rFonts w:ascii="Times New Roman;serif" w:hAnsi="Times New Roman;serif"/>
          <w:b w:val="false"/>
          <w:sz w:val="20"/>
        </w:rPr>
        <w:t>) provided under Treasury Regulations 1.409A-1(b)(4), 1.409A-1(b)(5) and 1.409A-1(b)(9). However, if the Company (or, if applicable, the successor entity thereto) determines that the severance payments and benefits provided under this Agreement(the “</w:t>
      </w:r>
      <w:r>
        <w:rPr>
          <w:rFonts w:ascii="Times New Roman;serif" w:hAnsi="Times New Roman;serif"/>
          <w:b w:val="false"/>
          <w:sz w:val="20"/>
          <w:u w:val="single"/>
        </w:rPr>
        <w:t>Agreement Payments</w:t>
      </w:r>
      <w:r>
        <w:rPr/>
        <w:t>”</w:t>
      </w:r>
      <w:r>
        <w:rPr>
          <w:rFonts w:ascii="Times New Roman;serif" w:hAnsi="Times New Roman;serif"/>
          <w:b w:val="false"/>
          <w:sz w:val="20"/>
        </w:rPr>
        <w:t>) constitute “deferred compensation” under Section 409A and Executive is, on the date of his or her Separation from Service, a “specified employee” of the Company or any successor entity thereto, as such term is defined in Section 409A(a)(2)(B)(i) of the Code (a “</w:t>
      </w:r>
      <w:r>
        <w:rPr>
          <w:rFonts w:ascii="Times New Roman;serif" w:hAnsi="Times New Roman;serif"/>
          <w:b w:val="false"/>
          <w:sz w:val="20"/>
          <w:u w:val="single"/>
        </w:rPr>
        <w:t>Specified Employee</w:t>
      </w:r>
      <w:r>
        <w:rPr/>
        <w:t>”</w:t>
      </w:r>
      <w:r>
        <w:rPr>
          <w:rFonts w:ascii="Times New Roman;serif" w:hAnsi="Times New Roman;serif"/>
          <w:b w:val="false"/>
          <w:sz w:val="20"/>
        </w:rPr>
        <w:t>), then, solely to the extent necessary to avoid the incurrence of the adverse personal tax consequences under Section 409A, the timing of the Severance Benefits described in Section 4(b) shall be delayed as follows: on the earlier to occur of (i) the date that is six months and one day after Executive’s Separation from Service or (ii) the date of Executive’s death (such earlier date, the “</w:t>
      </w:r>
      <w:r>
        <w:rPr>
          <w:rFonts w:ascii="Times New Roman;serif" w:hAnsi="Times New Roman;serif"/>
          <w:b w:val="false"/>
          <w:sz w:val="20"/>
          <w:u w:val="single"/>
        </w:rPr>
        <w:t>Delayed Initial Payment Date</w:t>
      </w:r>
      <w:r>
        <w:rPr/>
        <w:t>”</w:t>
      </w:r>
      <w:r>
        <w:rPr>
          <w:rFonts w:ascii="Times New Roman;serif" w:hAnsi="Times New Roman;serif"/>
          <w:b w:val="false"/>
          <w:sz w:val="20"/>
        </w:rPr>
        <w:t>), the Company (or the successor entity thereto, as applicable) shall pay to Executive a lump sum amount equal to the applicable benefit that Executive would otherwise have received through the Delayed Initial Payment Date if the commencement of the payment of the benefit had not been so delayed pursuant to this Section 10(j). If a release revocation period spans two calendar years, then amounts will not be paid until the second of the two years to the extent necessary to avoid taxation under Section 409A.</w:t>
      </w:r>
    </w:p>
    <w:p>
      <w:pPr>
        <w:pStyle w:val="TextBody"/>
        <w:spacing w:before="240" w:after="0"/>
        <w:jc w:val="left"/>
        <w:rPr>
          <w:rFonts w:ascii="Times New Roman" w:hAnsi="Times New Roman"/>
          <w:b w:val="false"/>
          <w:sz w:val="20"/>
        </w:rPr>
      </w:pPr>
      <w:r>
        <w:rPr>
          <w:rFonts w:ascii="Times New Roman" w:hAnsi="Times New Roman"/>
          <w:b w:val="false"/>
          <w:sz w:val="20"/>
        </w:rPr>
        <w:t>(k)</w:t>
      </w:r>
    </w:p>
    <w:p>
      <w:pPr>
        <w:pStyle w:val="TextBody"/>
        <w:spacing w:before="240" w:after="0"/>
        <w:jc w:val="left"/>
        <w:rPr/>
      </w:pPr>
      <w:r>
        <w:rPr>
          <w:rFonts w:ascii="Times New Roman;serif" w:hAnsi="Times New Roman;serif"/>
          <w:b w:val="false"/>
          <w:sz w:val="20"/>
          <w:u w:val="single"/>
        </w:rPr>
        <w:t>Legal Fees and Expenses</w:t>
      </w:r>
      <w:r>
        <w:rPr>
          <w:rFonts w:ascii="Times New Roman;serif" w:hAnsi="Times New Roman;serif"/>
          <w:b w:val="false"/>
          <w:sz w:val="20"/>
        </w:rPr>
        <w:t>. The parties shall each bear their own expenses, legal fees and other fees incurred in connection with the execution of this Agreement.</w:t>
      </w:r>
    </w:p>
    <w:p>
      <w:pPr>
        <w:pStyle w:val="TextBody"/>
        <w:spacing w:before="240" w:after="0"/>
        <w:jc w:val="left"/>
        <w:rPr>
          <w:rFonts w:ascii="Times New Roman" w:hAnsi="Times New Roman"/>
          <w:b w:val="false"/>
          <w:sz w:val="20"/>
        </w:rPr>
      </w:pPr>
      <w:r>
        <w:rPr>
          <w:rFonts w:ascii="Times New Roman" w:hAnsi="Times New Roman"/>
          <w:b w:val="false"/>
          <w:sz w:val="20"/>
        </w:rPr>
        <w:t>(l)</w:t>
      </w:r>
    </w:p>
    <w:p>
      <w:pPr>
        <w:pStyle w:val="TextBody"/>
        <w:spacing w:before="240" w:after="283"/>
        <w:jc w:val="left"/>
        <w:rPr/>
      </w:pPr>
      <w:r>
        <w:rPr>
          <w:rFonts w:ascii="Times New Roman;serif" w:hAnsi="Times New Roman;serif"/>
          <w:b w:val="false"/>
          <w:sz w:val="20"/>
          <w:u w:val="single"/>
        </w:rPr>
        <w:t>Counterparts</w:t>
      </w:r>
      <w:r>
        <w:rPr>
          <w:rFonts w:ascii="Times New Roman;serif" w:hAnsi="Times New Roman;serif"/>
          <w:b w:val="false"/>
          <w:sz w:val="20"/>
        </w:rPr>
        <w:t>. This Agreement may be executed in counterparts, each of which shall be deemed an original, but all of which together will constitute one and the same instrument.</w:t>
      </w:r>
    </w:p>
    <w:p>
      <w:pPr>
        <w:pStyle w:val="TextBody"/>
        <w:spacing w:before="240" w:after="0"/>
        <w:jc w:val="left"/>
        <w:rPr/>
      </w:pPr>
      <w:r>
        <w:rPr/>
        <w:t> </w:t>
      </w:r>
    </w:p>
    <w:p>
      <w:pPr>
        <w:pStyle w:val="TextBody"/>
        <w:spacing w:before="0" w:after="240"/>
        <w:jc w:val="center"/>
        <w:rPr>
          <w:rFonts w:ascii="Times New Roman" w:hAnsi="Times New Roman"/>
          <w:sz w:val="20"/>
        </w:rPr>
      </w:pPr>
      <w:r>
        <w:rPr>
          <w:rFonts w:ascii="Times New Roman;serif" w:hAnsi="Times New Roman;serif"/>
          <w:b w:val="false"/>
          <w:sz w:val="20"/>
        </w:rPr>
        <w:t>[</w:t>
      </w:r>
      <w:r>
        <w:rPr>
          <w:rFonts w:ascii="Times New Roman;serif" w:hAnsi="Times New Roman;serif"/>
          <w:b w:val="false"/>
          <w:i/>
          <w:sz w:val="20"/>
        </w:rPr>
        <w:t>Signature Page Follows</w:t>
      </w:r>
      <w:r>
        <w:rPr>
          <w:rFonts w:ascii="Times New Roman;serif" w:hAnsi="Times New Roman;serif"/>
          <w:b w:val="false"/>
          <w:sz w:val="20"/>
        </w:rPr>
        <w:t>]</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right"/>
        <w:rPr/>
      </w:pPr>
      <w:r>
        <w:rPr/>
        <w:t> </w:t>
      </w:r>
    </w:p>
    <w:p>
      <w:pPr>
        <w:pStyle w:val="TextBody"/>
        <w:spacing w:before="0" w:after="240"/>
        <w:jc w:val="both"/>
        <w:rPr>
          <w:rFonts w:ascii="Times New Roman" w:hAnsi="Times New Roman"/>
          <w:sz w:val="20"/>
        </w:rPr>
      </w:pPr>
      <w:r>
        <w:rPr>
          <w:rFonts w:ascii="Times New Roman;serif" w:hAnsi="Times New Roman;serif"/>
          <w:b/>
          <w:smallCaps/>
          <w:sz w:val="20"/>
        </w:rPr>
        <w:t>In Witness Whereof,</w:t>
      </w:r>
      <w:r>
        <w:rPr>
          <w:rFonts w:ascii="Times New Roman" w:hAnsi="Times New Roman"/>
          <w:sz w:val="20"/>
        </w:rPr>
        <w:t xml:space="preserve"> </w:t>
      </w:r>
      <w:r>
        <w:rPr>
          <w:rFonts w:ascii="Times New Roman;serif" w:hAnsi="Times New Roman;serif"/>
          <w:b w:val="false"/>
          <w:sz w:val="20"/>
        </w:rPr>
        <w:t>the parties have executed this Agreement as of the date first set forth above.</w:t>
      </w:r>
    </w:p>
    <w:p>
      <w:pPr>
        <w:pStyle w:val="TextBody"/>
        <w:spacing w:before="0" w:after="0"/>
        <w:jc w:val="left"/>
        <w:rPr/>
      </w:pPr>
      <w:r>
        <w:rPr/>
        <w:t> </w:t>
      </w:r>
    </w:p>
    <w:tbl>
      <w:tblPr>
        <w:tblW w:w="2070" w:type="dxa"/>
        <w:jc w:val="left"/>
        <w:tblInd w:w="0" w:type="dxa"/>
        <w:tblCellMar>
          <w:top w:w="28" w:type="dxa"/>
          <w:left w:w="28" w:type="dxa"/>
          <w:bottom w:w="28" w:type="dxa"/>
          <w:right w:w="28" w:type="dxa"/>
        </w:tblCellMar>
      </w:tblPr>
      <w:tblGrid>
        <w:gridCol w:w="1561"/>
        <w:gridCol w:w="509"/>
      </w:tblGrid>
      <w:tr>
        <w:trPr/>
        <w:tc>
          <w:tcPr>
            <w:tcW w:w="1561"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r>
      <w:tr>
        <w:trPr/>
        <w:tc>
          <w:tcPr>
            <w:tcW w:w="2070" w:type="dxa"/>
            <w:gridSpan w:val="2"/>
            <w:tcBorders/>
            <w:shd w:fill="auto" w:val="clear"/>
            <w:tcMar>
              <w:top w:w="0" w:type="dxa"/>
              <w:left w:w="0" w:type="dxa"/>
              <w:bottom w:w="0" w:type="dxa"/>
              <w:right w:w="0" w:type="dxa"/>
            </w:tcMar>
            <w:vAlign w:val="center"/>
          </w:tcPr>
          <w:p>
            <w:pPr>
              <w:pStyle w:val="TableContents"/>
              <w:spacing w:before="0" w:after="240"/>
              <w:ind w:left="0" w:right="0" w:hanging="0"/>
              <w:jc w:val="left"/>
              <w:rPr>
                <w:rFonts w:ascii="Times New Roman;serif" w:hAnsi="Times New Roman;serif"/>
                <w:b/>
                <w:sz w:val="20"/>
              </w:rPr>
            </w:pPr>
            <w:r>
              <w:rPr>
                <w:rFonts w:ascii="Times New Roman;serif" w:hAnsi="Times New Roman;serif"/>
                <w:b/>
                <w:sz w:val="20"/>
              </w:rPr>
              <w:t>[EXECUTIVE NAME]</w:t>
            </w:r>
          </w:p>
        </w:tc>
      </w:tr>
      <w:tr>
        <w:trPr/>
        <w:tc>
          <w:tcPr>
            <w:tcW w:w="15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5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5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240"/>
        <w:jc w:val="left"/>
        <w:rPr/>
      </w:pPr>
      <w:r>
        <w:rPr/>
        <w:t> </w:t>
      </w:r>
    </w:p>
    <w:p>
      <w:pPr>
        <w:pStyle w:val="TextBody"/>
        <w:spacing w:before="0" w:after="240"/>
        <w:jc w:val="left"/>
        <w:rPr/>
      </w:pPr>
      <w:r>
        <w:rPr/>
        <w:t> </w:t>
      </w:r>
    </w:p>
    <w:tbl>
      <w:tblPr>
        <w:tblW w:w="2687" w:type="dxa"/>
        <w:jc w:val="left"/>
        <w:tblInd w:w="0" w:type="dxa"/>
        <w:tblCellMar>
          <w:top w:w="28" w:type="dxa"/>
          <w:left w:w="28" w:type="dxa"/>
          <w:bottom w:w="28" w:type="dxa"/>
          <w:right w:w="28" w:type="dxa"/>
        </w:tblCellMar>
      </w:tblPr>
      <w:tblGrid>
        <w:gridCol w:w="646"/>
        <w:gridCol w:w="2041"/>
      </w:tblGrid>
      <w:tr>
        <w:trPr/>
        <w:tc>
          <w:tcPr>
            <w:tcW w:w="646"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r>
      <w:tr>
        <w:trPr/>
        <w:tc>
          <w:tcPr>
            <w:tcW w:w="2687" w:type="dxa"/>
            <w:gridSpan w:val="2"/>
            <w:tcBorders/>
            <w:shd w:fill="auto" w:val="clear"/>
            <w:tcMar>
              <w:top w:w="0" w:type="dxa"/>
              <w:left w:w="0" w:type="dxa"/>
              <w:bottom w:w="0" w:type="dxa"/>
              <w:right w:w="0" w:type="dxa"/>
            </w:tcMar>
            <w:vAlign w:val="center"/>
          </w:tcPr>
          <w:p>
            <w:pPr>
              <w:pStyle w:val="TableContents"/>
              <w:spacing w:before="0" w:after="240"/>
              <w:ind w:left="0" w:right="0" w:hanging="0"/>
              <w:jc w:val="left"/>
              <w:rPr>
                <w:rFonts w:ascii="Times New Roman;serif" w:hAnsi="Times New Roman;serif"/>
                <w:b/>
                <w:sz w:val="20"/>
              </w:rPr>
            </w:pPr>
            <w:r>
              <w:rPr>
                <w:rFonts w:ascii="Times New Roman;serif" w:hAnsi="Times New Roman;serif"/>
                <w:b/>
                <w:sz w:val="20"/>
              </w:rPr>
              <w:t>FIBROGEN, INC.</w:t>
            </w:r>
          </w:p>
        </w:tc>
      </w:tr>
      <w:tr>
        <w:trPr/>
        <w:tc>
          <w:tcPr>
            <w:tcW w:w="6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0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Michael D. Lowenstein</w:t>
            </w:r>
          </w:p>
        </w:tc>
      </w:tr>
      <w:tr>
        <w:trPr/>
        <w:tc>
          <w:tcPr>
            <w:tcW w:w="6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Legal Officer</w:t>
            </w:r>
          </w:p>
        </w:tc>
      </w:tr>
      <w:tr>
        <w:trPr/>
        <w:tc>
          <w:tcPr>
            <w:tcW w:w="6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20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pPr>
      <w:r>
        <w:rPr/>
        <w:t> </w:t>
      </w:r>
    </w:p>
    <w:p>
      <w:pPr>
        <w:pStyle w:val="TextBody"/>
        <w:spacing w:before="240" w:after="0"/>
        <w:jc w:val="left"/>
        <w:rPr/>
      </w:pPr>
      <w:r>
        <w:rPr/>
        <w:t> </w:t>
      </w:r>
    </w:p>
    <w:p>
      <w:pPr>
        <w:pStyle w:val="HorizontalLine"/>
        <w:rPr/>
      </w:pPr>
      <w:r>
        <w:rPr/>
      </w:r>
    </w:p>
    <w:p>
      <w:pPr>
        <w:pStyle w:val="TextBody"/>
        <w:spacing w:before="0" w:after="0"/>
        <w:jc w:val="right"/>
        <w:rPr>
          <w:rFonts w:ascii="Times New Roman;serif" w:hAnsi="Times New Roman;serif"/>
          <w:b w:val="false"/>
          <w:sz w:val="24"/>
        </w:rPr>
      </w:pPr>
      <w:r>
        <w:rPr>
          <w:rFonts w:ascii="Times New Roman;serif" w:hAnsi="Times New Roman;serif"/>
          <w:b w:val="false"/>
          <w:sz w:val="24"/>
        </w:rPr>
        <w:t>For Executive Under Age 40</w:t>
      </w:r>
    </w:p>
    <w:p>
      <w:pPr>
        <w:pStyle w:val="TextBody"/>
        <w:spacing w:before="0" w:after="0"/>
        <w:jc w:val="right"/>
        <w:rPr>
          <w:rFonts w:ascii="Times New Roman;serif" w:hAnsi="Times New Roman;serif"/>
          <w:b w:val="false"/>
          <w:sz w:val="24"/>
        </w:rPr>
      </w:pPr>
      <w:r>
        <w:rPr>
          <w:rFonts w:ascii="Times New Roman;serif" w:hAnsi="Times New Roman;serif"/>
          <w:b w:val="false"/>
          <w:sz w:val="24"/>
        </w:rPr>
        <w:t>Individual and Group Termination</w:t>
      </w:r>
    </w:p>
    <w:p>
      <w:pPr>
        <w:pStyle w:val="TextBody"/>
        <w:spacing w:before="0" w:after="0"/>
        <w:jc w:val="right"/>
        <w:rPr/>
      </w:pPr>
      <w:r>
        <w:rPr/>
        <w:t> </w:t>
      </w:r>
    </w:p>
    <w:p>
      <w:pPr>
        <w:pStyle w:val="TextBody"/>
        <w:spacing w:before="0" w:after="120"/>
        <w:jc w:val="center"/>
        <w:rPr>
          <w:rFonts w:ascii="Times New Roman;serif" w:hAnsi="Times New Roman;serif"/>
          <w:b/>
          <w:smallCaps/>
          <w:sz w:val="20"/>
          <w:u w:val="single"/>
        </w:rPr>
      </w:pPr>
      <w:r>
        <w:rPr>
          <w:rFonts w:ascii="Times New Roman;serif" w:hAnsi="Times New Roman;serif"/>
          <w:b/>
          <w:smallCaps/>
          <w:sz w:val="20"/>
          <w:u w:val="single"/>
        </w:rPr>
        <w:t>Exhibit A</w:t>
      </w:r>
    </w:p>
    <w:p>
      <w:pPr>
        <w:pStyle w:val="TextBody"/>
        <w:spacing w:before="0" w:after="0"/>
        <w:jc w:val="center"/>
        <w:rPr>
          <w:rFonts w:ascii="Times New Roman;serif" w:hAnsi="Times New Roman;serif"/>
          <w:b/>
          <w:caps/>
          <w:sz w:val="20"/>
        </w:rPr>
      </w:pPr>
      <w:r>
        <w:rPr>
          <w:rFonts w:ascii="Times New Roman;serif" w:hAnsi="Times New Roman;serif"/>
          <w:b/>
          <w:caps/>
          <w:sz w:val="20"/>
        </w:rPr>
        <w:t>RELEASE AGREEMENT</w:t>
      </w:r>
    </w:p>
    <w:p>
      <w:pPr>
        <w:pStyle w:val="TextBody"/>
        <w:spacing w:before="240" w:after="0"/>
        <w:jc w:val="both"/>
        <w:rPr>
          <w:rFonts w:ascii="Times New Roman" w:hAnsi="Times New Roman"/>
          <w:sz w:val="20"/>
        </w:rPr>
      </w:pPr>
      <w:r>
        <w:rPr>
          <w:rFonts w:ascii="Times New Roman;serif" w:hAnsi="Times New Roman;serif"/>
          <w:b w:val="false"/>
          <w:sz w:val="20"/>
        </w:rPr>
        <w:t>In consideration of receiving certain benefits under my Change in Control and Severance Agreement with FibroGen, Inc. (the “</w:t>
      </w:r>
      <w:r>
        <w:rPr>
          <w:rFonts w:ascii="Times New Roman;serif" w:hAnsi="Times New Roman;serif"/>
          <w:b w:val="false"/>
          <w:sz w:val="20"/>
          <w:u w:val="single"/>
        </w:rPr>
        <w:t>Company</w:t>
      </w:r>
      <w:r>
        <w:rPr>
          <w:rFonts w:ascii="Times New Roman" w:hAnsi="Times New Roman"/>
          <w:sz w:val="20"/>
        </w:rPr>
        <w:t>”</w:t>
      </w:r>
      <w:r>
        <w:rPr>
          <w:rFonts w:ascii="Times New Roman;serif" w:hAnsi="Times New Roman;serif"/>
          <w:b w:val="false"/>
          <w:sz w:val="20"/>
        </w:rPr>
        <w:t>) dated ____________ (the “</w:t>
      </w:r>
      <w:r>
        <w:rPr>
          <w:rFonts w:ascii="Times New Roman;serif" w:hAnsi="Times New Roman;serif"/>
          <w:b w:val="false"/>
          <w:sz w:val="20"/>
          <w:u w:val="single"/>
        </w:rPr>
        <w:t>Agreement</w:t>
      </w:r>
      <w:r>
        <w:rPr>
          <w:rFonts w:ascii="Times New Roman" w:hAnsi="Times New Roman"/>
          <w:sz w:val="20"/>
        </w:rPr>
        <w:t>”</w:t>
      </w:r>
      <w:r>
        <w:rPr>
          <w:rFonts w:ascii="Times New Roman;serif" w:hAnsi="Times New Roman;serif"/>
          <w:b w:val="false"/>
          <w:sz w:val="20"/>
        </w:rPr>
        <w:t>), I have agreed to sign this Release. I understand that I am not entitled to benefits under the Agreement unless I sign this Release.</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I understand that this Release, together with the Agreement, constitutes the complete, final and exclusive embodiment of the entire agreement between the Company, affiliates of the Company and me with regard to the subject matter hereof. I am not relying on any promise or representation by the Company that is not expressly stated therein. Certain capitalized terms used in this Release are defined in the Agreement.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I hereby confirm my obligations under my Confidential Information, Secrecy and Invention Agreement with the Company.</w:t>
      </w:r>
    </w:p>
    <w:p>
      <w:pPr>
        <w:pStyle w:val="TextBody"/>
        <w:spacing w:before="240" w:after="0"/>
        <w:jc w:val="both"/>
        <w:rPr>
          <w:rFonts w:ascii="Times New Roman" w:hAnsi="Times New Roman"/>
          <w:sz w:val="20"/>
        </w:rPr>
      </w:pPr>
      <w:r>
        <w:rPr>
          <w:rFonts w:ascii="Times New Roman;serif" w:hAnsi="Times New Roman;serif"/>
          <w:b w:val="false"/>
          <w:sz w:val="20"/>
        </w:rPr>
        <w:t>Except as otherwise set forth in this Release, I hereby generally and completely release the Company and its current and former directors, officers, executives, shareholders, shareholders, partners, agents, attorneys, predecessors, successors, parent and subsidiary entities, insurers, affiliates, and assigns (collectively, the “</w:t>
      </w:r>
      <w:r>
        <w:rPr>
          <w:rFonts w:ascii="Times New Roman;serif" w:hAnsi="Times New Roman;serif"/>
          <w:b w:val="false"/>
          <w:sz w:val="20"/>
          <w:u w:val="single"/>
        </w:rPr>
        <w:t>Released Parties</w:t>
      </w:r>
      <w:r>
        <w:rPr>
          <w:rFonts w:ascii="Times New Roman" w:hAnsi="Times New Roman"/>
          <w:sz w:val="20"/>
        </w:rPr>
        <w:t>”</w:t>
      </w:r>
      <w:r>
        <w:rPr>
          <w:rFonts w:ascii="Times New Roman;serif" w:hAnsi="Times New Roman;serif"/>
          <w:b w:val="false"/>
          <w:sz w:val="20"/>
        </w:rPr>
        <w:t>) from any and all claims, liabilities and obligations, both known and unknown, that arise out of or are in any way related to events, acts, conduct, or omissions occurring prior to my signing this Release (collectively, the “</w:t>
      </w:r>
      <w:r>
        <w:rPr>
          <w:rFonts w:ascii="Times New Roman;serif" w:hAnsi="Times New Roman;serif"/>
          <w:b w:val="false"/>
          <w:sz w:val="20"/>
          <w:u w:val="single"/>
        </w:rPr>
        <w:t>Released Claims</w:t>
      </w:r>
      <w:r>
        <w:rPr>
          <w:rFonts w:ascii="Times New Roman" w:hAnsi="Times New Roman"/>
          <w:sz w:val="20"/>
        </w:rPr>
        <w:t>”</w:t>
      </w:r>
      <w:r>
        <w:rPr>
          <w:rFonts w:ascii="Times New Roman;serif" w:hAnsi="Times New Roman;serif"/>
          <w:b w:val="false"/>
          <w:sz w:val="20"/>
        </w:rPr>
        <w:t>). The Released Claims include, but are not limited to: (1) all claims arising out of or in any way related to my employment with the Company or its affiliates, or the termination of that employment; (2) all claims related to my compensation or benefits, including salary, bonuses, commissions, vacation pay, expense reimbursements, severance pay, fringe benefits, stock, stock options, Stock Awards, or any other ownership interests in the Company or its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Times New Roman;serif" w:hAnsi="Times New Roman;serif"/>
          <w:b w:val="false"/>
          <w:sz w:val="20"/>
          <w:u w:val="single"/>
        </w:rPr>
        <w:t>ADEA</w:t>
      </w:r>
      <w:r>
        <w:rPr>
          <w:rFonts w:ascii="Times New Roman" w:hAnsi="Times New Roman"/>
          <w:sz w:val="20"/>
        </w:rPr>
        <w:t>”</w:t>
      </w:r>
      <w:r>
        <w:rPr>
          <w:rFonts w:ascii="Times New Roman;serif" w:hAnsi="Times New Roman;serif"/>
          <w:b w:val="false"/>
          <w:sz w:val="20"/>
        </w:rPr>
        <w:t>), the federal Employee Retirement Income Security Act of 1974 (as amended), and the California Fair Employment and Housing Act (as amended). Notwithstanding the foregoing, the following are not included in the Released Claims (the “</w:t>
      </w:r>
      <w:r>
        <w:rPr>
          <w:rFonts w:ascii="Times New Roman;serif" w:hAnsi="Times New Roman;serif"/>
          <w:b w:val="false"/>
          <w:sz w:val="20"/>
          <w:u w:val="single"/>
        </w:rPr>
        <w:t>Excluded Claims</w:t>
      </w:r>
      <w:r>
        <w:rPr>
          <w:rFonts w:ascii="Times New Roman" w:hAnsi="Times New Roman"/>
          <w:sz w:val="20"/>
        </w:rPr>
        <w:t>”</w:t>
      </w:r>
      <w:r>
        <w:rPr>
          <w:rFonts w:ascii="Times New Roman;serif" w:hAnsi="Times New Roman;serif"/>
          <w:b w:val="false"/>
          <w:sz w:val="20"/>
        </w:rPr>
        <w:t>): (1) any rights or claims for indemnification I may have pursuant to any written indemnification agreement with the Company to which I am a party, the charter or bylaws of the Company, or under applicable law; (2) any rights related to vested securities of the Company that were granted to me during the course of my employment with the Company or any shares of capital stock or other securities of the Company that I purchased other than pursuant to Company’s Plan; or (3) any rights which are not waivable as a matter of law. In addition, nothing in this Release prevents me from filing, cooperating with, or participating in any proceeding before the Equal Employment Opportunity Commission, the Department of Labor, the California Department of Fair Employment and Housing, or any other local, state, or federal administrative body or government agency that is authorized to enforce or administer laws related to employment, against the Company, except that I hereby waive my right to any monetary benefits in connection with any such claim, charge or proceeding. I hereby represent and warrant that, other than the Excluded Claims, I am not aware of any claims I have or might have against any of the Released Parties that are not included in the Released Claims.</w:t>
      </w:r>
    </w:p>
    <w:p>
      <w:pPr>
        <w:pStyle w:val="TextBody"/>
        <w:spacing w:before="240" w:after="0"/>
        <w:jc w:val="both"/>
        <w:rPr>
          <w:rFonts w:ascii="Times New Roman" w:hAnsi="Times New Roman"/>
          <w:sz w:val="20"/>
        </w:rPr>
      </w:pPr>
      <w:r>
        <w:rPr>
          <w:rFonts w:ascii="Times New Roman;serif" w:hAnsi="Times New Roman;serif"/>
          <w:b w:val="false"/>
          <w:sz w:val="20"/>
        </w:rPr>
        <w:t>I acknowledge that I am knowingly and voluntarily waiving and releasing any rights I may have under the ADEA. I also acknowledge that the consideration given for the Released Claims is in addition to anything of value to which I was already entitled. I further acknowledge that I have been advised by this writing, as required by the ADEA, that: (a) the Released Claims do not apply to any rights or claims that arise after the date I sign this Release; (b) I should consult with an attorney prior to signing this Release (although I may choose voluntarily not to do so); (c) I have forty-five (45) days to consider this Release (although I may choose to voluntarily sign it sooner); (d) I have seven (7) days following the date I sign this Release to revoke the Release by providing written notice to an officer of the Company; and (e) the Release will not be effective until the date upon which the revocation period has expired unexercised, which will be the eighth day after I sign this Release (“</w:t>
      </w:r>
      <w:r>
        <w:rPr>
          <w:rFonts w:ascii="Times New Roman;serif" w:hAnsi="Times New Roman;serif"/>
          <w:b w:val="false"/>
          <w:sz w:val="20"/>
          <w:u w:val="single"/>
        </w:rPr>
        <w:t>Effective Date</w:t>
      </w:r>
      <w:r>
        <w:rPr>
          <w:rFonts w:ascii="Times New Roman" w:hAnsi="Times New Roman"/>
          <w:sz w:val="20"/>
        </w:rPr>
        <w:t>”</w:t>
      </w:r>
      <w:r>
        <w:rPr>
          <w:rFonts w:ascii="Times New Roman;serif" w:hAnsi="Times New Roman;serif"/>
          <w:b w:val="false"/>
          <w:sz w:val="20"/>
        </w:rPr>
        <w:t>).</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I have received with this Release all of the information required by the ADEA, including without limitation a detailed list of the job titles and ages of all employees who were terminated in this group termination and the ages of all</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sz w:val="24"/>
        </w:rPr>
        <w:t>-</w:t>
      </w:r>
      <w:r>
        <w:rPr>
          <w:rFonts w:ascii="Times New Roman;serif" w:hAnsi="Times New Roman;serif"/>
          <w:b w:val="false"/>
          <w:sz w:val="20"/>
        </w:rPr>
        <w:t>1</w:t>
      </w:r>
      <w:r>
        <w:rPr>
          <w:rFonts w:ascii="Times New Roman;serif" w:hAnsi="Times New Roman;serif"/>
          <w:b w:val="false"/>
          <w:sz w:val="24"/>
        </w:rPr>
        <w:t>-</w:t>
      </w:r>
    </w:p>
    <w:p>
      <w:pPr>
        <w:pStyle w:val="TextBody"/>
        <w:spacing w:before="0" w:after="0"/>
        <w:jc w:val="left"/>
        <w:rPr/>
      </w:pPr>
      <w:r>
        <w:rPr/>
        <w:t> </w:t>
      </w:r>
    </w:p>
    <w:p>
      <w:pPr>
        <w:pStyle w:val="HorizontalLine"/>
        <w:rPr/>
      </w:pPr>
      <w:r>
        <w:rPr/>
      </w:r>
    </w:p>
    <w:p>
      <w:pPr>
        <w:pStyle w:val="TextBody"/>
        <w:spacing w:before="0" w:after="0"/>
        <w:jc w:val="right"/>
        <w:rPr>
          <w:rFonts w:ascii="Times New Roman;serif" w:hAnsi="Times New Roman;serif"/>
          <w:b w:val="false"/>
          <w:sz w:val="24"/>
        </w:rPr>
      </w:pPr>
      <w:r>
        <w:rPr>
          <w:rFonts w:ascii="Times New Roman;serif" w:hAnsi="Times New Roman;serif"/>
          <w:b w:val="false"/>
          <w:sz w:val="24"/>
        </w:rPr>
        <w:t>For Executive Under Age 40</w:t>
      </w:r>
    </w:p>
    <w:p>
      <w:pPr>
        <w:pStyle w:val="TextBody"/>
        <w:spacing w:before="0" w:after="0"/>
        <w:jc w:val="right"/>
        <w:rPr>
          <w:rFonts w:ascii="Times New Roman;serif" w:hAnsi="Times New Roman;serif"/>
          <w:b w:val="false"/>
          <w:sz w:val="24"/>
        </w:rPr>
      </w:pPr>
      <w:r>
        <w:rPr>
          <w:rFonts w:ascii="Times New Roman;serif" w:hAnsi="Times New Roman;serif"/>
          <w:b w:val="false"/>
          <w:sz w:val="24"/>
        </w:rPr>
        <w:t>Individual and Group Termination</w:t>
      </w:r>
    </w:p>
    <w:p>
      <w:pPr>
        <w:pStyle w:val="TextBody"/>
        <w:spacing w:before="0" w:after="0"/>
        <w:jc w:val="right"/>
        <w:rPr/>
      </w:pPr>
      <w:r>
        <w:rPr/>
        <w:t> </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employees of the Company in the same job classification or organizational unit who were not terminated, along with information on the eligibility factors used to select employees for the group termination and any time limits applicable to this group termination program.</w:t>
      </w:r>
    </w:p>
    <w:p>
      <w:pPr>
        <w:pStyle w:val="TextBody"/>
        <w:spacing w:before="240" w:after="0"/>
        <w:jc w:val="both"/>
        <w:rPr>
          <w:rFonts w:ascii="Times New Roman" w:hAnsi="Times New Roman"/>
          <w:sz w:val="20"/>
        </w:rPr>
      </w:pPr>
      <w:r>
        <w:rPr>
          <w:rFonts w:ascii="Times New Roman;serif" w:hAnsi="Times New Roman;serif"/>
          <w:b w:val="false"/>
          <w:sz w:val="20"/>
        </w:rPr>
        <w:t xml:space="preserve">I acknowledge that I have read and understand Section 1542 of the California Civil Code which reads as follows: </w:t>
      </w:r>
      <w:r>
        <w:rPr>
          <w:rFonts w:ascii="Times New Roman" w:hAnsi="Times New Roman"/>
          <w:sz w:val="20"/>
        </w:rPr>
        <w:t>“</w:t>
      </w:r>
      <w:r>
        <w:rPr>
          <w:rFonts w:ascii="Times New Roman;serif" w:hAnsi="Times New Roman;serif"/>
          <w:b/>
          <w:sz w:val="20"/>
        </w:rPr>
        <w:t>A general release does not extend to claims which the creditor does not know or suspect to exist in his or her favor at the time of executing the release, which if known by him or her must have materially affected his or her settlement with the debtor.”</w:t>
      </w:r>
      <w:r>
        <w:rPr>
          <w:rFonts w:ascii="Times New Roman" w:hAnsi="Times New Roman"/>
          <w:sz w:val="20"/>
        </w:rPr>
        <w:t xml:space="preserve"> </w:t>
      </w:r>
      <w:r>
        <w:rPr>
          <w:rFonts w:ascii="Times New Roman;serif" w:hAnsi="Times New Roman;serif"/>
          <w:b w:val="false"/>
          <w:sz w:val="20"/>
        </w:rPr>
        <w:t>I hereby expressly waive and relinquish all rights and benefits under that section and any law of any jurisdiction of similar effect with respect to my release of any claims hereunder.</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I hereby represent that I have been paid all compensation owed and for all hours worked, I have received all the leave and leave benefits and protections for which I am eligible, and I have not suffered any on-the-job injury for which I have not already filed a workers’ compensation claim.</w:t>
      </w:r>
    </w:p>
    <w:p>
      <w:pPr>
        <w:pStyle w:val="TextBody"/>
        <w:spacing w:before="240" w:after="0"/>
        <w:jc w:val="both"/>
        <w:rPr>
          <w:rFonts w:ascii="Times New Roman" w:hAnsi="Times New Roman"/>
          <w:sz w:val="20"/>
        </w:rPr>
      </w:pPr>
      <w:r>
        <w:rPr>
          <w:rFonts w:ascii="Times New Roman;serif" w:hAnsi="Times New Roman;serif"/>
          <w:b w:val="false"/>
          <w:sz w:val="20"/>
        </w:rPr>
        <w:t xml:space="preserve">I hereby agree not to disparage the Company, or its officers, directors, executives, shareholders or agents, in any manner likely to be harmful to its or their business, business reputation, or personal reputation; </w:t>
      </w:r>
      <w:r>
        <w:rPr>
          <w:rFonts w:ascii="Times New Roman;serif" w:hAnsi="Times New Roman;serif"/>
          <w:b w:val="false"/>
          <w:i/>
          <w:sz w:val="20"/>
        </w:rPr>
        <w:t>provided, however,</w:t>
      </w:r>
      <w:r>
        <w:rPr>
          <w:rFonts w:ascii="Times New Roman" w:hAnsi="Times New Roman"/>
          <w:sz w:val="20"/>
        </w:rPr>
        <w:t xml:space="preserve"> </w:t>
      </w:r>
      <w:r>
        <w:rPr>
          <w:rFonts w:ascii="Times New Roman;serif" w:hAnsi="Times New Roman;serif"/>
          <w:b w:val="false"/>
          <w:sz w:val="20"/>
        </w:rPr>
        <w:t>that I will respond accurately and fully to any question, inquiry or request for information when required by legal process.</w:t>
      </w:r>
    </w:p>
    <w:p>
      <w:pPr>
        <w:pStyle w:val="TextBody"/>
        <w:spacing w:before="240" w:after="240"/>
        <w:jc w:val="both"/>
        <w:rPr>
          <w:rFonts w:ascii="Times New Roman;serif" w:hAnsi="Times New Roman;serif"/>
          <w:b w:val="false"/>
          <w:sz w:val="20"/>
        </w:rPr>
      </w:pPr>
      <w:r>
        <w:rPr>
          <w:rFonts w:ascii="Times New Roman;serif" w:hAnsi="Times New Roman;serif"/>
          <w:b w:val="false"/>
          <w:sz w:val="20"/>
        </w:rPr>
        <w:t>I acknowledge that to become effective, I must sign and return this Release to the Company so that it is received not later than forty-five (45) days following the date it is provided to me, and I must not revoke it thereafter.</w:t>
      </w:r>
    </w:p>
    <w:p>
      <w:pPr>
        <w:pStyle w:val="TextBody"/>
        <w:spacing w:before="0" w:after="0"/>
        <w:jc w:val="left"/>
        <w:rPr/>
      </w:pPr>
      <w:r>
        <w:rPr/>
        <w:t> </w:t>
      </w:r>
    </w:p>
    <w:tbl>
      <w:tblPr>
        <w:tblW w:w="2070" w:type="dxa"/>
        <w:jc w:val="left"/>
        <w:tblInd w:w="0" w:type="dxa"/>
        <w:tblCellMar>
          <w:top w:w="28" w:type="dxa"/>
          <w:left w:w="28" w:type="dxa"/>
          <w:bottom w:w="28" w:type="dxa"/>
          <w:right w:w="28" w:type="dxa"/>
        </w:tblCellMar>
      </w:tblPr>
      <w:tblGrid>
        <w:gridCol w:w="1561"/>
        <w:gridCol w:w="509"/>
      </w:tblGrid>
      <w:tr>
        <w:trPr/>
        <w:tc>
          <w:tcPr>
            <w:tcW w:w="1561"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r>
      <w:tr>
        <w:trPr/>
        <w:tc>
          <w:tcPr>
            <w:tcW w:w="2070" w:type="dxa"/>
            <w:gridSpan w:val="2"/>
            <w:tcBorders/>
            <w:shd w:fill="auto" w:val="clear"/>
            <w:tcMar>
              <w:top w:w="0" w:type="dxa"/>
              <w:left w:w="0" w:type="dxa"/>
              <w:bottom w:w="0" w:type="dxa"/>
              <w:right w:w="0" w:type="dxa"/>
            </w:tcMar>
            <w:vAlign w:val="center"/>
          </w:tcPr>
          <w:p>
            <w:pPr>
              <w:pStyle w:val="TableContents"/>
              <w:spacing w:before="0" w:after="240"/>
              <w:ind w:left="0" w:right="0" w:hanging="0"/>
              <w:jc w:val="left"/>
              <w:rPr>
                <w:rFonts w:ascii="Times New Roman;serif" w:hAnsi="Times New Roman;serif"/>
                <w:b/>
                <w:sz w:val="20"/>
              </w:rPr>
            </w:pPr>
            <w:r>
              <w:rPr>
                <w:rFonts w:ascii="Times New Roman;serif" w:hAnsi="Times New Roman;serif"/>
                <w:b/>
                <w:sz w:val="20"/>
              </w:rPr>
              <w:t>[EXECUTIVE NAME]</w:t>
            </w:r>
          </w:p>
        </w:tc>
      </w:tr>
      <w:tr>
        <w:trPr/>
        <w:tc>
          <w:tcPr>
            <w:tcW w:w="15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5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5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center"/>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val="false"/>
          <w:sz w:val="24"/>
        </w:rPr>
        <w:t>-</w:t>
      </w:r>
      <w:r>
        <w:rPr>
          <w:rFonts w:ascii="Times New Roman;serif" w:hAnsi="Times New Roman;serif"/>
          <w:b w:val="false"/>
          <w:sz w:val="20"/>
        </w:rPr>
        <w:t>2</w:t>
      </w:r>
      <w:r>
        <w:rPr>
          <w:rFonts w:ascii="Times New Roman;serif" w:hAnsi="Times New Roman;serif"/>
          <w:b w:val="false"/>
          <w:sz w:val="24"/>
        </w:rPr>
        <w:t>-</w:t>
      </w:r>
    </w:p>
    <w:p>
      <w:pPr>
        <w:pStyle w:val="TextBody"/>
        <w:spacing w:before="0" w:after="0"/>
        <w:jc w:val="left"/>
        <w:rPr/>
      </w:pPr>
      <w:r>
        <w:rPr/>
        <w:t> </w:t>
      </w:r>
    </w:p>
    <w:p>
      <w:pPr>
        <w:pStyle w:val="HorizontalLine"/>
        <w:rPr/>
      </w:pPr>
      <w:r>
        <w:rPr/>
      </w:r>
    </w:p>
    <w:p>
      <w:pPr>
        <w:pStyle w:val="TextBody"/>
        <w:spacing w:before="0" w:after="0"/>
        <w:jc w:val="right"/>
        <w:rPr>
          <w:rFonts w:ascii="Times New Roman;serif" w:hAnsi="Times New Roman;serif"/>
          <w:b w:val="false"/>
          <w:sz w:val="24"/>
        </w:rPr>
      </w:pPr>
      <w:r>
        <w:rPr>
          <w:rFonts w:ascii="Times New Roman;serif" w:hAnsi="Times New Roman;serif"/>
          <w:b w:val="false"/>
          <w:sz w:val="24"/>
        </w:rPr>
        <w:t>For Executive Under Age 40</w:t>
      </w:r>
    </w:p>
    <w:p>
      <w:pPr>
        <w:pStyle w:val="TextBody"/>
        <w:spacing w:before="0" w:after="0"/>
        <w:jc w:val="right"/>
        <w:rPr>
          <w:rFonts w:ascii="Times New Roman;serif" w:hAnsi="Times New Roman;serif"/>
          <w:b w:val="false"/>
          <w:sz w:val="24"/>
        </w:rPr>
      </w:pPr>
      <w:r>
        <w:rPr>
          <w:rFonts w:ascii="Times New Roman;serif" w:hAnsi="Times New Roman;serif"/>
          <w:b w:val="false"/>
          <w:sz w:val="24"/>
        </w:rPr>
        <w:t>Individual and Group Termination</w:t>
      </w:r>
    </w:p>
    <w:p>
      <w:pPr>
        <w:pStyle w:val="TextBody"/>
        <w:spacing w:before="0" w:after="0"/>
        <w:jc w:val="right"/>
        <w:rPr/>
      </w:pPr>
      <w:r>
        <w:rPr/>
        <w:t> </w:t>
      </w:r>
    </w:p>
    <w:p>
      <w:pPr>
        <w:pStyle w:val="TextBody"/>
        <w:spacing w:before="240" w:after="0"/>
        <w:jc w:val="center"/>
        <w:rPr>
          <w:rFonts w:ascii="Times New Roman;serif" w:hAnsi="Times New Roman;serif"/>
          <w:b/>
          <w:smallCaps/>
          <w:sz w:val="20"/>
          <w:u w:val="single"/>
        </w:rPr>
      </w:pPr>
      <w:r>
        <w:rPr>
          <w:rFonts w:ascii="Times New Roman;serif" w:hAnsi="Times New Roman;serif"/>
          <w:b/>
          <w:smallCaps/>
          <w:sz w:val="20"/>
          <w:u w:val="single"/>
        </w:rPr>
        <w:t>Exhibit B</w:t>
      </w:r>
    </w:p>
    <w:p>
      <w:pPr>
        <w:pStyle w:val="TextBody"/>
        <w:spacing w:before="240" w:after="0"/>
        <w:jc w:val="center"/>
        <w:rPr>
          <w:rFonts w:ascii="Times New Roman;serif" w:hAnsi="Times New Roman;serif"/>
          <w:b/>
          <w:sz w:val="20"/>
        </w:rPr>
      </w:pPr>
      <w:r>
        <w:rPr>
          <w:rFonts w:ascii="Times New Roman;serif" w:hAnsi="Times New Roman;serif"/>
          <w:b/>
          <w:sz w:val="20"/>
        </w:rPr>
        <w:t>RELEASE AGREEMENT</w:t>
      </w:r>
    </w:p>
    <w:p>
      <w:pPr>
        <w:pStyle w:val="TextBody"/>
        <w:spacing w:before="240" w:after="0"/>
        <w:jc w:val="both"/>
        <w:rPr>
          <w:rFonts w:ascii="Times New Roman" w:hAnsi="Times New Roman"/>
          <w:sz w:val="20"/>
        </w:rPr>
      </w:pPr>
      <w:r>
        <w:rPr>
          <w:rFonts w:ascii="Times New Roman;serif" w:hAnsi="Times New Roman;serif"/>
          <w:b w:val="false"/>
          <w:sz w:val="20"/>
        </w:rPr>
        <w:t>In consideration of receiving certain benefits under my Change in Control and Severance Agreement with FibroGen, Inc. (the “</w:t>
      </w:r>
      <w:r>
        <w:rPr>
          <w:rFonts w:ascii="Times New Roman;serif" w:hAnsi="Times New Roman;serif"/>
          <w:b w:val="false"/>
          <w:sz w:val="20"/>
          <w:u w:val="single"/>
        </w:rPr>
        <w:t>Company</w:t>
      </w:r>
      <w:r>
        <w:rPr>
          <w:rFonts w:ascii="Times New Roman" w:hAnsi="Times New Roman"/>
          <w:sz w:val="20"/>
        </w:rPr>
        <w:t>”</w:t>
      </w:r>
      <w:r>
        <w:rPr>
          <w:rFonts w:ascii="Times New Roman;serif" w:hAnsi="Times New Roman;serif"/>
          <w:b w:val="false"/>
          <w:sz w:val="20"/>
        </w:rPr>
        <w:t>) dated __________ (the “</w:t>
      </w:r>
      <w:r>
        <w:rPr>
          <w:rFonts w:ascii="Times New Roman;serif" w:hAnsi="Times New Roman;serif"/>
          <w:b w:val="false"/>
          <w:sz w:val="20"/>
          <w:u w:val="single"/>
        </w:rPr>
        <w:t>Agreement</w:t>
      </w:r>
      <w:r>
        <w:rPr>
          <w:rFonts w:ascii="Times New Roman" w:hAnsi="Times New Roman"/>
          <w:sz w:val="20"/>
        </w:rPr>
        <w:t>”</w:t>
      </w:r>
      <w:r>
        <w:rPr>
          <w:rFonts w:ascii="Times New Roman;serif" w:hAnsi="Times New Roman;serif"/>
          <w:b w:val="false"/>
          <w:sz w:val="20"/>
        </w:rPr>
        <w:t>), I have agreed to sign this Release. I understand that I am not entitled to benefits under the Agreement unless I sign this Release.</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I understand that this Release, together with the Agreement, constitutes the complete, final and exclusive embodiment of the entire agreement between the Company, affiliates of the Company and me with regard to the subject matter hereof. I am not relying on any promise or representation by the Company that is not expressly stated therein. Certain capitalized terms used in this Release are defined in the Agreement.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I hereby confirm my obligations under my Confidential Information, Secrecy and Invention Agreement with the Company.</w:t>
      </w:r>
    </w:p>
    <w:p>
      <w:pPr>
        <w:pStyle w:val="TextBody"/>
        <w:spacing w:before="240" w:after="0"/>
        <w:jc w:val="both"/>
        <w:rPr>
          <w:rFonts w:ascii="Times New Roman" w:hAnsi="Times New Roman"/>
          <w:sz w:val="20"/>
        </w:rPr>
      </w:pPr>
      <w:r>
        <w:rPr>
          <w:rFonts w:ascii="Times New Roman;serif" w:hAnsi="Times New Roman;serif"/>
          <w:b w:val="false"/>
          <w:sz w:val="20"/>
        </w:rPr>
        <w:t>Except as otherwise set forth in this Release, I hereby generally and completely release the Company and its current and former directors, officers, executives, shareholders, shareholders, partners, agents, attorneys, predecessors, successors, parent and subsidiary entities, insurers, affiliates, and assigns (collectively, the “</w:t>
      </w:r>
      <w:r>
        <w:rPr>
          <w:rFonts w:ascii="Times New Roman;serif" w:hAnsi="Times New Roman;serif"/>
          <w:b w:val="false"/>
          <w:sz w:val="20"/>
          <w:u w:val="single"/>
        </w:rPr>
        <w:t>Released Parties</w:t>
      </w:r>
      <w:r>
        <w:rPr>
          <w:rFonts w:ascii="Times New Roman" w:hAnsi="Times New Roman"/>
          <w:sz w:val="20"/>
        </w:rPr>
        <w:t>”</w:t>
      </w:r>
      <w:r>
        <w:rPr>
          <w:rFonts w:ascii="Times New Roman;serif" w:hAnsi="Times New Roman;serif"/>
          <w:b w:val="false"/>
          <w:sz w:val="20"/>
        </w:rPr>
        <w:t>) from any and all claims, liabilities and obligations, both known and unknown, that arise out of or are in any way related to events, acts, conduct, or omissions occurring prior to my signing this Release (collectively, the “</w:t>
      </w:r>
      <w:r>
        <w:rPr>
          <w:rFonts w:ascii="Times New Roman;serif" w:hAnsi="Times New Roman;serif"/>
          <w:b w:val="false"/>
          <w:sz w:val="20"/>
          <w:u w:val="single"/>
        </w:rPr>
        <w:t>Released Claims</w:t>
      </w:r>
      <w:r>
        <w:rPr>
          <w:rFonts w:ascii="Times New Roman" w:hAnsi="Times New Roman"/>
          <w:sz w:val="20"/>
        </w:rPr>
        <w:t>”</w:t>
      </w:r>
      <w:r>
        <w:rPr>
          <w:rFonts w:ascii="Times New Roman;serif" w:hAnsi="Times New Roman;serif"/>
          <w:b w:val="false"/>
          <w:sz w:val="20"/>
        </w:rPr>
        <w:t>). The Released Claims include, but are not limited to: (1) all claims arising out of or in any way related to my employment with the Company or its affiliates, or the termination of that employment; (2) all claims related to my compensation or benefits, including salary, bonuses, commissions, vacation pay, expense reimbursements, severance pay, fringe benefits, stock, stock options, Stock Awards, or any other ownership interests in the Company or its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Times New Roman;serif" w:hAnsi="Times New Roman;serif"/>
          <w:b w:val="false"/>
          <w:sz w:val="20"/>
          <w:u w:val="single"/>
        </w:rPr>
        <w:t>ADEA</w:t>
      </w:r>
      <w:r>
        <w:rPr>
          <w:rFonts w:ascii="Times New Roman" w:hAnsi="Times New Roman"/>
          <w:sz w:val="20"/>
        </w:rPr>
        <w:t>”</w:t>
      </w:r>
      <w:r>
        <w:rPr>
          <w:rFonts w:ascii="Times New Roman;serif" w:hAnsi="Times New Roman;serif"/>
          <w:b w:val="false"/>
          <w:sz w:val="20"/>
        </w:rPr>
        <w:t>), the federal Executive Retirement Income Security Act of 1974 (as amended), and the California Fair Employment and Housing Act (as amended). Notwithstanding the foregoing, the following are not included in the Released Claims (the “</w:t>
      </w:r>
      <w:r>
        <w:rPr>
          <w:rFonts w:ascii="Times New Roman;serif" w:hAnsi="Times New Roman;serif"/>
          <w:b w:val="false"/>
          <w:sz w:val="20"/>
          <w:u w:val="single"/>
        </w:rPr>
        <w:t>Excluded Claims</w:t>
      </w:r>
      <w:r>
        <w:rPr>
          <w:rFonts w:ascii="Times New Roman" w:hAnsi="Times New Roman"/>
          <w:sz w:val="20"/>
        </w:rPr>
        <w:t>”</w:t>
      </w:r>
      <w:r>
        <w:rPr>
          <w:rFonts w:ascii="Times New Roman;serif" w:hAnsi="Times New Roman;serif"/>
          <w:b w:val="false"/>
          <w:sz w:val="20"/>
        </w:rPr>
        <w:t>): (1) any rights or claims for indemnification I may have pursuant to any written indemnification agreement with the Company to which I am a party, the charter or bylaws of the Company, or under applicable law; (2) any rights related to vested securities of the Company that were granted to me during the course of my employment with the Company or any shares of capital stock or other securities of the Company that I purchased other than pursuant to Company’s Plan; or (3) any rights which are not waivable as a matter of law. In addition, nothing in this Release prevents me from filing, cooperating with, or participating in any proceeding before the Equal Employment Opportunity Commission, the Department of Labor, the California Department of Fair Employment and Housing, or any other local, state, or federal administrative body or government agency that is authorized to enforce or administer laws related to employment, against the Company, except that I hereby waive my right to any monetary benefits in connection with any such claim, charge or proceeding. I hereby represent and warrant that, other than the Excluded Claims, I am not aware of any claims I have or might have against any of the Released Parties that are not included in the Released Claims.</w:t>
      </w:r>
    </w:p>
    <w:p>
      <w:pPr>
        <w:pStyle w:val="TextBody"/>
        <w:spacing w:before="240" w:after="0"/>
        <w:jc w:val="both"/>
        <w:rPr>
          <w:rFonts w:ascii="Times New Roman" w:hAnsi="Times New Roman"/>
          <w:sz w:val="20"/>
        </w:rPr>
      </w:pPr>
      <w:r>
        <w:rPr>
          <w:rFonts w:ascii="Times New Roman;serif" w:hAnsi="Times New Roman;serif"/>
          <w:b w:val="false"/>
          <w:sz w:val="20"/>
        </w:rPr>
        <w:t>I acknowledge that I am knowingly and voluntarily waiving and releasing any rights I may have under the ADEA. I also acknowledge that the consideration given for the Released Claims is in addition to anything of value to which I was already entitled. I further acknowledge that I have been advised by this writing, as required by the ADEA, that: (a) the Released Claims do not apply to any rights or claims that arise after the date I sign this Release; (b) I should consult with an attorney prior to signing this Release (although I may choose voluntarily not to do so); (c) I have twenty-one (21) days to consider this Release (although I may choose to voluntarily sign it sooner); (d) I have seven (7) days following the date I sign this Release to revoke the Release by providing written notice to an officer of the Company; and (e) the Release will not be effective until the date upon which the revocation period has expired unexercised, which will be the eighth day after I sign this Release (“</w:t>
      </w:r>
      <w:r>
        <w:rPr>
          <w:rFonts w:ascii="Times New Roman;serif" w:hAnsi="Times New Roman;serif"/>
          <w:b w:val="false"/>
          <w:sz w:val="20"/>
          <w:u w:val="single"/>
        </w:rPr>
        <w:t>Effective Date</w:t>
      </w:r>
      <w:r>
        <w:rPr>
          <w:rFonts w:ascii="Times New Roman" w:hAnsi="Times New Roman"/>
          <w:sz w:val="20"/>
        </w:rPr>
        <w:t>”</w:t>
      </w:r>
      <w:r>
        <w:rPr>
          <w:rFonts w:ascii="Times New Roman;serif" w:hAnsi="Times New Roman;serif"/>
          <w:b w:val="false"/>
          <w:sz w:val="20"/>
        </w:rPr>
        <w:t>).</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sz w:val="24"/>
        </w:rPr>
        <w:t>-</w:t>
      </w:r>
      <w:r>
        <w:rPr>
          <w:rFonts w:ascii="Times New Roman;serif" w:hAnsi="Times New Roman;serif"/>
          <w:b w:val="false"/>
          <w:sz w:val="20"/>
        </w:rPr>
        <w:t>3</w:t>
      </w:r>
      <w:r>
        <w:rPr>
          <w:rFonts w:ascii="Times New Roman;serif" w:hAnsi="Times New Roman;serif"/>
          <w:b w:val="false"/>
          <w:sz w:val="24"/>
        </w:rPr>
        <w:t>-</w:t>
      </w:r>
    </w:p>
    <w:p>
      <w:pPr>
        <w:pStyle w:val="TextBody"/>
        <w:spacing w:before="0" w:after="0"/>
        <w:jc w:val="left"/>
        <w:rPr/>
      </w:pPr>
      <w:r>
        <w:rPr/>
        <w:t> </w:t>
      </w:r>
    </w:p>
    <w:p>
      <w:pPr>
        <w:pStyle w:val="HorizontalLine"/>
        <w:rPr/>
      </w:pPr>
      <w:r>
        <w:rPr/>
      </w:r>
    </w:p>
    <w:p>
      <w:pPr>
        <w:pStyle w:val="TextBody"/>
        <w:spacing w:before="0" w:after="0"/>
        <w:jc w:val="right"/>
        <w:rPr>
          <w:rFonts w:ascii="Times New Roman;serif" w:hAnsi="Times New Roman;serif"/>
          <w:b w:val="false"/>
          <w:sz w:val="24"/>
        </w:rPr>
      </w:pPr>
      <w:r>
        <w:rPr>
          <w:rFonts w:ascii="Times New Roman;serif" w:hAnsi="Times New Roman;serif"/>
          <w:b w:val="false"/>
          <w:sz w:val="24"/>
        </w:rPr>
        <w:t>For Executive Under Age 40</w:t>
      </w:r>
    </w:p>
    <w:p>
      <w:pPr>
        <w:pStyle w:val="TextBody"/>
        <w:spacing w:before="0" w:after="0"/>
        <w:jc w:val="right"/>
        <w:rPr>
          <w:rFonts w:ascii="Times New Roman;serif" w:hAnsi="Times New Roman;serif"/>
          <w:b w:val="false"/>
          <w:sz w:val="24"/>
        </w:rPr>
      </w:pPr>
      <w:r>
        <w:rPr>
          <w:rFonts w:ascii="Times New Roman;serif" w:hAnsi="Times New Roman;serif"/>
          <w:b w:val="false"/>
          <w:sz w:val="24"/>
        </w:rPr>
        <w:t>Individual and Group Termination</w:t>
      </w:r>
    </w:p>
    <w:p>
      <w:pPr>
        <w:pStyle w:val="TextBody"/>
        <w:spacing w:before="0" w:after="0"/>
        <w:jc w:val="right"/>
        <w:rPr/>
      </w:pPr>
      <w:r>
        <w:rPr/>
        <w:t> </w:t>
      </w:r>
    </w:p>
    <w:p>
      <w:pPr>
        <w:pStyle w:val="TextBody"/>
        <w:spacing w:before="240" w:after="0"/>
        <w:jc w:val="both"/>
        <w:rPr>
          <w:rFonts w:ascii="Times New Roman" w:hAnsi="Times New Roman"/>
          <w:sz w:val="20"/>
        </w:rPr>
      </w:pPr>
      <w:r>
        <w:rPr>
          <w:rFonts w:ascii="Times New Roman;serif" w:hAnsi="Times New Roman;serif"/>
          <w:b w:val="false"/>
          <w:sz w:val="20"/>
        </w:rPr>
        <w:t xml:space="preserve">I acknowledge that I have read and understand Section 1542 of the California Civil Code which reads as follows: </w:t>
      </w:r>
      <w:r>
        <w:rPr>
          <w:rFonts w:ascii="Times New Roman" w:hAnsi="Times New Roman"/>
          <w:sz w:val="20"/>
        </w:rPr>
        <w:t>“</w:t>
      </w:r>
      <w:r>
        <w:rPr>
          <w:rFonts w:ascii="Times New Roman;serif" w:hAnsi="Times New Roman;serif"/>
          <w:b/>
          <w:sz w:val="20"/>
        </w:rPr>
        <w:t>A general release does not extend to claims which the creditor does not know or suspect to exist in his or her favor at the time of executing the release, which if known by him or her must have materially affected his or her settlement with the debtor.”</w:t>
      </w:r>
      <w:r>
        <w:rPr>
          <w:rFonts w:ascii="Times New Roman" w:hAnsi="Times New Roman"/>
          <w:sz w:val="20"/>
        </w:rPr>
        <w:t xml:space="preserve"> </w:t>
      </w:r>
      <w:r>
        <w:rPr>
          <w:rFonts w:ascii="Times New Roman;serif" w:hAnsi="Times New Roman;serif"/>
          <w:b w:val="false"/>
          <w:sz w:val="20"/>
        </w:rPr>
        <w:t>I hereby expressly waive and relinquish all rights and benefits under that section and any law of any jurisdiction of similar effect with respect to my release of any claims hereunder.</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I hereby represent that I have been paid all compensation owed and for all hours worked, I have received all the leave and leave benefits and protections for which I am eligible, and I have not suffered any on-the-job injury for which I have not already filed a workers’ compensation claim.</w:t>
      </w:r>
    </w:p>
    <w:p>
      <w:pPr>
        <w:pStyle w:val="TextBody"/>
        <w:spacing w:before="240" w:after="0"/>
        <w:jc w:val="both"/>
        <w:rPr>
          <w:rFonts w:ascii="Times New Roman" w:hAnsi="Times New Roman"/>
          <w:sz w:val="20"/>
        </w:rPr>
      </w:pPr>
      <w:r>
        <w:rPr>
          <w:rFonts w:ascii="Times New Roman;serif" w:hAnsi="Times New Roman;serif"/>
          <w:b w:val="false"/>
          <w:sz w:val="20"/>
        </w:rPr>
        <w:t xml:space="preserve">I hereby agree not to disparage the Company, or its officers, directors, executives, shareholders or agents, in any manner likely to be harmful to its or their business, business reputation, or personal reputation; </w:t>
      </w:r>
      <w:r>
        <w:rPr>
          <w:rFonts w:ascii="Times New Roman;serif" w:hAnsi="Times New Roman;serif"/>
          <w:b w:val="false"/>
          <w:i/>
          <w:sz w:val="20"/>
        </w:rPr>
        <w:t>provided, however,</w:t>
      </w:r>
      <w:r>
        <w:rPr>
          <w:rFonts w:ascii="Times New Roman" w:hAnsi="Times New Roman"/>
          <w:sz w:val="20"/>
        </w:rPr>
        <w:t xml:space="preserve"> </w:t>
      </w:r>
      <w:r>
        <w:rPr>
          <w:rFonts w:ascii="Times New Roman;serif" w:hAnsi="Times New Roman;serif"/>
          <w:b w:val="false"/>
          <w:sz w:val="20"/>
        </w:rPr>
        <w:t>that I will respond accurately and fully to any question, inquiry or request for information when required by legal process.</w:t>
      </w:r>
    </w:p>
    <w:p>
      <w:pPr>
        <w:pStyle w:val="TextBody"/>
        <w:spacing w:before="240" w:after="240"/>
        <w:jc w:val="both"/>
        <w:rPr>
          <w:rFonts w:ascii="Times New Roman;serif" w:hAnsi="Times New Roman;serif"/>
          <w:b w:val="false"/>
          <w:sz w:val="20"/>
        </w:rPr>
      </w:pPr>
      <w:r>
        <w:rPr>
          <w:rFonts w:ascii="Times New Roman;serif" w:hAnsi="Times New Roman;serif"/>
          <w:b w:val="false"/>
          <w:sz w:val="20"/>
        </w:rPr>
        <w:t>I acknowledge that to become effective, I must sign and return this Release to the Company so that it is received not later than twenty-one (21) days following the date it is provided to me, and I must not revoke it thereafter.</w:t>
      </w:r>
    </w:p>
    <w:p>
      <w:pPr>
        <w:pStyle w:val="TextBody"/>
        <w:spacing w:before="0" w:after="0"/>
        <w:jc w:val="left"/>
        <w:rPr/>
      </w:pPr>
      <w:r>
        <w:rPr/>
        <w:t> </w:t>
      </w:r>
    </w:p>
    <w:tbl>
      <w:tblPr>
        <w:tblW w:w="2070" w:type="dxa"/>
        <w:jc w:val="left"/>
        <w:tblInd w:w="0" w:type="dxa"/>
        <w:tblCellMar>
          <w:top w:w="28" w:type="dxa"/>
          <w:left w:w="28" w:type="dxa"/>
          <w:bottom w:w="28" w:type="dxa"/>
          <w:right w:w="28" w:type="dxa"/>
        </w:tblCellMar>
      </w:tblPr>
      <w:tblGrid>
        <w:gridCol w:w="1561"/>
        <w:gridCol w:w="509"/>
      </w:tblGrid>
      <w:tr>
        <w:trPr/>
        <w:tc>
          <w:tcPr>
            <w:tcW w:w="1561"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r>
      <w:tr>
        <w:trPr/>
        <w:tc>
          <w:tcPr>
            <w:tcW w:w="2070" w:type="dxa"/>
            <w:gridSpan w:val="2"/>
            <w:tcBorders/>
            <w:shd w:fill="auto" w:val="clear"/>
            <w:tcMar>
              <w:top w:w="0" w:type="dxa"/>
              <w:left w:w="0" w:type="dxa"/>
              <w:bottom w:w="0" w:type="dxa"/>
              <w:right w:w="0" w:type="dxa"/>
            </w:tcMar>
            <w:vAlign w:val="center"/>
          </w:tcPr>
          <w:p>
            <w:pPr>
              <w:pStyle w:val="TableContents"/>
              <w:spacing w:before="0" w:after="240"/>
              <w:ind w:left="0" w:right="0" w:hanging="0"/>
              <w:jc w:val="left"/>
              <w:rPr>
                <w:rFonts w:ascii="Times New Roman;serif" w:hAnsi="Times New Roman;serif"/>
                <w:b/>
                <w:sz w:val="20"/>
              </w:rPr>
            </w:pPr>
            <w:r>
              <w:rPr>
                <w:rFonts w:ascii="Times New Roman;serif" w:hAnsi="Times New Roman;serif"/>
                <w:b/>
                <w:sz w:val="20"/>
              </w:rPr>
              <w:t>[EXECUTIVE NAME]</w:t>
            </w:r>
          </w:p>
        </w:tc>
      </w:tr>
      <w:tr>
        <w:trPr/>
        <w:tc>
          <w:tcPr>
            <w:tcW w:w="15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5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5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24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val="false"/>
          <w:sz w:val="24"/>
        </w:rPr>
        <w:t>-</w:t>
      </w:r>
      <w:r>
        <w:rPr>
          <w:rFonts w:ascii="Times New Roman;serif" w:hAnsi="Times New Roman;serif"/>
          <w:b w:val="false"/>
          <w:sz w:val="20"/>
        </w:rPr>
        <w:t>4</w:t>
      </w:r>
      <w:r>
        <w:rPr>
          <w:rFonts w:ascii="Times New Roman;serif" w:hAnsi="Times New Roman;serif"/>
          <w:b w:val="false"/>
          <w:sz w:val="24"/>
        </w:rPr>
        <w:t>-</w:t>
      </w:r>
    </w:p>
    <w:p>
      <w:pPr>
        <w:pStyle w:val="TextBody"/>
        <w:spacing w:before="0" w:after="0"/>
        <w:jc w:val="left"/>
        <w:rPr/>
      </w:pPr>
      <w:r>
        <w:rPr/>
        <w:t> </w:t>
      </w:r>
    </w:p>
    <w:p>
      <w:pPr>
        <w:pStyle w:val="HorizontalLine"/>
        <w:rPr/>
      </w:pPr>
      <w:r>
        <w:rPr/>
      </w:r>
    </w:p>
    <w:p>
      <w:pPr>
        <w:pStyle w:val="TextBody"/>
        <w:spacing w:before="0" w:after="0"/>
        <w:jc w:val="right"/>
        <w:rPr>
          <w:rFonts w:ascii="Times New Roman;serif" w:hAnsi="Times New Roman;serif"/>
          <w:b w:val="false"/>
          <w:sz w:val="24"/>
        </w:rPr>
      </w:pPr>
      <w:r>
        <w:rPr>
          <w:rFonts w:ascii="Times New Roman;serif" w:hAnsi="Times New Roman;serif"/>
          <w:b w:val="false"/>
          <w:sz w:val="24"/>
        </w:rPr>
        <w:t>For Executive Under Age 40</w:t>
      </w:r>
    </w:p>
    <w:p>
      <w:pPr>
        <w:pStyle w:val="TextBody"/>
        <w:spacing w:before="0" w:after="0"/>
        <w:jc w:val="right"/>
        <w:rPr>
          <w:rFonts w:ascii="Times New Roman;serif" w:hAnsi="Times New Roman;serif"/>
          <w:b w:val="false"/>
          <w:sz w:val="24"/>
        </w:rPr>
      </w:pPr>
      <w:r>
        <w:rPr>
          <w:rFonts w:ascii="Times New Roman;serif" w:hAnsi="Times New Roman;serif"/>
          <w:b w:val="false"/>
          <w:sz w:val="24"/>
        </w:rPr>
        <w:t>Individual and Group Termination</w:t>
      </w:r>
    </w:p>
    <w:p>
      <w:pPr>
        <w:pStyle w:val="TextBody"/>
        <w:spacing w:before="0" w:after="0"/>
        <w:jc w:val="right"/>
        <w:rPr/>
      </w:pPr>
      <w:r>
        <w:rPr/>
        <w:t> </w:t>
      </w:r>
    </w:p>
    <w:p>
      <w:pPr>
        <w:pStyle w:val="TextBody"/>
        <w:spacing w:before="240" w:after="0"/>
        <w:jc w:val="center"/>
        <w:rPr>
          <w:rFonts w:ascii="Times New Roman;serif" w:hAnsi="Times New Roman;serif"/>
          <w:b/>
          <w:smallCaps/>
          <w:sz w:val="20"/>
          <w:u w:val="single"/>
        </w:rPr>
      </w:pPr>
      <w:r>
        <w:rPr>
          <w:rFonts w:ascii="Times New Roman;serif" w:hAnsi="Times New Roman;serif"/>
          <w:b/>
          <w:smallCaps/>
          <w:sz w:val="20"/>
          <w:u w:val="single"/>
        </w:rPr>
        <w:t>Exhibit C</w:t>
      </w:r>
    </w:p>
    <w:p>
      <w:pPr>
        <w:pStyle w:val="TextBody"/>
        <w:spacing w:before="240" w:after="0"/>
        <w:jc w:val="center"/>
        <w:rPr>
          <w:rFonts w:ascii="Times New Roman;serif" w:hAnsi="Times New Roman;serif"/>
          <w:b/>
          <w:sz w:val="20"/>
        </w:rPr>
      </w:pPr>
      <w:r>
        <w:rPr>
          <w:rFonts w:ascii="Times New Roman;serif" w:hAnsi="Times New Roman;serif"/>
          <w:b/>
          <w:sz w:val="20"/>
        </w:rPr>
        <w:t>RELEASE AGREEMENT</w:t>
      </w:r>
    </w:p>
    <w:p>
      <w:pPr>
        <w:pStyle w:val="TextBody"/>
        <w:spacing w:before="240" w:after="0"/>
        <w:jc w:val="both"/>
        <w:rPr>
          <w:rFonts w:ascii="Times New Roman" w:hAnsi="Times New Roman"/>
          <w:sz w:val="20"/>
        </w:rPr>
      </w:pPr>
      <w:r>
        <w:rPr>
          <w:rFonts w:ascii="Times New Roman;serif" w:hAnsi="Times New Roman;serif"/>
          <w:b w:val="false"/>
          <w:sz w:val="20"/>
        </w:rPr>
        <w:t>In consideration of receiving certain benefits under my Change in Control and Severance Agreement with FibroGen, Inc. (the “</w:t>
      </w:r>
      <w:r>
        <w:rPr>
          <w:rFonts w:ascii="Times New Roman;serif" w:hAnsi="Times New Roman;serif"/>
          <w:b w:val="false"/>
          <w:sz w:val="20"/>
          <w:u w:val="single"/>
        </w:rPr>
        <w:t>Company</w:t>
      </w:r>
      <w:r>
        <w:rPr>
          <w:rFonts w:ascii="Times New Roman" w:hAnsi="Times New Roman"/>
          <w:sz w:val="20"/>
        </w:rPr>
        <w:t>”</w:t>
      </w:r>
      <w:r>
        <w:rPr>
          <w:rFonts w:ascii="Times New Roman;serif" w:hAnsi="Times New Roman;serif"/>
          <w:b w:val="false"/>
          <w:sz w:val="20"/>
        </w:rPr>
        <w:t>) dated ____________ (the “</w:t>
      </w:r>
      <w:r>
        <w:rPr>
          <w:rFonts w:ascii="Times New Roman;serif" w:hAnsi="Times New Roman;serif"/>
          <w:b w:val="false"/>
          <w:sz w:val="20"/>
          <w:u w:val="single"/>
        </w:rPr>
        <w:t>Agreement</w:t>
      </w:r>
      <w:r>
        <w:rPr>
          <w:rFonts w:ascii="Times New Roman" w:hAnsi="Times New Roman"/>
          <w:sz w:val="20"/>
        </w:rPr>
        <w:t>”</w:t>
      </w:r>
      <w:r>
        <w:rPr>
          <w:rFonts w:ascii="Times New Roman;serif" w:hAnsi="Times New Roman;serif"/>
          <w:b w:val="false"/>
          <w:sz w:val="20"/>
        </w:rPr>
        <w:t>), I have agreed to sign this Release. I understand that I am not entitled to benefits under the Agreement unless I sign this Release.</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I understand that this Release, together with the Agreement, constitutes the complete, final and exclusive embodiment of the entire agreement between the Company, affiliates of the Company and me with regard to the subject matter hereof. I am not relying on any promise or representation by the Company that is not expressly stated therein. Certain capitalized terms used in this Release are defined in the Agreement.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I hereby confirm my obligations under my Confidential Information, Secrecy and Invention Agreement with the Company.</w:t>
      </w:r>
    </w:p>
    <w:p>
      <w:pPr>
        <w:pStyle w:val="TextBody"/>
        <w:spacing w:before="240" w:after="0"/>
        <w:jc w:val="both"/>
        <w:rPr>
          <w:rFonts w:ascii="Times New Roman" w:hAnsi="Times New Roman"/>
          <w:sz w:val="20"/>
        </w:rPr>
      </w:pPr>
      <w:r>
        <w:rPr>
          <w:rFonts w:ascii="Times New Roman;serif" w:hAnsi="Times New Roman;serif"/>
          <w:b w:val="false"/>
          <w:sz w:val="20"/>
        </w:rPr>
        <w:t>Except as otherwise set forth in this Release, I hereby generally and completely release the Company and its current and former directors, officers, executives, shareholders, shareholders, partners, agents, attorneys, predecessors, successors, parent and subsidiary entities, insurers, affiliates, and assigns (collectively, the “</w:t>
      </w:r>
      <w:r>
        <w:rPr>
          <w:rFonts w:ascii="Times New Roman;serif" w:hAnsi="Times New Roman;serif"/>
          <w:b w:val="false"/>
          <w:sz w:val="20"/>
          <w:u w:val="single"/>
        </w:rPr>
        <w:t>Released Parties</w:t>
      </w:r>
      <w:r>
        <w:rPr>
          <w:rFonts w:ascii="Times New Roman" w:hAnsi="Times New Roman"/>
          <w:sz w:val="20"/>
        </w:rPr>
        <w:t>”</w:t>
      </w:r>
      <w:r>
        <w:rPr>
          <w:rFonts w:ascii="Times New Roman;serif" w:hAnsi="Times New Roman;serif"/>
          <w:b w:val="false"/>
          <w:sz w:val="20"/>
        </w:rPr>
        <w:t>) from any and all claims, liabilities and obligations, both known and unknown, that arise out of or are in any way related to events, acts, conduct, or omissions occurring prior to my signing this Release (collectively, the “</w:t>
      </w:r>
      <w:r>
        <w:rPr>
          <w:rFonts w:ascii="Times New Roman;serif" w:hAnsi="Times New Roman;serif"/>
          <w:b w:val="false"/>
          <w:sz w:val="20"/>
          <w:u w:val="single"/>
        </w:rPr>
        <w:t>Released Claims</w:t>
      </w:r>
      <w:r>
        <w:rPr>
          <w:rFonts w:ascii="Times New Roman" w:hAnsi="Times New Roman"/>
          <w:sz w:val="20"/>
        </w:rPr>
        <w:t>”</w:t>
      </w:r>
      <w:r>
        <w:rPr>
          <w:rFonts w:ascii="Times New Roman;serif" w:hAnsi="Times New Roman;serif"/>
          <w:b w:val="false"/>
          <w:sz w:val="20"/>
        </w:rPr>
        <w:t>). The Released Claims include, but are not limited to: (1) all claims arising out of or in any way related to my employment with the Company or its affiliates, or the termination of that employment; (2) all claims related to my compensation or benefits, including salary, bonuses, commissions, vacation pay, expense reimbursements, severance pay, fringe benefits, stock, stock options, Stock Awards, or any other ownership interests in the Company or its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Executive Retirement Income Security Act of 1974 (as amended), and the California Fair Employment and Housing Act (as amended). Notwithstanding the foregoing, the following are not included in the Released Claims (the “</w:t>
      </w:r>
      <w:r>
        <w:rPr>
          <w:rFonts w:ascii="Times New Roman;serif" w:hAnsi="Times New Roman;serif"/>
          <w:b w:val="false"/>
          <w:sz w:val="20"/>
          <w:u w:val="single"/>
        </w:rPr>
        <w:t>Excluded Claims</w:t>
      </w:r>
      <w:r>
        <w:rPr>
          <w:rFonts w:ascii="Times New Roman" w:hAnsi="Times New Roman"/>
          <w:sz w:val="20"/>
        </w:rPr>
        <w:t>”</w:t>
      </w:r>
      <w:r>
        <w:rPr>
          <w:rFonts w:ascii="Times New Roman;serif" w:hAnsi="Times New Roman;serif"/>
          <w:b w:val="false"/>
          <w:sz w:val="20"/>
        </w:rPr>
        <w:t>): (1) any rights or claims for indemnification I may have pursuant to any written indemnification agreement with the Company to which I am a party, the charter or bylaws of the Company, or under applicable law; (2) any rights related to vested securities of the Company that were granted to me during the course of my employment with the Company or any shares of capital stock or other securities of the Company that I purchased other than pursuant to Company’s Plan; or (3) any rights which are not waivable as a matter of law. In addition, nothing in this Release prevents me from filing, cooperating with, or participating in any proceeding before the Equal Employment Opportunity Commission, the Department of Labor, the California Department of Fair Employment and Housing, or any other local, state, or federal administrative body or government agency that is authorized to enforce or administer laws related to employment, against the Company, except that I hereby waive my right to any monetary benefits in connection with any such claim, charge or proceeding. I hereby represent and warrant that, other than the Excluded Claims, I am not aware of any claims I have or might have against any of the Released Parties that are not included in the Released Claims.</w:t>
      </w:r>
    </w:p>
    <w:p>
      <w:pPr>
        <w:pStyle w:val="TextBody"/>
        <w:spacing w:before="240" w:after="0"/>
        <w:jc w:val="both"/>
        <w:rPr>
          <w:rFonts w:ascii="Times New Roman" w:hAnsi="Times New Roman"/>
          <w:sz w:val="20"/>
        </w:rPr>
      </w:pPr>
      <w:r>
        <w:rPr>
          <w:rFonts w:ascii="Times New Roman;serif" w:hAnsi="Times New Roman;serif"/>
          <w:b w:val="false"/>
          <w:sz w:val="20"/>
        </w:rPr>
        <w:t xml:space="preserve">I acknowledge that I have read and understand Section 1542 of the California Civil Code which reads as follows: </w:t>
      </w:r>
      <w:r>
        <w:rPr>
          <w:rFonts w:ascii="Times New Roman" w:hAnsi="Times New Roman"/>
          <w:sz w:val="20"/>
        </w:rPr>
        <w:t>“</w:t>
      </w:r>
      <w:r>
        <w:rPr>
          <w:rFonts w:ascii="Times New Roman;serif" w:hAnsi="Times New Roman;serif"/>
          <w:b/>
          <w:sz w:val="20"/>
        </w:rPr>
        <w:t>A general release does not extend to claims which the creditor does not know or suspect to exist in his or her favor at the time of executing the release, which if known by him or her must have materially affected his or her settlement with the debtor.”</w:t>
      </w:r>
      <w:r>
        <w:rPr>
          <w:rFonts w:ascii="Times New Roman" w:hAnsi="Times New Roman"/>
          <w:sz w:val="20"/>
        </w:rPr>
        <w:t xml:space="preserve"> </w:t>
      </w:r>
      <w:r>
        <w:rPr>
          <w:rFonts w:ascii="Times New Roman;serif" w:hAnsi="Times New Roman;serif"/>
          <w:b w:val="false"/>
          <w:sz w:val="20"/>
        </w:rPr>
        <w:t>I hereby expressly waive and relinquish all rights and benefits under that section and any law of any jurisdiction of similar effect with respect to my release of any claims hereunder.</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I hereby represent that I have been paid all compensation owed and for all hours worked, I have received all the leave and leave benefits and protections for which I am eligible, and I have not suffered any on-the-job injury for which I have not already filed a workers’ compensation claim.</w:t>
      </w:r>
    </w:p>
    <w:p>
      <w:pPr>
        <w:pStyle w:val="TextBody"/>
        <w:spacing w:before="0" w:after="0"/>
        <w:jc w:val="center"/>
        <w:rPr>
          <w:rFonts w:ascii="Times New Roman" w:hAnsi="Times New Roman"/>
          <w:sz w:val="20"/>
        </w:rPr>
      </w:pPr>
      <w:r>
        <w:rPr>
          <w:rFonts w:ascii="Times New Roman;serif" w:hAnsi="Times New Roman;serif"/>
          <w:b w:val="false"/>
          <w:sz w:val="24"/>
        </w:rPr>
        <w:t>-</w:t>
      </w:r>
      <w:r>
        <w:rPr>
          <w:rFonts w:ascii="Times New Roman;serif" w:hAnsi="Times New Roman;serif"/>
          <w:b w:val="false"/>
          <w:sz w:val="20"/>
        </w:rPr>
        <w:t>5</w:t>
      </w:r>
      <w:r>
        <w:rPr>
          <w:rFonts w:ascii="Times New Roman;serif" w:hAnsi="Times New Roman;serif"/>
          <w:b w:val="false"/>
          <w:sz w:val="24"/>
        </w:rPr>
        <w:t>-</w:t>
      </w:r>
    </w:p>
    <w:p>
      <w:pPr>
        <w:pStyle w:val="TextBody"/>
        <w:spacing w:before="0" w:after="0"/>
        <w:jc w:val="left"/>
        <w:rPr/>
      </w:pPr>
      <w:r>
        <w:rPr/>
        <w:t> </w:t>
      </w:r>
    </w:p>
    <w:p>
      <w:pPr>
        <w:pStyle w:val="HorizontalLine"/>
        <w:rPr/>
      </w:pPr>
      <w:r>
        <w:rPr/>
      </w:r>
    </w:p>
    <w:p>
      <w:pPr>
        <w:pStyle w:val="TextBody"/>
        <w:spacing w:before="0" w:after="0"/>
        <w:jc w:val="right"/>
        <w:rPr>
          <w:rFonts w:ascii="Times New Roman;serif" w:hAnsi="Times New Roman;serif"/>
          <w:b w:val="false"/>
          <w:sz w:val="24"/>
        </w:rPr>
      </w:pPr>
      <w:r>
        <w:rPr>
          <w:rFonts w:ascii="Times New Roman;serif" w:hAnsi="Times New Roman;serif"/>
          <w:b w:val="false"/>
          <w:sz w:val="24"/>
        </w:rPr>
        <w:t>For Executive Under Age 40</w:t>
      </w:r>
    </w:p>
    <w:p>
      <w:pPr>
        <w:pStyle w:val="TextBody"/>
        <w:spacing w:before="0" w:after="0"/>
        <w:jc w:val="right"/>
        <w:rPr>
          <w:rFonts w:ascii="Times New Roman;serif" w:hAnsi="Times New Roman;serif"/>
          <w:b w:val="false"/>
          <w:sz w:val="24"/>
        </w:rPr>
      </w:pPr>
      <w:r>
        <w:rPr>
          <w:rFonts w:ascii="Times New Roman;serif" w:hAnsi="Times New Roman;serif"/>
          <w:b w:val="false"/>
          <w:sz w:val="24"/>
        </w:rPr>
        <w:t>Individual and Group Termination</w:t>
      </w:r>
    </w:p>
    <w:p>
      <w:pPr>
        <w:pStyle w:val="TextBody"/>
        <w:spacing w:before="0" w:after="0"/>
        <w:jc w:val="right"/>
        <w:rPr/>
      </w:pPr>
      <w:r>
        <w:rPr/>
        <w:t> </w:t>
      </w:r>
    </w:p>
    <w:p>
      <w:pPr>
        <w:pStyle w:val="TextBody"/>
        <w:spacing w:before="240" w:after="0"/>
        <w:jc w:val="both"/>
        <w:rPr>
          <w:rFonts w:ascii="Times New Roman" w:hAnsi="Times New Roman"/>
          <w:sz w:val="20"/>
        </w:rPr>
      </w:pPr>
      <w:r>
        <w:rPr>
          <w:rFonts w:ascii="Times New Roman;serif" w:hAnsi="Times New Roman;serif"/>
          <w:b w:val="false"/>
          <w:sz w:val="20"/>
        </w:rPr>
        <w:t xml:space="preserve">I hereby agree not to disparage the Company, or its officers, directors, executives, shareholders or agents, in any manner likely to be harmful to its or their business, business reputation, or personal reputation; </w:t>
      </w:r>
      <w:r>
        <w:rPr>
          <w:rFonts w:ascii="Times New Roman;serif" w:hAnsi="Times New Roman;serif"/>
          <w:b w:val="false"/>
          <w:i/>
          <w:sz w:val="20"/>
        </w:rPr>
        <w:t>provided, however,</w:t>
      </w:r>
      <w:r>
        <w:rPr>
          <w:rFonts w:ascii="Times New Roman" w:hAnsi="Times New Roman"/>
          <w:sz w:val="20"/>
        </w:rPr>
        <w:t xml:space="preserve"> </w:t>
      </w:r>
      <w:r>
        <w:rPr>
          <w:rFonts w:ascii="Times New Roman;serif" w:hAnsi="Times New Roman;serif"/>
          <w:b w:val="false"/>
          <w:sz w:val="20"/>
        </w:rPr>
        <w:t>that I will respond accurately and fully to any question, inquiry or request for information when required by legal process.</w:t>
      </w:r>
    </w:p>
    <w:p>
      <w:pPr>
        <w:pStyle w:val="TextBody"/>
        <w:spacing w:before="240" w:after="240"/>
        <w:jc w:val="both"/>
        <w:rPr>
          <w:rFonts w:ascii="Times New Roman;serif" w:hAnsi="Times New Roman;serif"/>
          <w:b w:val="false"/>
          <w:sz w:val="20"/>
        </w:rPr>
      </w:pPr>
      <w:r>
        <w:rPr>
          <w:rFonts w:ascii="Times New Roman;serif" w:hAnsi="Times New Roman;serif"/>
          <w:b w:val="false"/>
          <w:sz w:val="20"/>
        </w:rPr>
        <w:t>I acknowledge that to become effective, I must sign and return this Release to the Company so that it is received not later than fourteen (14) days following the date it is provided to me, and I must not revoke it thereafter.</w:t>
      </w:r>
    </w:p>
    <w:p>
      <w:pPr>
        <w:pStyle w:val="TextBody"/>
        <w:spacing w:before="0" w:after="0"/>
        <w:jc w:val="left"/>
        <w:rPr/>
      </w:pPr>
      <w:r>
        <w:rPr/>
        <w:t> </w:t>
      </w:r>
    </w:p>
    <w:tbl>
      <w:tblPr>
        <w:tblW w:w="2070" w:type="dxa"/>
        <w:jc w:val="left"/>
        <w:tblInd w:w="0" w:type="dxa"/>
        <w:tblCellMar>
          <w:top w:w="28" w:type="dxa"/>
          <w:left w:w="28" w:type="dxa"/>
          <w:bottom w:w="28" w:type="dxa"/>
          <w:right w:w="28" w:type="dxa"/>
        </w:tblCellMar>
      </w:tblPr>
      <w:tblGrid>
        <w:gridCol w:w="1561"/>
        <w:gridCol w:w="509"/>
      </w:tblGrid>
      <w:tr>
        <w:trPr/>
        <w:tc>
          <w:tcPr>
            <w:tcW w:w="1561"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r>
      <w:tr>
        <w:trPr/>
        <w:tc>
          <w:tcPr>
            <w:tcW w:w="2070" w:type="dxa"/>
            <w:gridSpan w:val="2"/>
            <w:tcBorders/>
            <w:shd w:fill="auto" w:val="clear"/>
            <w:tcMar>
              <w:top w:w="0" w:type="dxa"/>
              <w:left w:w="0" w:type="dxa"/>
              <w:bottom w:w="0" w:type="dxa"/>
              <w:right w:w="0" w:type="dxa"/>
            </w:tcMar>
            <w:vAlign w:val="center"/>
          </w:tcPr>
          <w:p>
            <w:pPr>
              <w:pStyle w:val="TableContents"/>
              <w:spacing w:before="0" w:after="240"/>
              <w:ind w:left="0" w:right="0" w:hanging="0"/>
              <w:jc w:val="left"/>
              <w:rPr>
                <w:rFonts w:ascii="Times New Roman;serif" w:hAnsi="Times New Roman;serif"/>
                <w:b/>
                <w:sz w:val="20"/>
              </w:rPr>
            </w:pPr>
            <w:r>
              <w:rPr>
                <w:rFonts w:ascii="Times New Roman;serif" w:hAnsi="Times New Roman;serif"/>
                <w:b/>
                <w:sz w:val="20"/>
              </w:rPr>
              <w:t>[EXECUTIVE NAME]</w:t>
            </w:r>
          </w:p>
        </w:tc>
      </w:tr>
      <w:tr>
        <w:trPr/>
        <w:tc>
          <w:tcPr>
            <w:tcW w:w="15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5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5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pPr>
      <w:r>
        <w:rPr/>
        <w:t> </w:t>
      </w:r>
    </w:p>
    <w:p>
      <w:pPr>
        <w:pStyle w:val="TextBody"/>
        <w:spacing w:before="0" w:after="0"/>
        <w:jc w:val="center"/>
        <w:rPr>
          <w:rFonts w:ascii="Times New Roman" w:hAnsi="Times New Roman"/>
          <w:sz w:val="20"/>
        </w:rPr>
      </w:pPr>
      <w:r>
        <w:rPr>
          <w:rFonts w:ascii="Times New Roman;serif" w:hAnsi="Times New Roman;serif"/>
          <w:b w:val="false"/>
          <w:sz w:val="24"/>
        </w:rPr>
        <w:t>-</w:t>
      </w:r>
      <w:r>
        <w:rPr>
          <w:rFonts w:ascii="Times New Roman;serif" w:hAnsi="Times New Roman;serif"/>
          <w:b w:val="false"/>
          <w:sz w:val="20"/>
        </w:rPr>
        <w:t>6</w:t>
      </w:r>
      <w:r>
        <w:rPr>
          <w:rFonts w:ascii="Times New Roman;serif" w:hAnsi="Times New Roman;serif"/>
          <w:b w:val="false"/>
          <w:sz w:val="24"/>
        </w:rPr>
        <w:t>-</w:t>
      </w:r>
    </w:p>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31" w:name="fgen-ex31_1.htm"/>
      <w:bookmarkStart w:id="32" w:name="ksfgenex31_1"/>
      <w:bookmarkEnd w:id="31"/>
      <w:bookmarkEnd w:id="32"/>
      <w:r>
        <w:rPr>
          <w:rFonts w:ascii="Times New Roman;serif" w:hAnsi="Times New Roman;serif"/>
          <w:b/>
          <w:sz w:val="20"/>
        </w:rPr>
        <w:t>Exhibit 31.1</w:t>
      </w:r>
    </w:p>
    <w:p>
      <w:pPr>
        <w:pStyle w:val="TextBody"/>
        <w:spacing w:before="240" w:after="0"/>
        <w:jc w:val="center"/>
        <w:rPr>
          <w:rFonts w:ascii="Times New Roman;serif" w:hAnsi="Times New Roman;serif"/>
          <w:b/>
          <w:sz w:val="20"/>
        </w:rPr>
      </w:pPr>
      <w:r>
        <w:rPr>
          <w:rFonts w:ascii="Times New Roman;serif" w:hAnsi="Times New Roman;serif"/>
          <w:b/>
          <w:sz w:val="20"/>
        </w:rPr>
        <w:t>CERTIFICATION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Enrique Conterno, certify that: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1. I have reviewed this Form 10-Q of FibroGen, Inc.;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tbl>
      <w:tblPr>
        <w:tblW w:w="4157" w:type="dxa"/>
        <w:jc w:val="left"/>
        <w:tblInd w:w="0" w:type="dxa"/>
        <w:tblCellMar>
          <w:top w:w="28" w:type="dxa"/>
          <w:left w:w="28" w:type="dxa"/>
          <w:bottom w:w="28" w:type="dxa"/>
          <w:right w:w="28" w:type="dxa"/>
        </w:tblCellMar>
      </w:tblPr>
      <w:tblGrid>
        <w:gridCol w:w="1636"/>
        <w:gridCol w:w="2521"/>
      </w:tblGrid>
      <w:tr>
        <w:trPr/>
        <w:tc>
          <w:tcPr>
            <w:tcW w:w="1636" w:type="dxa"/>
            <w:tcBorders/>
            <w:shd w:fill="auto" w:val="clear"/>
            <w:vAlign w:val="center"/>
          </w:tcPr>
          <w:p>
            <w:pPr>
              <w:pStyle w:val="TableContents"/>
              <w:spacing w:before="0" w:after="283"/>
              <w:rPr>
                <w:sz w:val="4"/>
                <w:szCs w:val="4"/>
              </w:rPr>
            </w:pPr>
            <w:r>
              <w:rPr>
                <w:sz w:val="4"/>
                <w:szCs w:val="4"/>
              </w:rPr>
            </w:r>
          </w:p>
        </w:tc>
        <w:tc>
          <w:tcPr>
            <w:tcW w:w="252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8, 2023</w:t>
            </w:r>
          </w:p>
        </w:tc>
        <w:tc>
          <w:tcPr>
            <w:tcW w:w="25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Enrique Conterno</w:t>
            </w:r>
          </w:p>
        </w:tc>
      </w:tr>
      <w:tr>
        <w:trPr/>
        <w:tc>
          <w:tcPr>
            <w:tcW w:w="1636" w:type="dxa"/>
            <w:tcBorders/>
            <w:shd w:fill="auto" w:val="clear"/>
            <w:vAlign w:val="center"/>
          </w:tcPr>
          <w:p>
            <w:pPr>
              <w:pStyle w:val="TableContents"/>
              <w:spacing w:before="0" w:after="0"/>
              <w:ind w:left="0" w:right="0" w:hanging="0"/>
              <w:jc w:val="left"/>
              <w:rPr/>
            </w:pPr>
            <w:r>
              <w:rPr/>
              <w:t> </w:t>
            </w:r>
          </w:p>
        </w:tc>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Enrique Conterno</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(Principal Executive Officer)</w:t>
            </w:r>
            <w:r>
              <w:rPr>
                <w:rFonts w:ascii="Times New Roman" w:hAnsi="Times New Roman"/>
                <w:sz w:val="20"/>
              </w:rPr>
              <w:t xml:space="preserve"> </w:t>
            </w:r>
          </w:p>
        </w:tc>
      </w:tr>
    </w:tbl>
    <w:p>
      <w:pPr>
        <w:pStyle w:val="HorizontalLine"/>
        <w:rPr/>
      </w:pPr>
      <w:r>
        <w:rPr/>
      </w:r>
      <w:r>
        <w:br w:type="page"/>
      </w:r>
    </w:p>
    <w:p>
      <w:pPr>
        <w:pStyle w:val="TextBody"/>
        <w:spacing w:before="0" w:after="0"/>
        <w:jc w:val="right"/>
        <w:rPr>
          <w:rFonts w:ascii="Times New Roman;serif" w:hAnsi="Times New Roman;serif"/>
          <w:b/>
          <w:sz w:val="20"/>
        </w:rPr>
      </w:pPr>
      <w:bookmarkStart w:id="33" w:name="fgen-ex31_2.htm"/>
      <w:bookmarkStart w:id="34" w:name="ksfgenex31_2"/>
      <w:bookmarkEnd w:id="33"/>
      <w:bookmarkEnd w:id="34"/>
      <w:r>
        <w:rPr>
          <w:rFonts w:ascii="Times New Roman;serif" w:hAnsi="Times New Roman;serif"/>
          <w:b/>
          <w:sz w:val="20"/>
        </w:rPr>
        <w:t>Exhibit 31.2</w:t>
      </w:r>
    </w:p>
    <w:p>
      <w:pPr>
        <w:pStyle w:val="TextBody"/>
        <w:spacing w:before="240" w:after="0"/>
        <w:jc w:val="center"/>
        <w:rPr>
          <w:rFonts w:ascii="Times New Roman;serif" w:hAnsi="Times New Roman;serif"/>
          <w:b/>
          <w:sz w:val="20"/>
        </w:rPr>
      </w:pPr>
      <w:r>
        <w:rPr>
          <w:rFonts w:ascii="Times New Roman;serif" w:hAnsi="Times New Roman;serif"/>
          <w:b/>
          <w:sz w:val="20"/>
        </w:rPr>
        <w:t>CERTIFICATION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Juan Graham, certify that: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1. I have reviewed this Form 10-Q of FibroGen, Inc.;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tbl>
      <w:tblPr>
        <w:tblW w:w="5822" w:type="dxa"/>
        <w:jc w:val="left"/>
        <w:tblInd w:w="0" w:type="dxa"/>
        <w:tblCellMar>
          <w:top w:w="28" w:type="dxa"/>
          <w:left w:w="28" w:type="dxa"/>
          <w:bottom w:w="28" w:type="dxa"/>
          <w:right w:w="28" w:type="dxa"/>
        </w:tblCellMar>
      </w:tblPr>
      <w:tblGrid>
        <w:gridCol w:w="1636"/>
        <w:gridCol w:w="4186"/>
      </w:tblGrid>
      <w:tr>
        <w:trPr/>
        <w:tc>
          <w:tcPr>
            <w:tcW w:w="1636" w:type="dxa"/>
            <w:tcBorders/>
            <w:shd w:fill="auto" w:val="clear"/>
            <w:vAlign w:val="center"/>
          </w:tcPr>
          <w:p>
            <w:pPr>
              <w:pStyle w:val="TableContents"/>
              <w:spacing w:before="0" w:after="283"/>
              <w:rPr>
                <w:sz w:val="4"/>
                <w:szCs w:val="4"/>
              </w:rPr>
            </w:pPr>
            <w:r>
              <w:rPr>
                <w:sz w:val="4"/>
                <w:szCs w:val="4"/>
              </w:rPr>
            </w:r>
          </w:p>
        </w:tc>
        <w:tc>
          <w:tcPr>
            <w:tcW w:w="418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8, 2023</w:t>
            </w:r>
          </w:p>
        </w:tc>
        <w:tc>
          <w:tcPr>
            <w:tcW w:w="4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Juan Graham</w:t>
            </w:r>
          </w:p>
        </w:tc>
      </w:tr>
      <w:tr>
        <w:trPr/>
        <w:tc>
          <w:tcPr>
            <w:tcW w:w="1636" w:type="dxa"/>
            <w:tcBorders/>
            <w:shd w:fill="auto" w:val="clear"/>
            <w:vAlign w:val="center"/>
          </w:tcPr>
          <w:p>
            <w:pPr>
              <w:pStyle w:val="TableContents"/>
              <w:spacing w:before="0" w:after="0"/>
              <w:ind w:left="0" w:right="0" w:hanging="0"/>
              <w:jc w:val="left"/>
              <w:rPr/>
            </w:pPr>
            <w:r>
              <w:rPr/>
              <w:t> </w:t>
            </w:r>
          </w:p>
        </w:tc>
        <w:tc>
          <w:tcPr>
            <w:tcW w:w="4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Juan Graham</w:t>
            </w:r>
          </w:p>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Senior Vice President and Chief Financial Officer</w:t>
            </w:r>
            <w:r>
              <w:rPr>
                <w:rFonts w:ascii="Times New Roman" w:hAnsi="Times New Roman"/>
                <w:sz w:val="20"/>
              </w:rPr>
              <w:t xml:space="preserve">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HorizontalLine"/>
        <w:rPr/>
      </w:pPr>
      <w:r>
        <w:rPr/>
      </w:r>
      <w:r>
        <w:br w:type="page"/>
      </w:r>
    </w:p>
    <w:p>
      <w:pPr>
        <w:pStyle w:val="TextBody"/>
        <w:spacing w:before="0" w:after="0"/>
        <w:jc w:val="right"/>
        <w:rPr>
          <w:rFonts w:ascii="Times New Roman;serif" w:hAnsi="Times New Roman;serif"/>
          <w:b/>
          <w:sz w:val="20"/>
        </w:rPr>
      </w:pPr>
      <w:bookmarkStart w:id="35" w:name="fgen-ex32_1.htm"/>
      <w:bookmarkStart w:id="36" w:name="ksfgenex32_1"/>
      <w:bookmarkEnd w:id="35"/>
      <w:bookmarkEnd w:id="36"/>
      <w:r>
        <w:rPr>
          <w:rFonts w:ascii="Times New Roman;serif" w:hAnsi="Times New Roman;serif"/>
          <w:b/>
          <w:sz w:val="20"/>
        </w:rPr>
        <w:t>Exhibit 32.1</w:t>
      </w:r>
    </w:p>
    <w:p>
      <w:pPr>
        <w:pStyle w:val="TextBody"/>
        <w:spacing w:before="240" w:after="0"/>
        <w:jc w:val="center"/>
        <w:rPr>
          <w:rFonts w:ascii="Times New Roman;serif" w:hAnsi="Times New Roman;serif"/>
          <w:b/>
          <w:sz w:val="20"/>
        </w:rPr>
      </w:pPr>
      <w:r>
        <w:rPr>
          <w:rFonts w:ascii="Times New Roman;serif" w:hAnsi="Times New Roman;serif"/>
          <w:b/>
          <w:sz w:val="20"/>
        </w:rPr>
        <w:t>CERTIFICATION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requirement set forth in Rule 13a-14(b) of the Securities Exchange Act of 1934, as amended (the “Exchange Act”), and Section 1350 of Chapter 63 of Title 18 of the United States Code (18 U.S.C. §1350), Enrique Conterno, Chief Executive Officer of FibroGen, Inc. (the "Company”), and Juan Graham, Chief Financial Officer of the Company, each hereby certifies that, to the best of his knowledge:</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Company’s Quarterly Report on Form 10-Q for the period ended March 31, 2023, to which this Certification is attached as Exhibit 32.1 (the “Periodic Report”), fully complies with the requirements of Section 13(a) or Section 15(d) of the Exchange Act; and</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information contained in the Periodic Report fairly presents, in all material respects, the financial condition and results of operations of the Company.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Dated: May 8, 2023</w:t>
      </w:r>
    </w:p>
    <w:p>
      <w:pPr>
        <w:pStyle w:val="TextBody"/>
        <w:spacing w:before="360" w:after="240"/>
        <w:jc w:val="both"/>
        <w:rPr>
          <w:rFonts w:ascii="Times New Roman" w:hAnsi="Times New Roman"/>
          <w:sz w:val="20"/>
        </w:rPr>
      </w:pPr>
      <w:r>
        <w:rPr>
          <w:rFonts w:ascii="Times New Roman;serif" w:hAnsi="Times New Roman;serif"/>
          <w:b/>
          <w:smallCaps/>
          <w:sz w:val="20"/>
        </w:rPr>
        <w:t>In Witness Whereof</w:t>
      </w:r>
      <w:r>
        <w:rPr>
          <w:rFonts w:ascii="Times New Roman;serif" w:hAnsi="Times New Roman;serif"/>
          <w:b w:val="false"/>
          <w:sz w:val="20"/>
        </w:rPr>
        <w:t>, the undersigned have set their hands hereto as of the 8</w:t>
      </w:r>
      <w:r>
        <w:rPr>
          <w:rFonts w:ascii="Times New Roman;serif" w:hAnsi="Times New Roman;serif"/>
          <w:b w:val="false"/>
          <w:sz w:val="13"/>
        </w:rPr>
        <w:t>th</w:t>
      </w:r>
      <w:r>
        <w:rPr>
          <w:rFonts w:ascii="Times New Roman" w:hAnsi="Times New Roman"/>
          <w:sz w:val="20"/>
        </w:rPr>
        <w:t xml:space="preserve"> </w:t>
      </w:r>
      <w:r>
        <w:rPr>
          <w:rFonts w:ascii="Times New Roman;serif" w:hAnsi="Times New Roman;serif"/>
          <w:b w:val="false"/>
          <w:sz w:val="20"/>
        </w:rPr>
        <w:t>day of May, 2023.</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tbl>
      <w:tblPr>
        <w:tblW w:w="4513" w:type="dxa"/>
        <w:jc w:val="left"/>
        <w:tblInd w:w="0" w:type="dxa"/>
        <w:tblCellMar>
          <w:top w:w="28" w:type="dxa"/>
          <w:left w:w="28" w:type="dxa"/>
          <w:bottom w:w="28" w:type="dxa"/>
          <w:right w:w="28" w:type="dxa"/>
        </w:tblCellMar>
      </w:tblPr>
      <w:tblGrid>
        <w:gridCol w:w="2086"/>
        <w:gridCol w:w="146"/>
        <w:gridCol w:w="2281"/>
      </w:tblGrid>
      <w:tr>
        <w:trPr/>
        <w:tc>
          <w:tcPr>
            <w:tcW w:w="2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1" w:type="dxa"/>
            <w:tcBorders/>
            <w:shd w:fill="auto" w:val="clear"/>
            <w:vAlign w:val="center"/>
          </w:tcPr>
          <w:p>
            <w:pPr>
              <w:pStyle w:val="TableContents"/>
              <w:spacing w:before="0" w:after="283"/>
              <w:rPr>
                <w:sz w:val="4"/>
                <w:szCs w:val="4"/>
              </w:rPr>
            </w:pPr>
            <w:r>
              <w:rPr>
                <w:sz w:val="4"/>
                <w:szCs w:val="4"/>
              </w:rPr>
            </w:r>
          </w:p>
        </w:tc>
      </w:tr>
      <w:tr>
        <w:trPr/>
        <w:tc>
          <w:tcPr>
            <w:tcW w:w="20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Enrique Conterno</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Juan Graham</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Enrique Conterno</w:t>
            </w:r>
          </w:p>
        </w:tc>
        <w:tc>
          <w:tcPr>
            <w:tcW w:w="146" w:type="dxa"/>
            <w:tcBorders/>
            <w:shd w:fill="auto" w:val="clear"/>
            <w:vAlign w:val="center"/>
          </w:tcPr>
          <w:p>
            <w:pPr>
              <w:pStyle w:val="TableContents"/>
              <w:spacing w:before="0" w:after="0"/>
              <w:ind w:left="0" w:right="0" w:hanging="0"/>
              <w:jc w:val="left"/>
              <w:rPr/>
            </w:pPr>
            <w:r>
              <w:rPr/>
              <w:t> </w:t>
            </w:r>
          </w:p>
        </w:tc>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Juan Graham</w:t>
            </w:r>
          </w:p>
        </w:tc>
      </w:tr>
      <w:tr>
        <w:trPr/>
        <w:tc>
          <w:tcPr>
            <w:tcW w:w="208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Chief Executive Officer</w:t>
            </w:r>
            <w:r>
              <w:rPr>
                <w:rFonts w:ascii="Times New Roman" w:hAnsi="Times New Roman"/>
                <w:sz w:val="20"/>
              </w:rPr>
              <w:t xml:space="preserve"> </w:t>
            </w:r>
          </w:p>
        </w:tc>
        <w:tc>
          <w:tcPr>
            <w:tcW w:w="146" w:type="dxa"/>
            <w:tcBorders/>
            <w:shd w:fill="auto" w:val="clear"/>
            <w:vAlign w:val="center"/>
          </w:tcPr>
          <w:p>
            <w:pPr>
              <w:pStyle w:val="TableContents"/>
              <w:spacing w:before="0" w:after="0"/>
              <w:ind w:left="0" w:right="0" w:hanging="0"/>
              <w:jc w:val="left"/>
              <w:rPr/>
            </w:pPr>
            <w:r>
              <w:rPr/>
              <w:t> </w:t>
            </w:r>
          </w:p>
        </w:tc>
        <w:tc>
          <w:tcPr>
            <w:tcW w:w="228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Senior Vice President and</w:t>
            </w:r>
            <w:r>
              <w:rPr>
                <w:rFonts w:ascii="Times New Roman" w:hAnsi="Times New Roman"/>
                <w:sz w:val="20"/>
              </w:rPr>
              <w:t xml:space="preserve">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p>
      <w:pPr>
        <w:pStyle w:val="TextBody"/>
        <w:spacing w:before="240" w:after="0"/>
        <w:jc w:val="left"/>
        <w:rPr/>
      </w:pPr>
      <w:r>
        <w:rPr/>
        <w:t> </w:t>
      </w:r>
    </w:p>
    <w:p>
      <w:pPr>
        <w:pStyle w:val="HorizontalLine"/>
        <w:pBdr>
          <w:bottom w:val="double" w:sz="2" w:space="0" w:color="808080"/>
        </w:pBdr>
        <w:spacing w:before="0" w:after="283"/>
        <w:rPr/>
      </w:pPr>
      <w:r>
        <w:rPr/>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1299/000119312514420380/d824859dex31.htm" TargetMode="External"/><Relationship Id="rId3" Type="http://schemas.openxmlformats.org/officeDocument/2006/relationships/hyperlink" Target="https://www.sec.gov/Archives/edgar/data/921299/000119312514380087/d720189dex34.htm" TargetMode="External"/><Relationship Id="rId4" Type="http://schemas.openxmlformats.org/officeDocument/2006/relationships/hyperlink" Target="https://www.sec.gov/Archives/edgar/data/921299/000119312514420380/d824859dex41.htm" TargetMode="External"/><Relationship Id="rId5" Type="http://schemas.openxmlformats.org/officeDocument/2006/relationships/hyperlink" Target="https://www.sec.gov/Archives/edgar/data/0000921299/000119312514381669/d720189dex417.htm" TargetMode="External"/><Relationship Id="rId6" Type="http://schemas.openxmlformats.org/officeDocument/2006/relationships/hyperlink" Target="https://www.sec.gov/Archives/edgar/data/921299/000095017023004668/fgen-ex10_44.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63444</Words>
  <CharactersWithSpaces>419225</CharactersWithSpaces>
  <Paragraphs>6907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