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500" w:right="220" w:hanging="492"/>
        <w:spacing w:after="0" w:line="23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right="20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0" w:lineRule="exact"/>
        <w:rPr>
          <w:sz w:val="24"/>
          <w:szCs w:val="24"/>
          <w:color w:val="auto"/>
        </w:rPr>
      </w:pPr>
    </w:p>
    <w:tbl>
      <w:tblPr>
        <w:tblLayout w:type="fixed"/>
        <w:tblInd w:w="52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460" w:type="dxa"/>
            <w:vAlign w:val="bottom"/>
            <w:gridSpan w:val="3"/>
          </w:tcPr>
          <w:p>
            <w:pPr>
              <w:ind w:left="80"/>
              <w:spacing w:after="0"/>
              <w:rPr>
                <w:sz w:val="20"/>
                <w:szCs w:val="20"/>
                <w:color w:val="auto"/>
              </w:rPr>
            </w:pPr>
            <w:r>
              <w:rPr>
                <w:rFonts w:ascii="Arial" w:cs="Arial" w:eastAsia="Arial" w:hAnsi="Arial"/>
                <w:sz w:val="18"/>
                <w:szCs w:val="18"/>
                <w:b w:val="1"/>
                <w:bCs w:val="1"/>
                <w:color w:val="auto"/>
                <w:w w:val="93"/>
              </w:rPr>
              <w:t>For the transition period from</w:t>
            </w:r>
          </w:p>
        </w:tc>
        <w:tc>
          <w:tcPr>
            <w:tcW w:w="620" w:type="dxa"/>
            <w:vAlign w:val="bottom"/>
            <w:tcBorders>
              <w:bottom w:val="single" w:sz="8" w:color="auto"/>
            </w:tcBorders>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720" w:type="dxa"/>
            <w:vAlign w:val="bottom"/>
            <w:tcBorders>
              <w:bottom w:val="single" w:sz="8" w:color="auto"/>
            </w:tcBorders>
          </w:tcPr>
          <w:p>
            <w:pPr>
              <w:spacing w:after="0"/>
              <w:rPr>
                <w:sz w:val="17"/>
                <w:szCs w:val="17"/>
                <w:color w:val="auto"/>
              </w:rPr>
            </w:pPr>
          </w:p>
        </w:tc>
        <w:tc>
          <w:tcPr>
            <w:tcW w:w="3200" w:type="dxa"/>
            <w:vAlign w:val="bottom"/>
            <w:gridSpan w:val="2"/>
          </w:tcPr>
          <w:p>
            <w:pPr>
              <w:spacing w:after="0"/>
              <w:rPr>
                <w:sz w:val="17"/>
                <w:szCs w:val="17"/>
                <w:color w:val="auto"/>
              </w:rPr>
            </w:pPr>
          </w:p>
        </w:tc>
      </w:tr>
      <w:tr>
        <w:trPr>
          <w:trHeight w:val="345"/>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8"/>
          </w:tcPr>
          <w:p>
            <w:pPr>
              <w:jc w:val="center"/>
              <w:ind w:right="3299"/>
              <w:spacing w:after="0"/>
              <w:rPr>
                <w:sz w:val="20"/>
                <w:szCs w:val="20"/>
                <w:color w:val="auto"/>
              </w:rPr>
            </w:pPr>
            <w:r>
              <w:rPr>
                <w:rFonts w:ascii="Arial" w:cs="Arial" w:eastAsia="Arial" w:hAnsi="Arial"/>
                <w:sz w:val="18"/>
                <w:szCs w:val="18"/>
                <w:b w:val="1"/>
                <w:bCs w:val="1"/>
                <w:color w:val="auto"/>
                <w:w w:val="90"/>
              </w:rPr>
              <w:t>Commission file number: 001-36740</w:t>
            </w:r>
          </w:p>
        </w:tc>
      </w:tr>
      <w:tr>
        <w:trPr>
          <w:trHeight w:val="81"/>
        </w:trPr>
        <w:tc>
          <w:tcPr>
            <w:tcW w:w="80" w:type="dxa"/>
            <w:vAlign w:val="bottom"/>
          </w:tcPr>
          <w:p>
            <w:pPr>
              <w:spacing w:after="0"/>
              <w:rPr>
                <w:sz w:val="7"/>
                <w:szCs w:val="7"/>
                <w:color w:val="auto"/>
              </w:rPr>
            </w:pPr>
          </w:p>
        </w:tc>
        <w:tc>
          <w:tcPr>
            <w:tcW w:w="29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160" w:type="dxa"/>
            <w:vAlign w:val="bottom"/>
          </w:tcPr>
          <w:p>
            <w:pPr>
              <w:spacing w:after="0"/>
              <w:rPr>
                <w:sz w:val="7"/>
                <w:szCs w:val="7"/>
                <w:color w:val="auto"/>
              </w:rPr>
            </w:pPr>
          </w:p>
        </w:tc>
      </w:tr>
      <w:tr>
        <w:trPr>
          <w:trHeight w:val="583"/>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gridSpan w:val="8"/>
          </w:tcPr>
          <w:p>
            <w:pPr>
              <w:jc w:val="center"/>
              <w:ind w:right="3299"/>
              <w:spacing w:after="0"/>
              <w:rPr>
                <w:sz w:val="20"/>
                <w:szCs w:val="20"/>
                <w:color w:val="auto"/>
              </w:rPr>
            </w:pPr>
            <w:r>
              <w:rPr>
                <w:rFonts w:ascii="Arial" w:cs="Arial" w:eastAsia="Arial" w:hAnsi="Arial"/>
                <w:sz w:val="43"/>
                <w:szCs w:val="43"/>
                <w:b w:val="1"/>
                <w:bCs w:val="1"/>
                <w:color w:val="auto"/>
              </w:rPr>
              <w:t>FIBROGEN, INC.</w:t>
            </w:r>
          </w:p>
        </w:tc>
      </w:tr>
      <w:tr>
        <w:trPr>
          <w:trHeight w:val="234"/>
        </w:trPr>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240" w:type="dxa"/>
            <w:vAlign w:val="bottom"/>
            <w:gridSpan w:val="9"/>
          </w:tcPr>
          <w:p>
            <w:pPr>
              <w:jc w:val="center"/>
              <w:ind w:right="301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94"/>
        </w:trPr>
        <w:tc>
          <w:tcPr>
            <w:tcW w:w="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160" w:type="dxa"/>
            <w:vAlign w:val="bottom"/>
          </w:tcPr>
          <w:p>
            <w:pPr>
              <w:spacing w:after="0"/>
              <w:rPr>
                <w:sz w:val="8"/>
                <w:szCs w:val="8"/>
                <w:color w:val="auto"/>
              </w:rPr>
            </w:pPr>
          </w:p>
        </w:tc>
      </w:tr>
      <w:tr>
        <w:trPr>
          <w:trHeight w:val="308"/>
        </w:trPr>
        <w:tc>
          <w:tcPr>
            <w:tcW w:w="80" w:type="dxa"/>
            <w:vAlign w:val="bottom"/>
          </w:tcPr>
          <w:p>
            <w:pPr>
              <w:spacing w:after="0"/>
              <w:rPr>
                <w:sz w:val="24"/>
                <w:szCs w:val="24"/>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1"/>
              </w:rPr>
              <w:t>Delaware</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160" w:type="dxa"/>
            <w:vAlign w:val="bottom"/>
            <w:gridSpan w:val="5"/>
          </w:tcPr>
          <w:p>
            <w:pPr>
              <w:jc w:val="right"/>
              <w:ind w:right="1799"/>
              <w:spacing w:after="0"/>
              <w:rPr>
                <w:sz w:val="20"/>
                <w:szCs w:val="20"/>
                <w:color w:val="auto"/>
              </w:rPr>
            </w:pPr>
            <w:r>
              <w:rPr>
                <w:rFonts w:ascii="Arial" w:cs="Arial" w:eastAsia="Arial" w:hAnsi="Arial"/>
                <w:sz w:val="18"/>
                <w:szCs w:val="18"/>
                <w:b w:val="1"/>
                <w:bCs w:val="1"/>
                <w:color w:val="auto"/>
              </w:rPr>
              <w:t>77-0357827</w:t>
            </w:r>
          </w:p>
        </w:tc>
      </w:tr>
      <w:tr>
        <w:trPr>
          <w:trHeight w:val="148"/>
        </w:trPr>
        <w:tc>
          <w:tcPr>
            <w:tcW w:w="80" w:type="dxa"/>
            <w:vAlign w:val="bottom"/>
          </w:tcPr>
          <w:p>
            <w:pPr>
              <w:spacing w:after="0"/>
              <w:rPr>
                <w:sz w:val="12"/>
                <w:szCs w:val="12"/>
                <w:color w:val="auto"/>
              </w:rPr>
            </w:pPr>
          </w:p>
        </w:tc>
        <w:tc>
          <w:tcPr>
            <w:tcW w:w="6040" w:type="dxa"/>
            <w:vAlign w:val="bottom"/>
            <w:gridSpan w:val="5"/>
          </w:tcPr>
          <w:p>
            <w:pPr>
              <w:jc w:val="center"/>
              <w:ind w:right="17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60" w:type="dxa"/>
            <w:vAlign w:val="bottom"/>
          </w:tcPr>
          <w:p>
            <w:pPr>
              <w:jc w:val="center"/>
              <w:ind w:right="135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80" w:type="dxa"/>
            <w:vAlign w:val="bottom"/>
          </w:tcPr>
          <w:p>
            <w:pPr>
              <w:spacing w:after="0"/>
              <w:rPr>
                <w:sz w:val="16"/>
                <w:szCs w:val="16"/>
                <w:color w:val="auto"/>
              </w:rPr>
            </w:pPr>
          </w:p>
        </w:tc>
        <w:tc>
          <w:tcPr>
            <w:tcW w:w="6040" w:type="dxa"/>
            <w:vAlign w:val="bottom"/>
            <w:gridSpan w:val="5"/>
          </w:tcPr>
          <w:p>
            <w:pPr>
              <w:jc w:val="center"/>
              <w:ind w:right="1720"/>
              <w:spacing w:after="0"/>
              <w:rPr>
                <w:sz w:val="20"/>
                <w:szCs w:val="20"/>
                <w:color w:val="auto"/>
              </w:rPr>
            </w:pPr>
            <w:r>
              <w:rPr>
                <w:rFonts w:ascii="Arial" w:cs="Arial" w:eastAsia="Arial" w:hAnsi="Arial"/>
                <w:sz w:val="14"/>
                <w:szCs w:val="14"/>
                <w:b w:val="1"/>
                <w:bCs w:val="1"/>
                <w:color w:val="auto"/>
                <w:w w:val="94"/>
              </w:rPr>
              <w:t>Incorporation or Organization)</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60" w:type="dxa"/>
            <w:vAlign w:val="bottom"/>
          </w:tcPr>
          <w:p>
            <w:pPr>
              <w:jc w:val="center"/>
              <w:ind w:right="1379"/>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80" w:type="dxa"/>
            <w:vAlign w:val="bottom"/>
          </w:tcPr>
          <w:p>
            <w:pPr>
              <w:spacing w:after="0"/>
              <w:rPr>
                <w:sz w:val="24"/>
                <w:szCs w:val="24"/>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1"/>
              </w:rPr>
              <w:t>409 Illinois Street</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12"/>
        </w:trPr>
        <w:tc>
          <w:tcPr>
            <w:tcW w:w="80" w:type="dxa"/>
            <w:vAlign w:val="bottom"/>
          </w:tcPr>
          <w:p>
            <w:pPr>
              <w:spacing w:after="0"/>
              <w:rPr>
                <w:sz w:val="18"/>
                <w:szCs w:val="18"/>
                <w:color w:val="auto"/>
              </w:rPr>
            </w:pPr>
          </w:p>
        </w:tc>
        <w:tc>
          <w:tcPr>
            <w:tcW w:w="2960" w:type="dxa"/>
            <w:vAlign w:val="bottom"/>
          </w:tcPr>
          <w:p>
            <w:pPr>
              <w:jc w:val="center"/>
              <w:ind w:left="1277"/>
              <w:spacing w:after="0"/>
              <w:rPr>
                <w:sz w:val="20"/>
                <w:szCs w:val="20"/>
                <w:color w:val="auto"/>
              </w:rPr>
            </w:pPr>
            <w:r>
              <w:rPr>
                <w:rFonts w:ascii="Arial" w:cs="Arial" w:eastAsia="Arial" w:hAnsi="Arial"/>
                <w:sz w:val="18"/>
                <w:szCs w:val="18"/>
                <w:b w:val="1"/>
                <w:bCs w:val="1"/>
                <w:color w:val="auto"/>
                <w:w w:val="90"/>
              </w:rPr>
              <w:t>San Francisco, CA</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160" w:type="dxa"/>
            <w:vAlign w:val="bottom"/>
            <w:gridSpan w:val="5"/>
          </w:tcPr>
          <w:p>
            <w:pPr>
              <w:jc w:val="right"/>
              <w:ind w:right="1999"/>
              <w:spacing w:after="0"/>
              <w:rPr>
                <w:sz w:val="20"/>
                <w:szCs w:val="20"/>
                <w:color w:val="auto"/>
              </w:rPr>
            </w:pPr>
            <w:r>
              <w:rPr>
                <w:rFonts w:ascii="Arial" w:cs="Arial" w:eastAsia="Arial" w:hAnsi="Arial"/>
                <w:sz w:val="18"/>
                <w:szCs w:val="18"/>
                <w:b w:val="1"/>
                <w:bCs w:val="1"/>
                <w:color w:val="auto"/>
              </w:rPr>
              <w:t>94158</w:t>
            </w:r>
          </w:p>
        </w:tc>
      </w:tr>
      <w:tr>
        <w:trPr>
          <w:trHeight w:val="186"/>
        </w:trPr>
        <w:tc>
          <w:tcPr>
            <w:tcW w:w="80" w:type="dxa"/>
            <w:vAlign w:val="bottom"/>
          </w:tcPr>
          <w:p>
            <w:pPr>
              <w:spacing w:after="0"/>
              <w:rPr>
                <w:sz w:val="16"/>
                <w:szCs w:val="16"/>
                <w:color w:val="auto"/>
              </w:rPr>
            </w:pPr>
          </w:p>
        </w:tc>
        <w:tc>
          <w:tcPr>
            <w:tcW w:w="6040" w:type="dxa"/>
            <w:vAlign w:val="bottom"/>
            <w:gridSpan w:val="5"/>
          </w:tcPr>
          <w:p>
            <w:pPr>
              <w:jc w:val="center"/>
              <w:ind w:right="170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60" w:type="dxa"/>
            <w:vAlign w:val="bottom"/>
          </w:tcPr>
          <w:p>
            <w:pPr>
              <w:jc w:val="center"/>
              <w:ind w:right="1379"/>
              <w:spacing w:after="0"/>
              <w:rPr>
                <w:sz w:val="20"/>
                <w:szCs w:val="20"/>
                <w:color w:val="auto"/>
              </w:rPr>
            </w:pPr>
            <w:r>
              <w:rPr>
                <w:rFonts w:ascii="Arial" w:cs="Arial" w:eastAsia="Arial" w:hAnsi="Arial"/>
                <w:sz w:val="14"/>
                <w:szCs w:val="14"/>
                <w:b w:val="1"/>
                <w:bCs w:val="1"/>
                <w:color w:val="auto"/>
                <w:w w:val="95"/>
              </w:rPr>
              <w:t>(Zip Code)</w:t>
            </w:r>
          </w:p>
        </w:tc>
      </w:tr>
      <w:tr>
        <w:trPr>
          <w:trHeight w:val="232"/>
        </w:trPr>
        <w:tc>
          <w:tcPr>
            <w:tcW w:w="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080" w:type="dxa"/>
            <w:vAlign w:val="bottom"/>
            <w:gridSpan w:val="4"/>
          </w:tcPr>
          <w:p>
            <w:pPr>
              <w:jc w:val="center"/>
              <w:ind w:left="950"/>
              <w:spacing w:after="0"/>
              <w:rPr>
                <w:sz w:val="20"/>
                <w:szCs w:val="20"/>
                <w:color w:val="auto"/>
              </w:rPr>
            </w:pPr>
            <w:r>
              <w:rPr>
                <w:rFonts w:ascii="Arial" w:cs="Arial" w:eastAsia="Arial" w:hAnsi="Arial"/>
                <w:sz w:val="18"/>
                <w:szCs w:val="18"/>
                <w:b w:val="1"/>
                <w:bCs w:val="1"/>
                <w:color w:val="auto"/>
                <w:w w:val="90"/>
              </w:rPr>
              <w:t>(415) 978-1200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186"/>
        </w:trPr>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960" w:type="dxa"/>
            <w:vAlign w:val="bottom"/>
            <w:gridSpan w:val="8"/>
          </w:tcPr>
          <w:p>
            <w:pPr>
              <w:jc w:val="center"/>
              <w:ind w:right="331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66"/>
        </w:trPr>
        <w:tc>
          <w:tcPr>
            <w:tcW w:w="80" w:type="dxa"/>
            <w:vAlign w:val="bottom"/>
          </w:tcPr>
          <w:p>
            <w:pPr>
              <w:spacing w:after="0"/>
              <w:rPr>
                <w:sz w:val="5"/>
                <w:szCs w:val="5"/>
                <w:color w:val="auto"/>
              </w:rPr>
            </w:pPr>
          </w:p>
        </w:tc>
        <w:tc>
          <w:tcPr>
            <w:tcW w:w="3240" w:type="dxa"/>
            <w:vAlign w:val="bottom"/>
            <w:gridSpan w:val="2"/>
          </w:tcPr>
          <w:p>
            <w:pPr>
              <w:spacing w:after="0"/>
              <w:rPr>
                <w:sz w:val="5"/>
                <w:szCs w:val="5"/>
                <w:color w:val="auto"/>
              </w:rPr>
            </w:pPr>
          </w:p>
        </w:tc>
        <w:tc>
          <w:tcPr>
            <w:tcW w:w="660" w:type="dxa"/>
            <w:vAlign w:val="bottom"/>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3160" w:type="dxa"/>
            <w:vAlign w:val="bottom"/>
          </w:tcPr>
          <w:p>
            <w:pPr>
              <w:spacing w:after="0"/>
              <w:rPr>
                <w:sz w:val="5"/>
                <w:szCs w:val="5"/>
                <w:color w:val="auto"/>
              </w:rPr>
            </w:pPr>
          </w:p>
        </w:tc>
      </w:tr>
      <w:tr>
        <w:trPr>
          <w:trHeight w:val="264"/>
        </w:trPr>
        <w:tc>
          <w:tcPr>
            <w:tcW w:w="612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81"/>
        </w:trPr>
        <w:tc>
          <w:tcPr>
            <w:tcW w:w="80" w:type="dxa"/>
            <w:vAlign w:val="bottom"/>
          </w:tcPr>
          <w:p>
            <w:pPr>
              <w:spacing w:after="0"/>
              <w:rPr>
                <w:sz w:val="7"/>
                <w:szCs w:val="7"/>
                <w:color w:val="auto"/>
              </w:rPr>
            </w:pPr>
          </w:p>
        </w:tc>
        <w:tc>
          <w:tcPr>
            <w:tcW w:w="29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160" w:type="dxa"/>
            <w:vAlign w:val="bottom"/>
            <w:tcBorders>
              <w:bottom w:val="single" w:sz="8" w:color="auto"/>
            </w:tcBorders>
          </w:tcPr>
          <w:p>
            <w:pPr>
              <w:spacing w:after="0"/>
              <w:rPr>
                <w:sz w:val="7"/>
                <w:szCs w:val="7"/>
                <w:color w:val="auto"/>
              </w:rPr>
            </w:pPr>
          </w:p>
        </w:tc>
      </w:tr>
      <w:tr>
        <w:trPr>
          <w:trHeight w:val="191"/>
        </w:trPr>
        <w:tc>
          <w:tcPr>
            <w:tcW w:w="80" w:type="dxa"/>
            <w:vAlign w:val="bottom"/>
            <w:tcBorders>
              <w:right w:val="single" w:sz="8" w:color="auto"/>
            </w:tcBorders>
          </w:tcPr>
          <w:p>
            <w:pPr>
              <w:spacing w:after="0"/>
              <w:rPr>
                <w:sz w:val="16"/>
                <w:szCs w:val="16"/>
                <w:color w:val="auto"/>
              </w:rPr>
            </w:pPr>
          </w:p>
        </w:tc>
        <w:tc>
          <w:tcPr>
            <w:tcW w:w="2960" w:type="dxa"/>
            <w:vAlign w:val="bottom"/>
          </w:tcPr>
          <w:p>
            <w:pPr>
              <w:ind w:left="940"/>
              <w:spacing w:after="0" w:line="191" w:lineRule="exact"/>
              <w:rPr>
                <w:sz w:val="20"/>
                <w:szCs w:val="20"/>
                <w:color w:val="auto"/>
              </w:rPr>
            </w:pPr>
            <w:r>
              <w:rPr>
                <w:rFonts w:ascii="Arial" w:cs="Arial" w:eastAsia="Arial" w:hAnsi="Arial"/>
                <w:sz w:val="18"/>
                <w:szCs w:val="18"/>
                <w:b w:val="1"/>
                <w:bCs w:val="1"/>
                <w:color w:val="auto"/>
              </w:rPr>
              <w:t>Title of each class</w:t>
            </w:r>
          </w:p>
        </w:tc>
        <w:tc>
          <w:tcPr>
            <w:tcW w:w="280" w:type="dxa"/>
            <w:vAlign w:val="bottom"/>
            <w:tcBorders>
              <w:right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140" w:type="dxa"/>
            <w:vAlign w:val="bottom"/>
            <w:gridSpan w:val="2"/>
          </w:tcPr>
          <w:p>
            <w:pPr>
              <w:jc w:val="center"/>
              <w:ind w:left="210"/>
              <w:spacing w:after="0" w:line="191" w:lineRule="exact"/>
              <w:rPr>
                <w:sz w:val="20"/>
                <w:szCs w:val="20"/>
                <w:color w:val="auto"/>
              </w:rPr>
            </w:pPr>
            <w:r>
              <w:rPr>
                <w:rFonts w:ascii="Arial" w:cs="Arial" w:eastAsia="Arial" w:hAnsi="Arial"/>
                <w:sz w:val="18"/>
                <w:szCs w:val="18"/>
                <w:b w:val="1"/>
                <w:bCs w:val="1"/>
                <w:color w:val="auto"/>
                <w:w w:val="91"/>
              </w:rPr>
              <w:t>Trading Symbol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16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80" w:type="dxa"/>
            <w:vAlign w:val="bottom"/>
            <w:tcBorders>
              <w:right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10"/>
        </w:trPr>
        <w:tc>
          <w:tcPr>
            <w:tcW w:w="80" w:type="dxa"/>
            <w:vAlign w:val="bottom"/>
            <w:tcBorders>
              <w:right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8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91"/>
              </w:rPr>
              <w:t>FGEN</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53" w:lineRule="exact"/>
        <w:rPr>
          <w:sz w:val="24"/>
          <w:szCs w:val="24"/>
          <w:color w:val="auto"/>
        </w:rPr>
      </w:pPr>
    </w:p>
    <w:p>
      <w:pPr>
        <w:jc w:val="both"/>
        <w:ind w:right="40" w:firstLine="56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firstLine="56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ind w:right="140" w:firstLine="562"/>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92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1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380" w:type="dxa"/>
            <w:vAlign w:val="bottom"/>
          </w:tcPr>
          <w:p>
            <w:pPr>
              <w:ind w:left="216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80" w:type="dxa"/>
            <w:vAlign w:val="bottom"/>
          </w:tcPr>
          <w:p>
            <w:pPr>
              <w:ind w:left="216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3" w:lineRule="exact"/>
        <w:rPr>
          <w:sz w:val="24"/>
          <w:szCs w:val="24"/>
          <w:color w:val="auto"/>
        </w:rPr>
      </w:pPr>
    </w:p>
    <w:p>
      <w:pPr>
        <w:ind w:right="240" w:firstLine="562"/>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60" w:right="1600"/>
        <w:spacing w:after="0" w:line="273" w:lineRule="exact"/>
        <w:rPr>
          <w:sz w:val="20"/>
          <w:szCs w:val="20"/>
          <w:color w:val="auto"/>
        </w:rPr>
      </w:pPr>
      <w:r>
        <w:rPr>
          <w:rFonts w:ascii="Arial" w:cs="Arial" w:eastAsia="Arial" w:hAnsi="Arial"/>
          <w:sz w:val="18"/>
          <w:szCs w:val="18"/>
          <w:color w:val="auto"/>
        </w:rPr>
        <w:t xml:space="preserve">Indicate by check mark whether the registrant is a shell company (as defined in Exchange Act Rule 12b-2).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common stock outstanding as of April 30, 2020 was 89,104,753.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80" w:type="dxa"/>
            <w:vAlign w:val="bottom"/>
          </w:tcPr>
          <w:p>
            <w:pPr>
              <w:spacing w:after="0"/>
              <w:rPr>
                <w:sz w:val="14"/>
                <w:szCs w:val="14"/>
                <w:color w:val="auto"/>
              </w:rPr>
            </w:pPr>
          </w:p>
        </w:tc>
        <w:tc>
          <w:tcPr>
            <w:tcW w:w="10020" w:type="dxa"/>
            <w:vAlign w:val="bottom"/>
            <w:vMerge w:val="restart"/>
          </w:tcPr>
          <w:p>
            <w:pPr>
              <w:ind w:left="29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100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20" w:type="dxa"/>
            <w:vAlign w:val="bottom"/>
          </w:tcPr>
          <w:p>
            <w:pPr>
              <w:ind w:left="1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as of March 31, 2020 and December 31,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20" w:type="dxa"/>
            <w:vAlign w:val="bottom"/>
          </w:tcPr>
          <w:p>
            <w:pPr>
              <w:ind w:left="1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for the Three Months Ended March 31,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20" w:type="dxa"/>
            <w:vAlign w:val="bottom"/>
          </w:tcPr>
          <w:p>
            <w:pPr>
              <w:ind w:left="140"/>
              <w:spacing w:after="0"/>
              <w:rPr>
                <w:rFonts w:ascii="Arial" w:cs="Arial" w:eastAsia="Arial" w:hAnsi="Arial"/>
                <w:sz w:val="18"/>
                <w:szCs w:val="18"/>
                <w:u w:val="single" w:color="auto"/>
                <w:color w:val="0000EE"/>
                <w:w w:val="95"/>
              </w:rPr>
            </w:pPr>
            <w:hyperlink w:anchor="page5">
              <w:r>
                <w:rPr>
                  <w:rFonts w:ascii="Arial" w:cs="Arial" w:eastAsia="Arial" w:hAnsi="Arial"/>
                  <w:sz w:val="18"/>
                  <w:szCs w:val="18"/>
                  <w:u w:val="single" w:color="auto"/>
                  <w:color w:val="0000EE"/>
                  <w:w w:val="95"/>
                </w:rPr>
                <w:t>Condensed Consolidated Statements of Comprehensive Loss for the Three Months Ended March 31,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20" w:type="dxa"/>
            <w:vAlign w:val="bottom"/>
          </w:tcPr>
          <w:p>
            <w:pPr>
              <w:ind w:left="140"/>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Condensed Consolidated Statements of Changes in Equity for the Three Months Ended March 31,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20" w:type="dxa"/>
            <w:vAlign w:val="bottom"/>
          </w:tcPr>
          <w:p>
            <w:pPr>
              <w:ind w:left="1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Three Months Ended March 31,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10020" w:type="dxa"/>
            <w:vAlign w:val="bottom"/>
          </w:tcPr>
          <w:p>
            <w:pPr>
              <w:ind w:left="1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the Condensed Consolidated Financial Statements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tcPr>
          <w:p>
            <w:pPr>
              <w:ind w:left="1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tcPr>
          <w:p>
            <w:pPr>
              <w:ind w:left="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tcPr>
          <w:p>
            <w:pPr>
              <w:ind w:left="1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38"/>
        </w:trPr>
        <w:tc>
          <w:tcPr>
            <w:tcW w:w="780" w:type="dxa"/>
            <w:vAlign w:val="bottom"/>
          </w:tcPr>
          <w:p>
            <w:pPr>
              <w:spacing w:after="0"/>
              <w:rPr>
                <w:sz w:val="24"/>
                <w:szCs w:val="24"/>
                <w:color w:val="auto"/>
              </w:rPr>
            </w:pPr>
          </w:p>
        </w:tc>
        <w:tc>
          <w:tcPr>
            <w:tcW w:w="10020" w:type="dxa"/>
            <w:vAlign w:val="bottom"/>
          </w:tcPr>
          <w:p>
            <w:pPr>
              <w:ind w:left="3140"/>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PART II—OTHER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10020" w:type="dxa"/>
            <w:vAlign w:val="bottom"/>
          </w:tcPr>
          <w:p>
            <w:pPr>
              <w:ind w:left="1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tcPr>
          <w:p>
            <w:pPr>
              <w:ind w:left="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tcPr>
          <w:p>
            <w:pPr>
              <w:ind w:left="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Defaults Upon Senior Securities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tcPr>
          <w:p>
            <w:pPr>
              <w:ind w:left="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Mine Safety Disclosures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10020" w:type="dxa"/>
            <w:vAlign w:val="bottom"/>
          </w:tcPr>
          <w:p>
            <w:pPr>
              <w:ind w:left="14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10020" w:type="dxa"/>
            <w:vAlign w:val="bottom"/>
          </w:tcPr>
          <w:p>
            <w:pPr>
              <w:ind w:left="140"/>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20"/>
                <w:szCs w:val="20"/>
                <w:color w:val="auto"/>
              </w:rPr>
            </w:pPr>
          </w:p>
        </w:tc>
        <w:tc>
          <w:tcPr>
            <w:tcW w:w="10020" w:type="dxa"/>
            <w:vAlign w:val="bottom"/>
          </w:tcPr>
          <w:p>
            <w:pPr>
              <w:ind w:left="1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648"/>
        </w:trPr>
        <w:tc>
          <w:tcPr>
            <w:tcW w:w="780" w:type="dxa"/>
            <w:vAlign w:val="bottom"/>
          </w:tcPr>
          <w:p>
            <w:pPr>
              <w:spacing w:after="0"/>
              <w:rPr>
                <w:sz w:val="24"/>
                <w:szCs w:val="24"/>
                <w:color w:val="auto"/>
              </w:rPr>
            </w:pPr>
          </w:p>
        </w:tc>
        <w:tc>
          <w:tcPr>
            <w:tcW w:w="10020" w:type="dxa"/>
            <w:vAlign w:val="bottom"/>
          </w:tcPr>
          <w:p>
            <w:pPr>
              <w:ind w:left="480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100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FIBROGEN, INC.</w:t>
      </w:r>
    </w:p>
    <w:p>
      <w:pPr>
        <w:spacing w:after="0" w:line="6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6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4"/>
                <w:szCs w:val="14"/>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3"/>
        </w:trPr>
        <w:tc>
          <w:tcPr>
            <w:tcW w:w="7780" w:type="dxa"/>
            <w:vAlign w:val="bottom"/>
            <w:vMerge w:val="continue"/>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121,560</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126,266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413,869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Accounts receivable, net ($3,723 and $4,845 from a related party)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58,540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 ($126,558 and $125,210 from</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ind w:left="440"/>
              <w:spacing w:after="0"/>
              <w:rPr>
                <w:sz w:val="20"/>
                <w:szCs w:val="20"/>
                <w:color w:val="auto"/>
              </w:rPr>
            </w:pPr>
            <w:r>
              <w:rPr>
                <w:rFonts w:ascii="Arial" w:cs="Arial" w:eastAsia="Arial" w:hAnsi="Arial"/>
                <w:sz w:val="18"/>
                <w:szCs w:val="18"/>
                <w:color w:val="auto"/>
              </w:rPr>
              <w:t>a related party)</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134,028</w:t>
            </w:r>
          </w:p>
        </w:tc>
        <w:tc>
          <w:tcPr>
            <w:tcW w:w="3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133,391</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736,405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Restricted time deposits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40,058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Finance lease right-of-use assets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37,017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78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824,377</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857,397</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2,865</w:t>
            </w:r>
          </w:p>
        </w:tc>
        <w:tc>
          <w:tcPr>
            <w:tcW w:w="3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 ($92 and $36,883 to a related party)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8,531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 liabilities, current</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66,101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Long-term portion of lease obligations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obligations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Deferred revenue, net of current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139,404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Finance lease liabilities, non-current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89,122</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64,266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346,748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321,991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60"/>
              <w:spacing w:after="0"/>
              <w:rPr>
                <w:sz w:val="20"/>
                <w:szCs w:val="20"/>
                <w:color w:val="auto"/>
              </w:rPr>
            </w:pPr>
            <w:r>
              <w:rPr>
                <w:rFonts w:ascii="Arial" w:cs="Arial" w:eastAsia="Arial" w:hAnsi="Arial"/>
                <w:sz w:val="18"/>
                <w:szCs w:val="18"/>
                <w:color w:val="auto"/>
              </w:rPr>
              <w:t>Preferred stock, $0.01 par value; 125,000 shares authorized; no shares issued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and outstanding at March 31, 2020 and December 31, 2019</w:t>
            </w:r>
          </w:p>
        </w:tc>
        <w:tc>
          <w:tcPr>
            <w:tcW w:w="200" w:type="dxa"/>
            <w:vAlign w:val="bottom"/>
          </w:tcPr>
          <w:p>
            <w:pPr>
              <w:spacing w:after="0"/>
              <w:rPr>
                <w:sz w:val="20"/>
                <w:szCs w:val="20"/>
                <w:color w:val="auto"/>
              </w:rPr>
            </w:pPr>
          </w:p>
        </w:tc>
        <w:tc>
          <w:tcPr>
            <w:tcW w:w="1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$0.01 par value; 225,000 shares authorized at March 31, 2020</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and December 31, 2019; 88,896 and 87,657 shares issued and outstanding at</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March 31, 2020 and December 31, 2019</w:t>
            </w: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1,319,354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1,300,725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29"/>
        </w:trPr>
        <w:tc>
          <w:tcPr>
            <w:tcW w:w="778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9"/>
                <w:szCs w:val="19"/>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(863,068)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(784,720)</w:t>
            </w:r>
          </w:p>
        </w:tc>
        <w:tc>
          <w:tcPr>
            <w:tcW w:w="0" w:type="dxa"/>
            <w:vAlign w:val="bottom"/>
          </w:tcPr>
          <w:p>
            <w:pPr>
              <w:spacing w:after="0"/>
              <w:rPr>
                <w:sz w:val="1"/>
                <w:szCs w:val="1"/>
                <w:color w:val="auto"/>
              </w:rPr>
            </w:pPr>
          </w:p>
        </w:tc>
      </w:tr>
      <w:tr>
        <w:trPr>
          <w:trHeight w:val="223"/>
        </w:trPr>
        <w:tc>
          <w:tcPr>
            <w:tcW w:w="7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458,358</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shd w:val="clear" w:color="auto" w:fill="CFF0FC"/>
          </w:tcPr>
          <w:p>
            <w:pPr>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477,629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535,406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824,377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6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20" w:type="dxa"/>
            <w:vAlign w:val="bottom"/>
          </w:tcPr>
          <w:p>
            <w:pPr>
              <w:ind w:left="260"/>
              <w:spacing w:after="0"/>
              <w:rPr>
                <w:sz w:val="20"/>
                <w:szCs w:val="20"/>
                <w:color w:val="auto"/>
              </w:rPr>
            </w:pPr>
            <w:r>
              <w:rPr>
                <w:rFonts w:ascii="Arial" w:cs="Arial" w:eastAsia="Arial" w:hAnsi="Arial"/>
                <w:sz w:val="18"/>
                <w:szCs w:val="18"/>
                <w:color w:val="auto"/>
              </w:rPr>
              <w:t>License revenue</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827"/>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Development and other revenue (includes $4,737 and $4,859</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from a related party)</w:t>
            </w:r>
          </w:p>
        </w:tc>
        <w:tc>
          <w:tcPr>
            <w:tcW w:w="9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19,446</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23,863</w:t>
            </w:r>
          </w:p>
        </w:tc>
        <w:tc>
          <w:tcPr>
            <w:tcW w:w="120" w:type="dxa"/>
            <w:vAlign w:val="bottom"/>
            <w:shd w:val="clear" w:color="auto" w:fill="CFF0FC"/>
          </w:tcPr>
          <w:p>
            <w:pPr>
              <w:spacing w:after="0"/>
              <w:rPr>
                <w:sz w:val="20"/>
                <w:szCs w:val="20"/>
                <w:color w:val="auto"/>
              </w:rPr>
            </w:pPr>
          </w:p>
        </w:tc>
      </w:tr>
      <w:tr>
        <w:trPr>
          <w:trHeight w:val="229"/>
        </w:trPr>
        <w:tc>
          <w:tcPr>
            <w:tcW w:w="7620" w:type="dxa"/>
            <w:vAlign w:val="bottom"/>
          </w:tcPr>
          <w:p>
            <w:pPr>
              <w:ind w:left="260"/>
              <w:spacing w:after="0"/>
              <w:rPr>
                <w:sz w:val="20"/>
                <w:szCs w:val="20"/>
                <w:color w:val="auto"/>
              </w:rPr>
            </w:pPr>
            <w:r>
              <w:rPr>
                <w:rFonts w:ascii="Arial" w:cs="Arial" w:eastAsia="Arial" w:hAnsi="Arial"/>
                <w:sz w:val="18"/>
                <w:szCs w:val="18"/>
                <w:color w:val="auto"/>
              </w:rPr>
              <w:t>Product revenue, net</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4,955</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6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w:t>
            </w:r>
          </w:p>
        </w:tc>
        <w:tc>
          <w:tcPr>
            <w:tcW w:w="9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24,401</w:t>
            </w:r>
          </w:p>
        </w:tc>
        <w:tc>
          <w:tcPr>
            <w:tcW w:w="3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costs and expenses:</w:t>
            </w: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62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970</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54,902</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50,496</w:t>
            </w:r>
          </w:p>
        </w:tc>
        <w:tc>
          <w:tcPr>
            <w:tcW w:w="120" w:type="dxa"/>
            <w:vAlign w:val="bottom"/>
            <w:shd w:val="clear" w:color="auto" w:fill="CFF0FC"/>
          </w:tcPr>
          <w:p>
            <w:pPr>
              <w:spacing w:after="0"/>
              <w:rPr>
                <w:sz w:val="19"/>
                <w:szCs w:val="19"/>
                <w:color w:val="auto"/>
              </w:rPr>
            </w:pPr>
          </w:p>
        </w:tc>
      </w:tr>
      <w:tr>
        <w:trPr>
          <w:trHeight w:val="229"/>
        </w:trPr>
        <w:tc>
          <w:tcPr>
            <w:tcW w:w="7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49,603</w:t>
            </w:r>
          </w:p>
        </w:tc>
        <w:tc>
          <w:tcPr>
            <w:tcW w:w="3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22,210</w:t>
            </w:r>
          </w:p>
        </w:tc>
        <w:tc>
          <w:tcPr>
            <w:tcW w:w="12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costs and expenses</w:t>
            </w:r>
          </w:p>
        </w:tc>
        <w:tc>
          <w:tcPr>
            <w:tcW w:w="9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105,475</w:t>
            </w:r>
          </w:p>
        </w:tc>
        <w:tc>
          <w:tcPr>
            <w:tcW w:w="3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72,706</w:t>
            </w:r>
          </w:p>
        </w:tc>
        <w:tc>
          <w:tcPr>
            <w:tcW w:w="120" w:type="dxa"/>
            <w:vAlign w:val="bottom"/>
            <w:shd w:val="clear" w:color="auto" w:fill="CFF0FC"/>
          </w:tcPr>
          <w:p>
            <w:pPr>
              <w:spacing w:after="0"/>
              <w:rPr>
                <w:sz w:val="19"/>
                <w:szCs w:val="19"/>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9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(81,074)</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(48,843)</w:t>
            </w:r>
          </w:p>
        </w:tc>
        <w:tc>
          <w:tcPr>
            <w:tcW w:w="120" w:type="dxa"/>
            <w:vAlign w:val="bottom"/>
          </w:tcPr>
          <w:p>
            <w:pPr>
              <w:spacing w:after="0"/>
              <w:rPr>
                <w:sz w:val="19"/>
                <w:szCs w:val="19"/>
                <w:color w:val="auto"/>
              </w:rPr>
            </w:pPr>
          </w:p>
        </w:tc>
      </w:tr>
      <w:tr>
        <w:trPr>
          <w:trHeight w:val="229"/>
        </w:trPr>
        <w:tc>
          <w:tcPr>
            <w:tcW w:w="7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62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(633)</w:t>
            </w: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(770)</w:t>
            </w:r>
          </w:p>
        </w:tc>
      </w:tr>
      <w:tr>
        <w:trPr>
          <w:trHeight w:val="229"/>
        </w:trPr>
        <w:tc>
          <w:tcPr>
            <w:tcW w:w="7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 and other, net</w:t>
            </w:r>
          </w:p>
        </w:tc>
        <w:tc>
          <w:tcPr>
            <w:tcW w:w="9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w:t>
            </w:r>
          </w:p>
        </w:tc>
        <w:tc>
          <w:tcPr>
            <w:tcW w:w="3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4,177</w:t>
            </w:r>
          </w:p>
        </w:tc>
        <w:tc>
          <w:tcPr>
            <w:tcW w:w="120" w:type="dxa"/>
            <w:vAlign w:val="bottom"/>
            <w:tcBorders>
              <w:bottom w:val="single" w:sz="8" w:color="CFF0FC"/>
            </w:tcBorders>
          </w:tcPr>
          <w:p>
            <w:pPr>
              <w:spacing w:after="0"/>
              <w:rPr>
                <w:sz w:val="19"/>
                <w:szCs w:val="19"/>
                <w:color w:val="auto"/>
              </w:rPr>
            </w:pPr>
          </w:p>
        </w:tc>
      </w:tr>
      <w:tr>
        <w:trPr>
          <w:trHeight w:val="223"/>
        </w:trPr>
        <w:tc>
          <w:tcPr>
            <w:tcW w:w="7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and other, net</w:t>
            </w:r>
          </w:p>
        </w:tc>
        <w:tc>
          <w:tcPr>
            <w:tcW w:w="9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2,532</w:t>
            </w:r>
          </w:p>
        </w:tc>
        <w:tc>
          <w:tcPr>
            <w:tcW w:w="3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w:t>
            </w:r>
          </w:p>
        </w:tc>
        <w:tc>
          <w:tcPr>
            <w:tcW w:w="120" w:type="dxa"/>
            <w:vAlign w:val="bottom"/>
            <w:shd w:val="clear" w:color="auto" w:fill="CFF0FC"/>
          </w:tcPr>
          <w:p>
            <w:pPr>
              <w:spacing w:after="0"/>
              <w:rPr>
                <w:sz w:val="19"/>
                <w:szCs w:val="19"/>
                <w:color w:val="auto"/>
              </w:rPr>
            </w:pPr>
          </w:p>
        </w:tc>
      </w:tr>
      <w:tr>
        <w:trPr>
          <w:trHeight w:val="223"/>
        </w:trPr>
        <w:tc>
          <w:tcPr>
            <w:tcW w:w="7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9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(78,542)</w:t>
            </w: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8"/>
              </w:rPr>
              <w:t>(45,436)</w:t>
            </w: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96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9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23"/>
        </w:trPr>
        <w:tc>
          <w:tcPr>
            <w:tcW w:w="7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tcBorders>
              <w:top w:val="single" w:sz="8" w:color="auto"/>
              <w:bottom w:val="single" w:sz="8" w:color="auto"/>
            </w:tcBorders>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(78,348)</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(45,411)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(0.89)</w:t>
            </w:r>
          </w:p>
        </w:tc>
        <w:tc>
          <w:tcPr>
            <w:tcW w:w="980" w:type="dxa"/>
            <w:vAlign w:val="bottom"/>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(0.53)</w:t>
            </w:r>
          </w:p>
        </w:tc>
      </w:tr>
      <w:tr>
        <w:trPr>
          <w:trHeight w:val="229"/>
        </w:trPr>
        <w:tc>
          <w:tcPr>
            <w:tcW w:w="7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number of common shares used to calculate</w:t>
            </w:r>
          </w:p>
        </w:tc>
        <w:tc>
          <w:tcPr>
            <w:tcW w:w="9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loss per share - basic and diluted</w:t>
            </w:r>
          </w:p>
        </w:tc>
        <w:tc>
          <w:tcPr>
            <w:tcW w:w="9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88,219</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85,704</w:t>
            </w:r>
          </w:p>
        </w:tc>
        <w:tc>
          <w:tcPr>
            <w:tcW w:w="120" w:type="dxa"/>
            <w:vAlign w:val="bottom"/>
            <w:shd w:val="clear" w:color="auto" w:fill="CFF0FC"/>
          </w:tcPr>
          <w:p>
            <w:pPr>
              <w:spacing w:after="0"/>
              <w:rPr>
                <w:sz w:val="20"/>
                <w:szCs w:val="20"/>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300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480" w:type="dxa"/>
            <w:vAlign w:val="bottom"/>
          </w:tcPr>
          <w:p>
            <w:pPr>
              <w:spacing w:after="0"/>
              <w:rPr>
                <w:sz w:val="13"/>
                <w:szCs w:val="13"/>
                <w:color w:val="auto"/>
              </w:rPr>
            </w:pPr>
          </w:p>
        </w:tc>
        <w:tc>
          <w:tcPr>
            <w:tcW w:w="10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3"/>
                <w:szCs w:val="13"/>
                <w:color w:val="auto"/>
              </w:rPr>
            </w:pPr>
          </w:p>
        </w:tc>
        <w:tc>
          <w:tcPr>
            <w:tcW w:w="13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(78,348)</w:t>
            </w:r>
          </w:p>
        </w:tc>
        <w:tc>
          <w:tcPr>
            <w:tcW w:w="3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(45,411)</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4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FF0FC"/>
          </w:tcPr>
          <w:p>
            <w:pPr>
              <w:spacing w:after="0"/>
              <w:rPr>
                <w:sz w:val="19"/>
                <w:szCs w:val="19"/>
                <w:color w:val="auto"/>
              </w:rPr>
            </w:pPr>
          </w:p>
        </w:tc>
      </w:tr>
      <w:tr>
        <w:trPr>
          <w:trHeight w:val="230"/>
        </w:trPr>
        <w:tc>
          <w:tcPr>
            <w:tcW w:w="748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on investments, net of tax effect</w:t>
            </w:r>
          </w:p>
        </w:tc>
        <w:tc>
          <w:tcPr>
            <w:tcW w:w="10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w:t>
            </w:r>
          </w:p>
        </w:tc>
        <w:tc>
          <w:tcPr>
            <w:tcW w:w="3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20" w:type="dxa"/>
            <w:vAlign w:val="bottom"/>
            <w:shd w:val="clear" w:color="auto" w:fill="CFF0FC"/>
          </w:tcPr>
          <w:p>
            <w:pPr>
              <w:spacing w:after="0"/>
              <w:rPr>
                <w:sz w:val="19"/>
                <w:szCs w:val="19"/>
                <w:color w:val="auto"/>
              </w:rPr>
            </w:pPr>
          </w:p>
        </w:tc>
      </w:tr>
      <w:tr>
        <w:trPr>
          <w:trHeight w:val="223"/>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taxes</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30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FF0FC"/>
            </w:tcBorders>
          </w:tcPr>
          <w:p>
            <w:pPr>
              <w:spacing w:after="0"/>
              <w:rPr>
                <w:sz w:val="19"/>
                <w:szCs w:val="19"/>
                <w:color w:val="auto"/>
              </w:rPr>
            </w:pPr>
          </w:p>
        </w:tc>
      </w:tr>
      <w:tr>
        <w:trPr>
          <w:trHeight w:val="223"/>
        </w:trPr>
        <w:tc>
          <w:tcPr>
            <w:tcW w:w="7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(76,418)</w:t>
            </w:r>
          </w:p>
        </w:tc>
        <w:tc>
          <w:tcPr>
            <w:tcW w:w="3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(44,678)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For The Three Month Period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14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320"/>
              <w:spacing w:after="0" w:line="134" w:lineRule="exact"/>
              <w:rPr>
                <w:sz w:val="20"/>
                <w:szCs w:val="20"/>
                <w:color w:val="auto"/>
              </w:rPr>
            </w:pPr>
            <w:r>
              <w:rPr>
                <w:rFonts w:ascii="Arial" w:cs="Arial" w:eastAsia="Arial" w:hAnsi="Arial"/>
                <w:sz w:val="12"/>
                <w:szCs w:val="12"/>
                <w:b w:val="1"/>
                <w:bCs w:val="1"/>
                <w:color w:val="auto"/>
                <w:w w:val="87"/>
              </w:rPr>
              <w:t>Accumulated</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right"/>
              <w:ind w:right="440"/>
              <w:spacing w:after="0" w:line="135" w:lineRule="exact"/>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70"/>
              <w:spacing w:after="0" w:line="135" w:lineRule="exact"/>
              <w:rPr>
                <w:sz w:val="20"/>
                <w:szCs w:val="20"/>
                <w:color w:val="auto"/>
              </w:rPr>
            </w:pPr>
            <w:r>
              <w:rPr>
                <w:rFonts w:ascii="Arial" w:cs="Arial" w:eastAsia="Arial" w:hAnsi="Arial"/>
                <w:sz w:val="12"/>
                <w:szCs w:val="12"/>
                <w:b w:val="1"/>
                <w:bCs w:val="1"/>
                <w:color w:val="auto"/>
                <w:w w:val="94"/>
              </w:rPr>
              <w:t>Non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2140" w:type="dxa"/>
            <w:vAlign w:val="bottom"/>
          </w:tcPr>
          <w:p>
            <w:pPr>
              <w:spacing w:after="0"/>
              <w:rPr>
                <w:sz w:val="12"/>
                <w:szCs w:val="12"/>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7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Comprehensive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12"/>
                <w:szCs w:val="12"/>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90"/>
              </w:rPr>
              <w:t>Controlling</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2140" w:type="dxa"/>
            <w:vAlign w:val="bottom"/>
          </w:tcPr>
          <w:p>
            <w:pPr>
              <w:spacing w:after="0"/>
              <w:rPr>
                <w:sz w:val="13"/>
                <w:szCs w:val="13"/>
                <w:color w:val="auto"/>
              </w:rPr>
            </w:pPr>
          </w:p>
        </w:tc>
        <w:tc>
          <w:tcPr>
            <w:tcW w:w="1260" w:type="dxa"/>
            <w:vAlign w:val="bottom"/>
            <w:gridSpan w:val="2"/>
          </w:tcPr>
          <w:p>
            <w:pPr>
              <w:ind w:left="3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Capital</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5"/>
              </w:rPr>
              <w:t>Income (Loss)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Deficit</w:t>
            </w:r>
          </w:p>
        </w:tc>
        <w:tc>
          <w:tcPr>
            <w:tcW w:w="140" w:type="dxa"/>
            <w:vAlign w:val="bottom"/>
          </w:tcPr>
          <w:p>
            <w:pPr>
              <w:spacing w:after="0"/>
              <w:rPr>
                <w:sz w:val="13"/>
                <w:szCs w:val="13"/>
                <w:color w:val="auto"/>
              </w:rPr>
            </w:pPr>
          </w:p>
        </w:tc>
        <w:tc>
          <w:tcPr>
            <w:tcW w:w="880" w:type="dxa"/>
            <w:vAlign w:val="bottom"/>
          </w:tcPr>
          <w:p>
            <w:pPr>
              <w:jc w:val="center"/>
              <w:ind w:right="70"/>
              <w:spacing w:after="0"/>
              <w:rPr>
                <w:sz w:val="20"/>
                <w:szCs w:val="20"/>
                <w:color w:val="auto"/>
              </w:rPr>
            </w:pPr>
            <w:r>
              <w:rPr>
                <w:rFonts w:ascii="Arial" w:cs="Arial" w:eastAsia="Arial" w:hAnsi="Arial"/>
                <w:sz w:val="12"/>
                <w:szCs w:val="12"/>
                <w:b w:val="1"/>
                <w:bCs w:val="1"/>
                <w:color w:val="auto"/>
                <w:w w:val="83"/>
              </w:rPr>
              <w:t>Interests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87,657,489</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1,300,725</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(747)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(784,720)</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535,406</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(78,348)</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(78,348)</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1,649</w:t>
            </w:r>
          </w:p>
        </w:tc>
        <w:tc>
          <w:tcPr>
            <w:tcW w:w="120" w:type="dxa"/>
            <w:vAlign w:val="bottom"/>
            <w:shd w:val="clear" w:color="auto" w:fill="CFF0FC"/>
          </w:tcPr>
          <w:p>
            <w:pPr>
              <w:spacing w:after="0"/>
              <w:rPr>
                <w:sz w:val="14"/>
                <w:szCs w:val="14"/>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4"/>
                <w:szCs w:val="14"/>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1,238,141</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1,713</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1,725</w:t>
            </w:r>
          </w:p>
        </w:tc>
        <w:tc>
          <w:tcPr>
            <w:tcW w:w="120" w:type="dxa"/>
            <w:vAlign w:val="bottom"/>
            <w:shd w:val="clear" w:color="auto" w:fill="CFF0FC"/>
          </w:tcPr>
          <w:p>
            <w:pPr>
              <w:spacing w:after="0"/>
              <w:rPr>
                <w:sz w:val="14"/>
                <w:szCs w:val="14"/>
                <w:color w:val="auto"/>
              </w:rPr>
            </w:pP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16,916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16,916</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March 31,</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2020</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88,895,630</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889</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1,319,354</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1,183</w:t>
            </w:r>
          </w:p>
        </w:tc>
        <w:tc>
          <w:tcPr>
            <w:tcW w:w="16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(863,068)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477,629</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210"/>
        </w:trPr>
        <w:tc>
          <w:tcPr>
            <w:tcW w:w="2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39"/>
        </w:trPr>
        <w:tc>
          <w:tcPr>
            <w:tcW w:w="2140" w:type="dxa"/>
            <w:vAlign w:val="bottom"/>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Balance at December 31,</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2018</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85,432,102</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854</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1,226,453</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(2,281)</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(715,827)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528,470</w:t>
            </w:r>
          </w:p>
        </w:tc>
        <w:tc>
          <w:tcPr>
            <w:tcW w:w="120" w:type="dxa"/>
            <w:vAlign w:val="bottom"/>
            <w:shd w:val="clear" w:color="auto" w:fill="CFF0FC"/>
          </w:tcPr>
          <w:p>
            <w:pPr>
              <w:spacing w:after="0"/>
              <w:rPr>
                <w:sz w:val="14"/>
                <w:szCs w:val="14"/>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Impact of adoption of</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ASC 842</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8,688</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8,688</w:t>
            </w:r>
          </w:p>
        </w:tc>
        <w:tc>
          <w:tcPr>
            <w:tcW w:w="120" w:type="dxa"/>
            <w:vAlign w:val="bottom"/>
          </w:tcPr>
          <w:p>
            <w:pPr>
              <w:spacing w:after="0"/>
              <w:rPr>
                <w:sz w:val="14"/>
                <w:szCs w:val="14"/>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Impact of change in</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accounting principle upon</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adoption of ASU 2018-02</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(611)</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Net loss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(45,411)</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4"/>
                <w:szCs w:val="14"/>
                <w:color w:val="auto"/>
              </w:rPr>
              <w:t>(45,411)</w:t>
            </w: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 gain or</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loss on investments</w:t>
            </w: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442</w:t>
            </w:r>
          </w:p>
        </w:tc>
        <w:tc>
          <w:tcPr>
            <w:tcW w:w="120" w:type="dxa"/>
            <w:vAlign w:val="bottom"/>
            <w:shd w:val="clear" w:color="auto" w:fill="CFF0FC"/>
          </w:tcPr>
          <w:p>
            <w:pPr>
              <w:spacing w:after="0"/>
              <w:rPr>
                <w:sz w:val="14"/>
                <w:szCs w:val="14"/>
                <w:color w:val="auto"/>
              </w:rPr>
            </w:pPr>
          </w:p>
        </w:tc>
      </w:tr>
      <w:tr>
        <w:trPr>
          <w:trHeight w:val="143"/>
        </w:trPr>
        <w:tc>
          <w:tcPr>
            <w:tcW w:w="2140" w:type="dxa"/>
            <w:vAlign w:val="bottom"/>
          </w:tcPr>
          <w:p>
            <w:pPr>
              <w:spacing w:after="0" w:line="143" w:lineRule="exact"/>
              <w:rPr>
                <w:sz w:val="20"/>
                <w:szCs w:val="20"/>
                <w:color w:val="auto"/>
              </w:rPr>
            </w:pPr>
            <w:r>
              <w:rPr>
                <w:rFonts w:ascii="Arial" w:cs="Arial" w:eastAsia="Arial" w:hAnsi="Arial"/>
                <w:sz w:val="14"/>
                <w:szCs w:val="14"/>
                <w:color w:val="auto"/>
              </w:rPr>
              <w:t>Foreign currency translation</w:t>
            </w: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214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4"/>
                <w:szCs w:val="14"/>
                <w:color w:val="auto"/>
              </w:rPr>
            </w:pPr>
          </w:p>
        </w:tc>
      </w:tr>
      <w:tr>
        <w:trPr>
          <w:trHeight w:val="143"/>
        </w:trPr>
        <w:tc>
          <w:tcPr>
            <w:tcW w:w="21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from stock</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214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plans, net of payroll taxes</w:t>
            </w: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paid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697,462</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(416)</w:t>
            </w:r>
          </w:p>
        </w:tc>
      </w:tr>
      <w:tr>
        <w:trPr>
          <w:trHeight w:val="162"/>
        </w:trPr>
        <w:tc>
          <w:tcPr>
            <w:tcW w:w="21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16,430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16,430</w:t>
            </w:r>
          </w:p>
        </w:tc>
        <w:tc>
          <w:tcPr>
            <w:tcW w:w="120" w:type="dxa"/>
            <w:vAlign w:val="bottom"/>
          </w:tcPr>
          <w:p>
            <w:pPr>
              <w:spacing w:after="0"/>
              <w:rPr>
                <w:sz w:val="14"/>
                <w:szCs w:val="14"/>
                <w:color w:val="auto"/>
              </w:rPr>
            </w:pPr>
          </w:p>
        </w:tc>
      </w:tr>
      <w:tr>
        <w:trPr>
          <w:trHeight w:val="133"/>
        </w:trPr>
        <w:tc>
          <w:tcPr>
            <w:tcW w:w="214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March 31,</w:t>
            </w: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74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0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90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880" w:type="dxa"/>
            <w:vAlign w:val="bottom"/>
            <w:tcBorders>
              <w:top w:val="single" w:sz="8" w:color="auto"/>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r>
      <w:tr>
        <w:trPr>
          <w:trHeight w:val="171"/>
        </w:trPr>
        <w:tc>
          <w:tcPr>
            <w:tcW w:w="2140" w:type="dxa"/>
            <w:vAlign w:val="bottom"/>
            <w:shd w:val="clear" w:color="auto" w:fill="CFF0FC"/>
          </w:tcPr>
          <w:p>
            <w:pPr>
              <w:ind w:left="120"/>
              <w:spacing w:after="0"/>
              <w:rPr>
                <w:sz w:val="20"/>
                <w:szCs w:val="20"/>
                <w:color w:val="auto"/>
              </w:rPr>
            </w:pPr>
            <w:r>
              <w:rPr>
                <w:rFonts w:ascii="Arial" w:cs="Arial" w:eastAsia="Arial" w:hAnsi="Arial"/>
                <w:sz w:val="14"/>
                <w:szCs w:val="14"/>
                <w:b w:val="1"/>
                <w:bCs w:val="1"/>
                <w:color w:val="auto"/>
              </w:rPr>
              <w:t>2019</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86,129,564</w:t>
            </w:r>
          </w:p>
        </w:tc>
        <w:tc>
          <w:tcPr>
            <w:tcW w:w="24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861</w:t>
            </w: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1,242,460</w:t>
            </w:r>
          </w:p>
        </w:tc>
        <w:tc>
          <w:tcPr>
            <w:tcW w:w="16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(937)</w:t>
            </w: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(753,161)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508,494</w:t>
            </w:r>
          </w:p>
        </w:tc>
        <w:tc>
          <w:tcPr>
            <w:tcW w:w="120" w:type="dxa"/>
            <w:vAlign w:val="bottom"/>
            <w:shd w:val="clear" w:color="auto" w:fill="CFF0FC"/>
          </w:tcPr>
          <w:p>
            <w:pPr>
              <w:spacing w:after="0"/>
              <w:rPr>
                <w:sz w:val="14"/>
                <w:szCs w:val="14"/>
                <w:color w:val="auto"/>
              </w:rPr>
            </w:pPr>
          </w:p>
        </w:tc>
      </w:tr>
      <w:tr>
        <w:trPr>
          <w:trHeight w:val="20"/>
        </w:trPr>
        <w:tc>
          <w:tcPr>
            <w:tcW w:w="214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3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9"/>
              </w:rPr>
              <w:t>Three Months Ended March 31,</w:t>
            </w: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732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72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3"/>
                <w:szCs w:val="13"/>
                <w:b w:val="1"/>
                <w:bCs w:val="1"/>
                <w:color w:val="auto"/>
                <w:w w:val="82"/>
              </w:rPr>
              <w:t>2019</w:t>
            </w:r>
          </w:p>
        </w:tc>
        <w:tc>
          <w:tcPr>
            <w:tcW w:w="120" w:type="dxa"/>
            <w:vAlign w:val="bottom"/>
            <w:tcBorders>
              <w:bottom w:val="single" w:sz="8" w:color="CFF0FC"/>
            </w:tcBorders>
          </w:tcPr>
          <w:p>
            <w:pPr>
              <w:spacing w:after="0"/>
              <w:rPr>
                <w:sz w:val="12"/>
                <w:szCs w:val="12"/>
                <w:color w:val="auto"/>
              </w:rPr>
            </w:pPr>
          </w:p>
        </w:tc>
      </w:tr>
      <w:tr>
        <w:trPr>
          <w:trHeight w:val="155"/>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10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ind w:right="871"/>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(78,348)</w:t>
            </w:r>
          </w:p>
        </w:tc>
        <w:tc>
          <w:tcPr>
            <w:tcW w:w="740" w:type="dxa"/>
            <w:vAlign w:val="bottom"/>
            <w:gridSpan w:val="2"/>
          </w:tcPr>
          <w:p>
            <w:pPr>
              <w:jc w:val="right"/>
              <w:ind w:right="609"/>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(45,411)</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Depreciation</w:t>
            </w:r>
          </w:p>
        </w:tc>
        <w:tc>
          <w:tcPr>
            <w:tcW w:w="10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2,868</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2,744</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Amortization of finance lease right-of-use assets</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2,569</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Net accretion of discount on investments</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(143)</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(1,350)</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Unrealized loss (gain) on equity investments</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(51)</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Gain on disposal of property and equipment</w:t>
            </w:r>
          </w:p>
        </w:tc>
        <w:tc>
          <w:tcPr>
            <w:tcW w:w="102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(10)</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Stock-based compensation</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16,916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16,430</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Tax benefit on unrealized gain on available-for-sale securities</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(439)</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(118)</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Realized loss on sales of available-for-sale securities</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258</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receivable, net</w:t>
            </w:r>
          </w:p>
        </w:tc>
        <w:tc>
          <w:tcPr>
            <w:tcW w:w="10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(30,085)</w:t>
            </w: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57,661</w:t>
            </w: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Inventories</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(1,521)</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Prepaid expenses and other current assets</w:t>
            </w:r>
          </w:p>
        </w:tc>
        <w:tc>
          <w:tcPr>
            <w:tcW w:w="10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(637)</w:t>
            </w: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(2,785)</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Other assets</w:t>
            </w:r>
          </w:p>
        </w:tc>
        <w:tc>
          <w:tcPr>
            <w:tcW w:w="10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761</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(51)</w:t>
            </w: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Accounts payable</w:t>
            </w:r>
          </w:p>
        </w:tc>
        <w:tc>
          <w:tcPr>
            <w:tcW w:w="10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(3,223)</w:t>
            </w: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(5,367)</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Accrued and other liabilities</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(41,224)</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Deferred revenue</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47,996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(2,580)</w:t>
            </w:r>
          </w:p>
        </w:tc>
      </w:tr>
      <w:tr>
        <w:trPr>
          <w:trHeight w:val="162"/>
        </w:trPr>
        <w:tc>
          <w:tcPr>
            <w:tcW w:w="7320" w:type="dxa"/>
            <w:vAlign w:val="bottom"/>
          </w:tcPr>
          <w:p>
            <w:pPr>
              <w:ind w:left="260"/>
              <w:spacing w:after="0"/>
              <w:rPr>
                <w:sz w:val="20"/>
                <w:szCs w:val="20"/>
                <w:color w:val="auto"/>
              </w:rPr>
            </w:pPr>
            <w:r>
              <w:rPr>
                <w:rFonts w:ascii="Arial" w:cs="Arial" w:eastAsia="Arial" w:hAnsi="Arial"/>
                <w:sz w:val="14"/>
                <w:szCs w:val="14"/>
                <w:color w:val="auto"/>
              </w:rPr>
              <w:t>Accrued interest for finance lease liabilities</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(216)</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long-term liabilities</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24,936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(156)</w:t>
            </w:r>
          </w:p>
        </w:tc>
      </w:tr>
      <w:tr>
        <w:trPr>
          <w:trHeight w:val="156"/>
        </w:trPr>
        <w:tc>
          <w:tcPr>
            <w:tcW w:w="7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10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(59,486)</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22,480</w:t>
            </w:r>
          </w:p>
        </w:tc>
        <w:tc>
          <w:tcPr>
            <w:tcW w:w="120" w:type="dxa"/>
            <w:vAlign w:val="bottom"/>
            <w:tcBorders>
              <w:bottom w:val="single" w:sz="8" w:color="CFF0FC"/>
            </w:tcBorders>
          </w:tcPr>
          <w:p>
            <w:pPr>
              <w:spacing w:after="0"/>
              <w:rPr>
                <w:sz w:val="13"/>
                <w:szCs w:val="13"/>
                <w:color w:val="auto"/>
              </w:rPr>
            </w:pPr>
          </w:p>
        </w:tc>
      </w:tr>
      <w:tr>
        <w:trPr>
          <w:trHeight w:val="155"/>
        </w:trPr>
        <w:tc>
          <w:tcPr>
            <w:tcW w:w="73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Purchases of property and equipment</w:t>
            </w:r>
          </w:p>
        </w:tc>
        <w:tc>
          <w:tcPr>
            <w:tcW w:w="10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(459)</w:t>
            </w: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(483)</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Purchases of available-for-sale securities and term deposit</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(38)</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(76,004)</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sales of available-for-sale securities</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10,606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Proceeds from maturities of investments</w:t>
            </w:r>
          </w:p>
        </w:tc>
        <w:tc>
          <w:tcPr>
            <w:tcW w:w="10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45,900</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Borders>
              <w:bottom w:val="single" w:sz="8" w:color="CFF0FC"/>
            </w:tcBorders>
          </w:tcPr>
          <w:p>
            <w:pPr>
              <w:spacing w:after="0"/>
              <w:rPr>
                <w:sz w:val="14"/>
                <w:szCs w:val="14"/>
                <w:color w:val="auto"/>
              </w:rPr>
            </w:pPr>
          </w:p>
        </w:tc>
      </w:tr>
      <w:tr>
        <w:trPr>
          <w:trHeight w:val="155"/>
        </w:trPr>
        <w:tc>
          <w:tcPr>
            <w:tcW w:w="73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Net cash provided by (used in) investing activities</w:t>
            </w:r>
          </w:p>
        </w:tc>
        <w:tc>
          <w:tcPr>
            <w:tcW w:w="102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56,009</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(26,487)</w:t>
            </w:r>
          </w:p>
        </w:tc>
        <w:tc>
          <w:tcPr>
            <w:tcW w:w="120" w:type="dxa"/>
            <w:vAlign w:val="bottom"/>
            <w:shd w:val="clear" w:color="auto" w:fill="CFF0FC"/>
          </w:tcPr>
          <w:p>
            <w:pPr>
              <w:spacing w:after="0"/>
              <w:rPr>
                <w:sz w:val="13"/>
                <w:szCs w:val="13"/>
                <w:color w:val="auto"/>
              </w:rPr>
            </w:pPr>
          </w:p>
        </w:tc>
      </w:tr>
      <w:tr>
        <w:trPr>
          <w:trHeight w:val="155"/>
        </w:trPr>
        <w:tc>
          <w:tcPr>
            <w:tcW w:w="7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Financing activities</w:t>
            </w:r>
          </w:p>
        </w:tc>
        <w:tc>
          <w:tcPr>
            <w:tcW w:w="10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Repayments of finance lease liabilities</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(2,814)</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(3,017)</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Repayments of lease obligations</w:t>
            </w:r>
          </w:p>
        </w:tc>
        <w:tc>
          <w:tcPr>
            <w:tcW w:w="102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(101)</w:t>
            </w:r>
          </w:p>
        </w:tc>
        <w:tc>
          <w:tcPr>
            <w:tcW w:w="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(101)</w:t>
            </w:r>
          </w:p>
        </w:tc>
      </w:tr>
      <w:tr>
        <w:trPr>
          <w:trHeight w:val="162"/>
        </w:trPr>
        <w:tc>
          <w:tcPr>
            <w:tcW w:w="7320" w:type="dxa"/>
            <w:vAlign w:val="bottom"/>
          </w:tcPr>
          <w:p>
            <w:pPr>
              <w:spacing w:after="0"/>
              <w:rPr>
                <w:sz w:val="20"/>
                <w:szCs w:val="20"/>
                <w:color w:val="auto"/>
              </w:rPr>
            </w:pPr>
            <w:r>
              <w:rPr>
                <w:rFonts w:ascii="Arial" w:cs="Arial" w:eastAsia="Arial" w:hAnsi="Arial"/>
                <w:sz w:val="14"/>
                <w:szCs w:val="14"/>
                <w:color w:val="auto"/>
              </w:rPr>
              <w:t>Cash paid for payroll taxes on restricted stock unit releases</w:t>
            </w:r>
          </w:p>
        </w:tc>
        <w:tc>
          <w:tcPr>
            <w:tcW w:w="102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(5,279)</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4"/>
                <w:szCs w:val="14"/>
                <w:color w:val="auto"/>
              </w:rPr>
              <w:t>(5,988)</w:t>
            </w: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common stock</w:t>
            </w:r>
          </w:p>
        </w:tc>
        <w:tc>
          <w:tcPr>
            <w:tcW w:w="10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7,004</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5,572</w:t>
            </w:r>
          </w:p>
        </w:tc>
        <w:tc>
          <w:tcPr>
            <w:tcW w:w="120" w:type="dxa"/>
            <w:vAlign w:val="bottom"/>
            <w:shd w:val="clear" w:color="auto" w:fill="CFF0FC"/>
          </w:tcPr>
          <w:p>
            <w:pPr>
              <w:spacing w:after="0"/>
              <w:rPr>
                <w:sz w:val="14"/>
                <w:szCs w:val="14"/>
                <w:color w:val="auto"/>
              </w:rPr>
            </w:pPr>
          </w:p>
        </w:tc>
      </w:tr>
      <w:tr>
        <w:trPr>
          <w:trHeight w:val="155"/>
        </w:trPr>
        <w:tc>
          <w:tcPr>
            <w:tcW w:w="73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Net cash used in financing activities</w:t>
            </w:r>
          </w:p>
        </w:tc>
        <w:tc>
          <w:tcPr>
            <w:tcW w:w="10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(1,190)</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(3,534)</w:t>
            </w:r>
          </w:p>
        </w:tc>
        <w:tc>
          <w:tcPr>
            <w:tcW w:w="120" w:type="dxa"/>
            <w:vAlign w:val="bottom"/>
            <w:tcBorders>
              <w:bottom w:val="single" w:sz="8" w:color="CFF0FC"/>
            </w:tcBorders>
          </w:tcPr>
          <w:p>
            <w:pPr>
              <w:spacing w:after="0"/>
              <w:rPr>
                <w:sz w:val="13"/>
                <w:szCs w:val="13"/>
                <w:color w:val="auto"/>
              </w:rPr>
            </w:pPr>
          </w:p>
        </w:tc>
      </w:tr>
      <w:tr>
        <w:trPr>
          <w:trHeight w:val="155"/>
        </w:trPr>
        <w:tc>
          <w:tcPr>
            <w:tcW w:w="73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Effect of exchange rate change on cash and cash equivalents</w:t>
            </w:r>
          </w:p>
        </w:tc>
        <w:tc>
          <w:tcPr>
            <w:tcW w:w="1020" w:type="dxa"/>
            <w:vAlign w:val="bottom"/>
            <w:tcBorders>
              <w:bottom w:val="single" w:sz="8" w:color="auto"/>
            </w:tcBorders>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(39)</w:t>
            </w:r>
          </w:p>
        </w:tc>
        <w:tc>
          <w:tcPr>
            <w:tcW w:w="3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720" w:type="dxa"/>
            <w:vAlign w:val="bottom"/>
            <w:tcBorders>
              <w:bottom w:val="single" w:sz="8" w:color="auto"/>
            </w:tcBorders>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(44)</w:t>
            </w:r>
          </w:p>
        </w:tc>
        <w:tc>
          <w:tcPr>
            <w:tcW w:w="120" w:type="dxa"/>
            <w:vAlign w:val="bottom"/>
            <w:shd w:val="clear" w:color="auto" w:fill="CFF0FC"/>
          </w:tcPr>
          <w:p>
            <w:pPr>
              <w:spacing w:after="0"/>
              <w:rPr>
                <w:sz w:val="13"/>
                <w:szCs w:val="13"/>
                <w:color w:val="auto"/>
              </w:rPr>
            </w:pPr>
          </w:p>
        </w:tc>
      </w:tr>
      <w:tr>
        <w:trPr>
          <w:trHeight w:val="155"/>
        </w:trPr>
        <w:tc>
          <w:tcPr>
            <w:tcW w:w="7320" w:type="dxa"/>
            <w:vAlign w:val="bottom"/>
          </w:tcPr>
          <w:p>
            <w:pPr>
              <w:spacing w:after="0" w:line="155" w:lineRule="exact"/>
              <w:rPr>
                <w:sz w:val="20"/>
                <w:szCs w:val="20"/>
                <w:color w:val="auto"/>
              </w:rPr>
            </w:pPr>
            <w:r>
              <w:rPr>
                <w:rFonts w:ascii="Arial" w:cs="Arial" w:eastAsia="Arial" w:hAnsi="Arial"/>
                <w:sz w:val="14"/>
                <w:szCs w:val="14"/>
                <w:color w:val="auto"/>
              </w:rPr>
              <w:t>Net decrease in cash and cash equivalents</w:t>
            </w:r>
          </w:p>
        </w:tc>
        <w:tc>
          <w:tcPr>
            <w:tcW w:w="10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(4,706)</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(7,585)</w:t>
            </w:r>
          </w:p>
        </w:tc>
        <w:tc>
          <w:tcPr>
            <w:tcW w:w="120" w:type="dxa"/>
            <w:vAlign w:val="bottom"/>
          </w:tcPr>
          <w:p>
            <w:pPr>
              <w:spacing w:after="0"/>
              <w:rPr>
                <w:sz w:val="13"/>
                <w:szCs w:val="13"/>
                <w:color w:val="auto"/>
              </w:rPr>
            </w:pPr>
          </w:p>
        </w:tc>
      </w:tr>
      <w:tr>
        <w:trPr>
          <w:trHeight w:val="162"/>
        </w:trPr>
        <w:tc>
          <w:tcPr>
            <w:tcW w:w="7320" w:type="dxa"/>
            <w:vAlign w:val="bottom"/>
            <w:shd w:val="clear" w:color="auto" w:fill="CFF0FC"/>
          </w:tcPr>
          <w:p>
            <w:pPr>
              <w:spacing w:after="0"/>
              <w:rPr>
                <w:sz w:val="20"/>
                <w:szCs w:val="20"/>
                <w:color w:val="auto"/>
              </w:rPr>
            </w:pPr>
            <w:r>
              <w:rPr>
                <w:rFonts w:ascii="Arial" w:cs="Arial" w:eastAsia="Arial" w:hAnsi="Arial"/>
                <w:sz w:val="14"/>
                <w:szCs w:val="14"/>
                <w:color w:val="auto"/>
              </w:rPr>
              <w:t>Total cash and cash equivalents at beginning of period</w:t>
            </w:r>
          </w:p>
        </w:tc>
        <w:tc>
          <w:tcPr>
            <w:tcW w:w="102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126,266</w:t>
            </w: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89,258</w:t>
            </w:r>
          </w:p>
        </w:tc>
        <w:tc>
          <w:tcPr>
            <w:tcW w:w="120" w:type="dxa"/>
            <w:vAlign w:val="bottom"/>
            <w:shd w:val="clear" w:color="auto" w:fill="CFF0FC"/>
          </w:tcPr>
          <w:p>
            <w:pPr>
              <w:spacing w:after="0"/>
              <w:rPr>
                <w:sz w:val="14"/>
                <w:szCs w:val="14"/>
                <w:color w:val="auto"/>
              </w:rPr>
            </w:pPr>
          </w:p>
        </w:tc>
      </w:tr>
      <w:tr>
        <w:trPr>
          <w:trHeight w:val="155"/>
        </w:trPr>
        <w:tc>
          <w:tcPr>
            <w:tcW w:w="7320" w:type="dxa"/>
            <w:vAlign w:val="bottom"/>
          </w:tcPr>
          <w:p>
            <w:pPr>
              <w:spacing w:after="0" w:line="155" w:lineRule="exact"/>
              <w:rPr>
                <w:sz w:val="20"/>
                <w:szCs w:val="20"/>
                <w:color w:val="auto"/>
              </w:rPr>
            </w:pPr>
            <w:r>
              <w:rPr>
                <w:rFonts w:ascii="Arial" w:cs="Arial" w:eastAsia="Arial" w:hAnsi="Arial"/>
                <w:sz w:val="14"/>
                <w:szCs w:val="14"/>
                <w:color w:val="auto"/>
              </w:rPr>
              <w:t>Total cash and cash equivalents at end of period</w:t>
            </w:r>
          </w:p>
        </w:tc>
        <w:tc>
          <w:tcPr>
            <w:tcW w:w="1020" w:type="dxa"/>
            <w:vAlign w:val="bottom"/>
            <w:tcBorders>
              <w:bottom w:val="single" w:sz="8" w:color="auto"/>
            </w:tcBorders>
          </w:tcPr>
          <w:p>
            <w:pPr>
              <w:jc w:val="right"/>
              <w:ind w:right="871"/>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121,560</w:t>
            </w:r>
          </w:p>
        </w:tc>
        <w:tc>
          <w:tcPr>
            <w:tcW w:w="3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81,673</w:t>
            </w:r>
          </w:p>
        </w:tc>
        <w:tc>
          <w:tcPr>
            <w:tcW w:w="120" w:type="dxa"/>
            <w:vAlign w:val="bottom"/>
          </w:tcPr>
          <w:p>
            <w:pPr>
              <w:spacing w:after="0"/>
              <w:rPr>
                <w:sz w:val="13"/>
                <w:szCs w:val="13"/>
                <w:color w:val="auto"/>
              </w:rPr>
            </w:pPr>
          </w:p>
        </w:tc>
      </w:tr>
      <w:tr>
        <w:trPr>
          <w:trHeight w:val="20"/>
        </w:trPr>
        <w:tc>
          <w:tcPr>
            <w:tcW w:w="7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FIBROGEN,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right="8340" w:firstLine="8"/>
        <w:spacing w:after="0" w:line="400" w:lineRule="auto"/>
        <w:tabs>
          <w:tab w:leader="none" w:pos="499"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Significant Accounting Policies Description of Operations</w:t>
      </w:r>
    </w:p>
    <w:p>
      <w:pPr>
        <w:spacing w:after="0" w:line="301" w:lineRule="auto"/>
        <w:rPr>
          <w:sz w:val="20"/>
          <w:szCs w:val="20"/>
          <w:color w:val="auto"/>
        </w:rPr>
      </w:pPr>
      <w:r>
        <w:rPr>
          <w:rFonts w:ascii="Arial" w:cs="Arial" w:eastAsia="Arial" w:hAnsi="Arial"/>
          <w:sz w:val="16"/>
          <w:szCs w:val="16"/>
          <w:color w:val="auto"/>
        </w:rPr>
        <w:t>FibroGen, Inc. (“FibroGen” or the “Company”) was incorporated in 1993 in Delaware and are headquartered in San Francisco, California, with subsidiary offices in Beijing and Shanghai, People’s Republic of China (“China”). FibroGen is a leading biopharmaceutical company developing and commercializing a pipeline of first-in-class therapeutics. The Company applies its pioneering expertise in hypoxia-inducible factor (“HIF”), connective tissue growth factor (“CTGF”) biology, and clinical development to advance innovative medicines for the treatment of anemia, fibrotic disease, and cancer.</w:t>
      </w:r>
    </w:p>
    <w:p>
      <w:pPr>
        <w:spacing w:after="0" w:line="15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Roxadustat, FibroGen’s most advanced product, is an oral small molecule inhibitor of HIF prolyl hydroxylase (“HIF-PH”) activity that has received marketing authorization in China for the treatment of anemia caused by chronic kidney disease (“CKD”) in dialysis and non-dialysis patients. Evrenzo® (roxadustat) is also approved in Japan for the treatment of anemia associated with CKD in dialysis patients. In January 2020, Astellas Pharma Inc. (“Astellas”) submitted a supplemental New Drug Application (“NDA”) in Japan for the treatment of anemia in non-dialysis CKD patients.</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Company’s NDA filing in the United States (“U.S.”) for roxadustat for the treatment of anemia in dialysis and non-dialysis CKD patients was accepted by the U.S. Food and Drug Administration (“FDA”) in February 2020. In Europe, the Marketing Authorization Application (“MAA”) filing with the European Medicines Agency (“EMA”) is expected in the second quarter of 2020 for CKD in both dialysis and non-dialysis.</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Roxadustat is in Phase 3 clinical development in the U.S. and Europe and in Phase 2/3 development in China for anemia associated with myelodysplastic syndromes (“MDS”). Roxadustat is in Phase 2 clinical development for chemotherapy-induced anemia.</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Pamrevlumab, an anti-CTGF human monoclonal antibody, is in Phase 3 clinical development for the treatment of both idiopathic pulmonary fibrosis (“IPF”) and pancreatic cancer. Pamrevlumab is also currently in a Phase 2 trial for Duchenne muscular dystrophy (“DMD”).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condensed consolidated financial statements include the accounts of FibroGen, its wholly owned subsidiaries and its majority-owned subsidiaries, FibroGen Europe Oy and FibroGen China Anemia Holdings, Ltd. (“FibroGen China”). All inter-company transactions and balances have been eliminated in consolidation. The Company operates as one segment — the discovery, development and commercialization of novel therapeutics to treat serious unmet medical needs.</w:t>
      </w:r>
    </w:p>
    <w:p>
      <w:pPr>
        <w:spacing w:after="0" w:line="18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unaudited condensed consolidated financial statements and related disclosures have been prepared in accordance with accounting principles generally accepted in the U.S.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filed with the SEC for the year ended December 31, 2019 (“2019 Form 10-K”).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Diluted weighted average shares did not include 8.7 million and 9.5 million securities for the three months March 31, 2020 and 2019, as they were anti-dilutive.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Company’s business is subject to risks and uncertainties, including those related to the severe acute respiratory syndrome coronavirus 2 and the associated disease (“COVID-19”) and the related shelter-in-place, stay-at-home and other similar governmental orders issued in response to the COVID-19 pandemic.</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first quarter of 2020, the Company experienced slower enrollment in its clinical trials due to the interruption caused by COVID-19 in the normal worldwide healthcare system, as well as an impact on its roxadustat sales in China due to the social distancing and other restrictions put in place, particularly during February and March. The future impact of the COVID-19 pandemic on the Company’s business is highly uncertain and difficult to predict. The COVID-19 pandemic may continue to affect enrollment in and initiation of the Company’s clinical trials, and could affect the Company’s supply chain if further social distancing and other business restrictions are put in place by various government entities, particularly in China and the U.S. COVID-19 may affect the health of the Company’s employees limiting the Company’s productivity. The COVID-19 pandemic may also impact the market for the Company’s products and product candidates in the future, affecting sales of the Company’s products. Such possible risks and uncertain impacts from the COVID-19 pandemic could have a material adverse effect on the Company’s drug development, commercialization revenues, and other portions of its business, and in particular, could impact the Company’s assumptions of accounts receivable collectability, fair value measurements of investments, liquidity, and development costs. The extent of the pandemic’s effect on our operational and financial performance will depend in large part on future developments, particularly with respect to the scope and severity of the pandemic, governmental restrictions put in place to fight the pandemic, and the development of vaccines and treatments for COVID-19. Due to the inherent uncertainty of the unprecedented and rapidly evolving situation, we are unable to estimate the likely impact of the COVID-19 pandemic on our future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August 2018, the Financial Accounting Standards Board (“FASB”) issued Accounting Standards Update (“ASU”) No. 2018-15, </w:t>
      </w:r>
      <w:r>
        <w:rPr>
          <w:rFonts w:ascii="Arial" w:cs="Arial" w:eastAsia="Arial" w:hAnsi="Arial"/>
          <w:sz w:val="17"/>
          <w:szCs w:val="17"/>
          <w:i w:val="1"/>
          <w:iCs w:val="1"/>
          <w:color w:val="auto"/>
        </w:rPr>
        <w:t>Intangibles—Goodwill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Other—Internal-Use Software (Subtopic 350-40): Customer’s Accounting for Implementation Costs Incurred in a Cloud Computing Arrangement That Is a Service Contract. </w:t>
      </w:r>
      <w:r>
        <w:rPr>
          <w:rFonts w:ascii="Arial" w:cs="Arial" w:eastAsia="Arial" w:hAnsi="Arial"/>
          <w:sz w:val="17"/>
          <w:szCs w:val="17"/>
          <w:color w:val="auto"/>
        </w:rPr>
        <w:t>This guidance requires capitalizing implementation costs incurred to develop or obtain internal-use software (and hosting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that include an internal-use software license). This guidance was effective for annual reporting periods beginning after December 15, 2019, including interim periods. The Company adopted this guidance on January 1, 2020 using the prospective method, and the adoption of this guidance did not have material impact to the Company’s consolidated financial statements.</w:t>
      </w:r>
    </w:p>
    <w:p>
      <w:pPr>
        <w:spacing w:after="0" w:line="178"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This guidance is intended to provide financial statement users with more decision-useful information about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credit losses on financial instruments and other commitments to extend credit held by a reporting entity at each reporting date. This guidance requires the measurement of financial assets with a methodology that reflects expected credit losses and requires consideration of a broader range of reasonable and supportable information to inform credit loss estimates. This guidance requires an impairment model, known as the current expected credit loss model, which is based on expected losses rather than incurred losses. Entities are required to carry an allowance for expected credit losses for financial assets, including most debt instruments (except those carried at fair value) and trade receivables. In November 2019, the FASB issued ASU No. 2019-11, </w:t>
      </w:r>
      <w:r>
        <w:rPr>
          <w:rFonts w:ascii="Arial" w:cs="Arial" w:eastAsia="Arial" w:hAnsi="Arial"/>
          <w:sz w:val="17"/>
          <w:szCs w:val="17"/>
          <w:i w:val="1"/>
          <w:iCs w:val="1"/>
          <w:color w:val="auto"/>
        </w:rPr>
        <w:t xml:space="preserve">Codification Improvements to Topic 326, Financial Instruments-Credit Losses </w:t>
      </w:r>
      <w:r>
        <w:rPr>
          <w:rFonts w:ascii="Arial" w:cs="Arial" w:eastAsia="Arial" w:hAnsi="Arial"/>
          <w:sz w:val="17"/>
          <w:szCs w:val="17"/>
          <w:color w:val="auto"/>
        </w:rPr>
        <w:t>(“ASU 2019-11”)</w:t>
      </w:r>
      <w:r>
        <w:rPr>
          <w:rFonts w:ascii="Arial" w:cs="Arial" w:eastAsia="Arial" w:hAnsi="Arial"/>
          <w:sz w:val="17"/>
          <w:szCs w:val="17"/>
          <w:i w:val="1"/>
          <w:iCs w:val="1"/>
          <w:color w:val="auto"/>
        </w:rPr>
        <w:t xml:space="preserve">, </w:t>
      </w:r>
      <w:r>
        <w:rPr>
          <w:rFonts w:ascii="Arial" w:cs="Arial" w:eastAsia="Arial" w:hAnsi="Arial"/>
          <w:sz w:val="17"/>
          <w:szCs w:val="17"/>
          <w:color w:val="auto"/>
        </w:rPr>
        <w:t>which has the same effective dates and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as ASU 2016-13. ASU 2016-13 and ASU 2019-11 were effective for annual reporting periods beginning after December 15, 2019 including interim periods. The Company’s investment portfolio primarily consists of U.S. Treasury bills and notes carried at fair value, which is required to follow the impairment model under Topic 326. The Company adopted this guidance on January 1, 2020. Based on the composition of the Company’s trade receivables and investment portfolio, economic conditions and historical credit loss activity, the adoption of this guidance did not have material impact to the Company’s consolidated financial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guidance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This guidance is effective for annual reporting periods beginning after December 15, 2020 including interim periods, with early adoption permitted. The Company does not plan to early adopt this guidance and does not anticipate a material impact to its consolidated financial statements upon adoption of this guidance.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The accounting policies used by the Company in its presentation of interim financial results are consistent with those presented in Note 2 to the consolidated financial statements included in the 2019 Form 10-K, except for the following: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accounts receivable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allowance for doubtful accounts is based on the Company’s assessment of the collectability of customer accounts. The Company makes estimates of expected credit losses for the allowance for doubtful accounts by considering factors such as historical experience, credit quality, the age of the accounts receivable balances, current economic and regulatory conditions that may affect a customer’s ability to pay, and estimates of expected future losses. The Company’s bad debt expense for the three months ended March 31, 2020 and the allowance for doubtful accounts as of March 31, 2020 were immaterial.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 – Available-for-sale debt securities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periodically assesses its available-for-sale investments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interest and other, net.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interest and other, net, limited by the amount that the fair value is less than the amortized cost basis. Any additional impairment not recorded through an allowance for credit losses is recognized in other comprehensive income.</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Changes in the allowance for credit losses are recorded as provision for, or reversal of, credit loss expense. Losses are charged against the allowance when the Company believes the uncollectability of an available-for-sale security is confirmed or when either of the criteria regarding intent or requirement to sell is met.</w:t>
      </w:r>
    </w:p>
    <w:p>
      <w:pPr>
        <w:spacing w:after="0" w:line="288" w:lineRule="exact"/>
        <w:rPr>
          <w:sz w:val="20"/>
          <w:szCs w:val="20"/>
          <w:color w:val="auto"/>
        </w:rPr>
      </w:pPr>
    </w:p>
    <w:p>
      <w:pPr>
        <w:ind w:right="8700" w:firstLine="8"/>
        <w:spacing w:after="0" w:line="425" w:lineRule="auto"/>
        <w:tabs>
          <w:tab w:leader="none" w:pos="49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Astellas Agreements</w:t>
      </w: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June 2005, the Company entered into a collaboration agreement with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Under the Japan Agreement, the Company is also eligible to receive from Astellas an aggregate of approximately $132.5 million in potential milestone payments, comprised of (i) up to $22.5 million in milestone payments upon achievement of specified clinical and development milestone events (such amounts were fully received as of July 2016), (ii) up to $95.0 million in milestone payments upon achievement of specified regulatory milestone events, and (iii) up to approximately $15.0 million in milestone payments upon the achievement of specified commercial sales milestone. The Japan Agreement also provides for tiered payments based on net sales of product (as defined) in the low 20% range after commercial launch. The aggregate amount of consideration received through March 31, 2020 totals $90.1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comprised of</w:t>
      </w:r>
    </w:p>
    <w:p>
      <w:pPr>
        <w:spacing w:after="0" w:line="1" w:lineRule="exact"/>
        <w:rPr>
          <w:sz w:val="20"/>
          <w:szCs w:val="20"/>
          <w:color w:val="auto"/>
        </w:rPr>
      </w:pPr>
    </w:p>
    <w:p>
      <w:pPr>
        <w:ind w:right="100" w:firstLine="8"/>
        <w:spacing w:after="0" w:line="253"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up to $90.0 million in milestone payments upon achievement of specified clinical and development milestone events (such amounts were fully received as of 2012), (ii) up to $335.0 million in milestone payments upon achievement of specified regulatory milestone events. Under the Europe Agreement, Astellas committed to fund 50% of joint development costs for Europe and North America, and all territory-specific costs. The Europe Agreement also provides for tiered payments based on net sales of product (as defined) in the low 20% range. The aggregate amount of consideration received through March 31, 2020 totals $410.0 million.</w:t>
      </w:r>
    </w:p>
    <w:p>
      <w:pPr>
        <w:spacing w:after="0" w:line="19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During the second quarter of 2019, the Company received positive topline results from analyses of pooled major adverse cardiac event (“MACE”) and MACE+ data from its Phase 3 trials evaluating roxadustat as a treatment for dialysis and non-dialysis CKD patients, enabling Astellas to prepare for an MAA submission to the EMA, following the Company’s NDA submission to the FDA. These milestones became probable of being achieved in the second quarter of 2019, and the total consideration of $130.0 million associated with these milestones was included in the transaction price and allocated to performance obligations under the Europe Agreement in the second quarter of 2019, of which $128.8 million was recognized as revenue during 2019, and $0.3 million was recognized as revenue during the three months ended March 31, 2020, from performance obligations satisfied or partially satisfied. According to the Europe Agreement, these milestone payments are not billable to Astellas until the submission of an MAA, which is expected in the second quarter of 2020. Therefore this $130.0 million remained as an unbilled contract asset as of March 31,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(“RoW”) Agreement</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paid upfront, non-contingent, non-refundable and time-based payments totaling $374.0 million (such amounts were fully received as of June 2016). Under the U.S./RoW Agreement, the Company is also eligible to receive from AstraZeneca an aggregate of approximately $875.0 million in potential milestone payments, comprised of (i) up to $65.0 million in milestone payments upon achievement of specified clinical and development milestone events, $15.0 million of which was received in 2015 as a result of the finalization of its two audited pre-clinical carcinogenicity study reports, and the remaining $50.0 million was received in April 2020 as a result of the NDA submission milestone, (ii) up to $325.0 million in milestone payments upon achievement of specified regulatory milestone events, (iii) up to $160.0 million in milestone payments related to activity by potential competitors and (iv) up to approximately $325.0 million in milestone payments upon the achievement of specified commercial sales events. The aggregate amount of consideration received through March 31, 2020 totals $389.0 million.</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mentioned above, during the second quarter of 2019, the Company received positive topline results from analyses of pooled MACE and MACE+ data from its Phase 3 trials for roxadustat, enabling the Company’s NDA submission to the FDA. The regulatory milestone payment associated with this NDA submission became probable of being achieved in the second quarter of 2019. Accordingly, the consideration of $50.0 million associated with this milestone was included in the transaction price and allocated to performance obligations under the U.S./ RoW Agreement in the second quarter of 2019, of which $42.4 million was recognized as revenue during 2019, and $0.2 million was recognized as revenue during the three months ended March 31, 2020, from performance obligations satisfied or partially satisfied. The Company submitted such NDA in December 2019, which was accepted by the FDA for review in February 2020. According to the U.S/RoW Agreement, this milestone payment is billable to AstraZeneca when the NDA is accepted by the FDA. Therefore this $50.0 million was billed during the first quarter of 2020, the payment of which was fully received in April 2020.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(such amounts were fully received in 2014). Under the China Agreement, the Company is also eligible to receive from AstraZeneca an aggregate of approximately $348.5 million in potential milestone payments, comprised of (i) up to $15.0 million in milestone payments upon achievement of specified clinical and development milestone events, (ii) up to $146.0 million in milestone payments upon achievement of specified regulatory milestone events, and (iii) up to approximately $187.5 million in milestone payments upon the achievement of specified commercial sales and other events. The China Agreement is structured as a 50/50 profit or loss share (as defined) and provides for joint development costs (including capital and equipment costs for construction of the manufacturing plant in China), to be shared equally during the development. The aggregate amount of such consideration received through March 31, 2020 totals $77.2 million.</w:t>
      </w:r>
    </w:p>
    <w:p>
      <w:pPr>
        <w:spacing w:after="0" w:line="166"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In December 2019, roxadustat was included on the updated National Reimbursement Drug List (“NRDL”) released by China’s National Healthcare Security Administration (“NHSA”) for the treatment of anemia in CKD, covering patients who are non-dialysis dependent as well as those who are dialysis-dependent. The inclusion on the NRDL triggered a total of $22.0 million milestones payable to the Company by AstraZeneca. Accordingly, the total consideration of $22.0 million associated with these milestones was included in the transaction price and allocated to performance obligations under the China Agreement during fourth quarter of 2019. This milestone payment was received during the first quarter of 2020.</w:t>
      </w:r>
    </w:p>
    <w:p>
      <w:pPr>
        <w:spacing w:after="0" w:line="1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AstraZeneca and Astellas approved the development of roxadustat for the treatment of chemotherapy-induced anemia (“CIA”) in December 2018 and January 2019, respectively. Costs associated with the development of this indication are expected to be shared 50/50 between AstraZeneca and Astellas. In addition, in December 2018, anemia of chronic inflammation (“ACI”) and multiple myeloma (“MM”) was approved for development by AstraZeneca and is expected to be fully funded by them. For revenue recognition purposes, the Company concluded that the addition of these new indications represents a modification to the collaboration agreements and will be accounted for separately, meaning the development costs associated with the new indications are distinct from the original development costs. The development service period for roxadustat for the treatment of CIA, ACI and MM under the AstraZeneca agreements is estimated to continue through the end of 2024, to allow for development of these additional indications.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21"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 table below summarizes the accounting treatment for the various performance obligations pursuant to each of the Astellas and AstraZeneca agreements. License amounts identified below are included in the “License revenue” line item in the condensed consolidated statements of operations. All other elements identified below are included in the “Development and other revenue” line item in the condensed consolidated statements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Japan Agreement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4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Performance Obligation</w:t>
            </w:r>
          </w:p>
        </w:tc>
        <w:tc>
          <w:tcPr>
            <w:tcW w:w="18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127"/>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40" w:type="dxa"/>
            <w:vAlign w:val="bottom"/>
            <w:vMerge w:val="continue"/>
          </w:tcPr>
          <w:p>
            <w:pPr>
              <w:spacing w:after="0"/>
              <w:rPr>
                <w:sz w:val="13"/>
                <w:szCs w:val="13"/>
                <w:color w:val="auto"/>
              </w:rPr>
            </w:pPr>
          </w:p>
        </w:tc>
        <w:tc>
          <w:tcPr>
            <w:tcW w:w="40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88"/>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3"/>
                <w:szCs w:val="13"/>
                <w:color w:val="auto"/>
              </w:rPr>
            </w:pPr>
          </w:p>
        </w:tc>
        <w:tc>
          <w:tcPr>
            <w:tcW w:w="1320" w:type="dxa"/>
            <w:vAlign w:val="bottom"/>
            <w:gridSpan w:val="2"/>
          </w:tcPr>
          <w:p>
            <w:pPr>
              <w:jc w:val="right"/>
              <w:ind w:right="87"/>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80" w:type="dxa"/>
            <w:vAlign w:val="bottom"/>
            <w:tcBorders>
              <w:top w:val="single" w:sz="8" w:color="CFF0FC"/>
            </w:tcBorders>
            <w:shd w:val="clear" w:color="auto" w:fill="CFF0FC"/>
          </w:tcPr>
          <w:p>
            <w:pPr>
              <w:spacing w:after="0"/>
              <w:rPr>
                <w:sz w:val="19"/>
                <w:szCs w:val="19"/>
                <w:color w:val="auto"/>
              </w:rPr>
            </w:pPr>
          </w:p>
        </w:tc>
        <w:tc>
          <w:tcPr>
            <w:tcW w:w="3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8"/>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4020" w:type="dxa"/>
            <w:vAlign w:val="bottom"/>
            <w:gridSpan w:val="2"/>
          </w:tcPr>
          <w:p>
            <w:pPr>
              <w:ind w:left="180"/>
              <w:spacing w:after="0"/>
              <w:rPr>
                <w:sz w:val="20"/>
                <w:szCs w:val="20"/>
                <w:color w:val="auto"/>
              </w:rPr>
            </w:pPr>
            <w:r>
              <w:rPr>
                <w:rFonts w:ascii="Arial" w:cs="Arial" w:eastAsia="Arial" w:hAnsi="Arial"/>
                <w:sz w:val="18"/>
                <w:szCs w:val="18"/>
                <w:color w:val="auto"/>
              </w:rPr>
              <w:t>Development revenue</w:t>
            </w:r>
          </w:p>
        </w:tc>
        <w:tc>
          <w:tcPr>
            <w:tcW w:w="122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163</w:t>
            </w:r>
          </w:p>
        </w:tc>
        <w:tc>
          <w:tcPr>
            <w:tcW w:w="1320" w:type="dxa"/>
            <w:vAlign w:val="bottom"/>
            <w:gridSpan w:val="2"/>
          </w:tcPr>
          <w:p>
            <w:pPr>
              <w:jc w:val="right"/>
              <w:ind w:right="887"/>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Japan Agreement,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Revenue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148"/>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Japan Agreement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Through</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38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March 31, 2020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March 31, 2020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8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86,024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8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15,293</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8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101,317</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101,586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revenue recognized under the Japan Agreement for the three months ended March 31, 2020 included an increase in revenue of $0.1 million resulting from changes to estimated variable consideration in the current period relating to performance obligations satisfied or partially satisfied in previous periods. The remainder of the transaction price related to the Japan Agreement includes no further variable consideration from estimated future co-development billing.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4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Performance Obligation</w:t>
            </w:r>
          </w:p>
        </w:tc>
        <w:tc>
          <w:tcPr>
            <w:tcW w:w="200" w:type="dxa"/>
            <w:vAlign w:val="bottom"/>
          </w:tcPr>
          <w:p>
            <w:pPr>
              <w:spacing w:after="0"/>
              <w:rPr>
                <w:sz w:val="14"/>
                <w:szCs w:val="14"/>
                <w:color w:val="auto"/>
              </w:rPr>
            </w:pPr>
          </w:p>
        </w:tc>
        <w:tc>
          <w:tcPr>
            <w:tcW w:w="27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440" w:type="dxa"/>
            <w:vAlign w:val="bottom"/>
            <w:vMerge w:val="continue"/>
          </w:tcPr>
          <w:p>
            <w:pPr>
              <w:spacing w:after="0"/>
              <w:rPr>
                <w:sz w:val="13"/>
                <w:szCs w:val="13"/>
                <w:color w:val="auto"/>
              </w:rPr>
            </w:pPr>
          </w:p>
        </w:tc>
        <w:tc>
          <w:tcPr>
            <w:tcW w:w="40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1260" w:type="dxa"/>
            <w:vAlign w:val="bottom"/>
            <w:gridSpan w:val="2"/>
          </w:tcPr>
          <w:p>
            <w:pPr>
              <w:jc w:val="right"/>
              <w:ind w:right="7"/>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80" w:type="dxa"/>
            <w:vAlign w:val="bottom"/>
            <w:tcBorders>
              <w:top w:val="single" w:sz="8" w:color="CFF0FC"/>
            </w:tcBorders>
            <w:shd w:val="clear" w:color="auto" w:fill="CFF0FC"/>
          </w:tcPr>
          <w:p>
            <w:pPr>
              <w:spacing w:after="0"/>
              <w:rPr>
                <w:sz w:val="19"/>
                <w:szCs w:val="19"/>
                <w:color w:val="auto"/>
              </w:rPr>
            </w:pPr>
          </w:p>
        </w:tc>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2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8"/>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Development revenue</w:t>
            </w:r>
          </w:p>
        </w:tc>
        <w:tc>
          <w:tcPr>
            <w:tcW w:w="114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4,574</w:t>
            </w:r>
          </w:p>
        </w:tc>
        <w:tc>
          <w:tcPr>
            <w:tcW w:w="126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Europe Agreement,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60"/>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8"/>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Europe Agreement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Revenue at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4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March 31, 2020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59"/>
              <w:spacing w:after="0"/>
              <w:rPr>
                <w:sz w:val="20"/>
                <w:szCs w:val="20"/>
                <w:color w:val="auto"/>
              </w:rPr>
            </w:pPr>
            <w:r>
              <w:rPr>
                <w:rFonts w:ascii="Arial" w:cs="Arial" w:eastAsia="Arial" w:hAnsi="Arial"/>
                <w:sz w:val="14"/>
                <w:szCs w:val="14"/>
                <w:b w:val="1"/>
                <w:bCs w:val="1"/>
                <w:color w:val="auto"/>
                <w:w w:val="96"/>
              </w:rPr>
              <w:t>March 31, 2020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223"/>
        </w:trPr>
        <w:tc>
          <w:tcPr>
            <w:tcW w:w="4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487,951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Development revenue</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235,582</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239,024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development revenue</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723,533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726,975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spacing w:after="0"/>
        <w:rPr>
          <w:sz w:val="20"/>
          <w:szCs w:val="20"/>
          <w:color w:val="auto"/>
        </w:rPr>
      </w:pPr>
      <w:r>
        <w:rPr>
          <w:rFonts w:ascii="Arial" w:cs="Arial" w:eastAsia="Arial" w:hAnsi="Arial"/>
          <w:sz w:val="4"/>
          <w:szCs w:val="4"/>
          <w:color w:val="auto"/>
        </w:rPr>
        <w:t>_______________________________________________________________________________________________________</w:t>
      </w:r>
    </w:p>
    <w:p>
      <w:pPr>
        <w:spacing w:after="0" w:line="30" w:lineRule="exact"/>
        <w:rPr>
          <w:sz w:val="20"/>
          <w:szCs w:val="20"/>
          <w:color w:val="auto"/>
        </w:rPr>
      </w:pPr>
    </w:p>
    <w:p>
      <w:pPr>
        <w:ind w:left="280" w:right="20" w:hanging="272"/>
        <w:spacing w:after="0" w:line="311" w:lineRule="auto"/>
        <w:tabs>
          <w:tab w:leader="none" w:pos="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Contract assets and liabilities related to rights and obligations in the same contract are recorded net on the condensed consolidated balance sheets. As of March 31, 2020, prepaid expenses and other current assets included a net unbilled contract asset of $126.6 million related to the Europe Agreement, which represents the net of the above-mentioned unbilled contract asset of $130.0 million, and $3.4 million of deferred revenue presented above.</w:t>
      </w:r>
    </w:p>
    <w:p>
      <w:pPr>
        <w:spacing w:after="0" w:line="14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revenue recognized under the Europe Agreement for the three months ended March 31, 2020 included an increase in revenue of $0.9 million resulting from changes to estimated variable consideration in the current period relating to performance obligations satisfied or partially satisfied in previous periods. The remainder of the transaction price related to the Europe Agreement includes $38.2 million of variable consideration from estimated future co-development billing and is expected to be recognized over the remaining development service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U.S./RoW Agreement were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4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Performance Obligation</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2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1440" w:type="dxa"/>
            <w:vAlign w:val="bottom"/>
            <w:vMerge w:val="continue"/>
          </w:tcPr>
          <w:p>
            <w:pPr>
              <w:spacing w:after="0"/>
              <w:rPr>
                <w:sz w:val="13"/>
                <w:szCs w:val="13"/>
                <w:color w:val="auto"/>
              </w:rPr>
            </w:pPr>
          </w:p>
        </w:tc>
        <w:tc>
          <w:tcPr>
            <w:tcW w:w="40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17"/>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80" w:type="dxa"/>
            <w:vAlign w:val="bottom"/>
            <w:tcBorders>
              <w:top w:val="single" w:sz="8" w:color="CFF0FC"/>
            </w:tcBorders>
            <w:shd w:val="clear" w:color="auto" w:fill="CFF0FC"/>
          </w:tcPr>
          <w:p>
            <w:pPr>
              <w:spacing w:after="0"/>
              <w:rPr>
                <w:sz w:val="18"/>
                <w:szCs w:val="18"/>
                <w:color w:val="auto"/>
              </w:rPr>
            </w:pPr>
          </w:p>
        </w:tc>
        <w:tc>
          <w:tcPr>
            <w:tcW w:w="3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2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80" w:type="dxa"/>
            <w:vAlign w:val="bottom"/>
            <w:shd w:val="clear" w:color="auto" w:fill="CFF0FC"/>
          </w:tcPr>
          <w:p>
            <w:pPr>
              <w:spacing w:after="0"/>
              <w:rPr>
                <w:sz w:val="20"/>
                <w:szCs w:val="20"/>
                <w:color w:val="auto"/>
              </w:rPr>
            </w:pPr>
          </w:p>
        </w:tc>
        <w:tc>
          <w:tcPr>
            <w:tcW w:w="3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000" w:type="dxa"/>
            <w:vAlign w:val="bottom"/>
            <w:gridSpan w:val="2"/>
          </w:tcPr>
          <w:p>
            <w:pPr>
              <w:ind w:left="180"/>
              <w:spacing w:after="0"/>
              <w:rPr>
                <w:sz w:val="20"/>
                <w:szCs w:val="20"/>
                <w:color w:val="auto"/>
              </w:rPr>
            </w:pPr>
            <w:r>
              <w:rPr>
                <w:rFonts w:ascii="Arial" w:cs="Arial" w:eastAsia="Arial" w:hAnsi="Arial"/>
                <w:sz w:val="18"/>
                <w:szCs w:val="18"/>
                <w:color w:val="auto"/>
              </w:rPr>
              <w:t>Development revenue</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14,556</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shd w:val="clear" w:color="auto" w:fill="CFF0FC"/>
          </w:tcPr>
          <w:p>
            <w:pPr>
              <w:spacing w:after="0"/>
              <w:rPr>
                <w:sz w:val="19"/>
                <w:szCs w:val="19"/>
                <w:color w:val="auto"/>
              </w:rPr>
            </w:pPr>
          </w:p>
        </w:tc>
        <w:tc>
          <w:tcPr>
            <w:tcW w:w="400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China performance obligation</w:t>
            </w:r>
          </w:p>
        </w:tc>
        <w:tc>
          <w:tcPr>
            <w:tcW w:w="5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64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transaction price related to consideration received and accounts receivable has been allocated to each of the following performance obligations under the U.S./RoW Agreement and China Agreement, along with any associated deferred revenue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59"/>
              <w:spacing w:after="0"/>
              <w:rPr>
                <w:sz w:val="20"/>
                <w:szCs w:val="20"/>
                <w:color w:val="auto"/>
              </w:rPr>
            </w:pPr>
            <w:r>
              <w:rPr>
                <w:rFonts w:ascii="Arial" w:cs="Arial" w:eastAsia="Arial" w:hAnsi="Arial"/>
                <w:sz w:val="14"/>
                <w:szCs w:val="14"/>
                <w:b w:val="1"/>
                <w:bCs w:val="1"/>
                <w:color w:val="auto"/>
                <w:w w:val="95"/>
              </w:rPr>
              <w:t>Cumulative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center"/>
              <w:ind w:right="38"/>
              <w:spacing w:after="0"/>
              <w:rPr>
                <w:sz w:val="20"/>
                <w:szCs w:val="20"/>
                <w:color w:val="auto"/>
              </w:rPr>
            </w:pPr>
            <w:r>
              <w:rPr>
                <w:rFonts w:ascii="Arial" w:cs="Arial" w:eastAsia="Arial" w:hAnsi="Arial"/>
                <w:sz w:val="14"/>
                <w:szCs w:val="14"/>
                <w:b w:val="1"/>
                <w:bCs w:val="1"/>
                <w:color w:val="auto"/>
                <w:w w:val="93"/>
              </w:rPr>
              <w:t>Deferred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U.S. / RoW and China Agreements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Through</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Revenue at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Through</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6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right="39"/>
              <w:spacing w:after="0"/>
              <w:rPr>
                <w:sz w:val="20"/>
                <w:szCs w:val="20"/>
                <w:color w:val="auto"/>
              </w:rPr>
            </w:pPr>
            <w:r>
              <w:rPr>
                <w:rFonts w:ascii="Arial" w:cs="Arial" w:eastAsia="Arial" w:hAnsi="Arial"/>
                <w:sz w:val="14"/>
                <w:szCs w:val="14"/>
                <w:b w:val="1"/>
                <w:bCs w:val="1"/>
                <w:color w:val="auto"/>
                <w:w w:val="94"/>
              </w:rPr>
              <w:t>March 31, 2020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b w:val="1"/>
                <w:bCs w:val="1"/>
                <w:color w:val="auto"/>
                <w:w w:val="96"/>
              </w:rPr>
              <w:t>March 31, 2020</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March 31, 2020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341,844</w:t>
            </w:r>
          </w:p>
        </w:tc>
        <w:tc>
          <w:tcPr>
            <w:tcW w:w="100" w:type="dxa"/>
            <w:vAlign w:val="bottom"/>
            <w:tcBorders>
              <w:top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Co-development, information sharing &amp;</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720" w:type="dxa"/>
            <w:vAlign w:val="bottom"/>
          </w:tcPr>
          <w:p>
            <w:pPr>
              <w:ind w:left="80"/>
              <w:spacing w:after="0"/>
              <w:rPr>
                <w:sz w:val="20"/>
                <w:szCs w:val="20"/>
                <w:color w:val="auto"/>
              </w:rPr>
            </w:pPr>
            <w:r>
              <w:rPr>
                <w:rFonts w:ascii="Arial" w:cs="Arial" w:eastAsia="Arial" w:hAnsi="Arial"/>
                <w:sz w:val="18"/>
                <w:szCs w:val="18"/>
                <w:color w:val="auto"/>
              </w:rPr>
              <w:t>committee services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507,822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6,323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514,145</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China performance obligation</w:t>
            </w:r>
          </w:p>
        </w:tc>
        <w:tc>
          <w:tcPr>
            <w:tcW w:w="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141,079</w:t>
            </w:r>
          </w:p>
        </w:tc>
        <w:tc>
          <w:tcPr>
            <w:tcW w:w="3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141,322</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Pr>
          <w:p>
            <w:pPr>
              <w:ind w:left="240"/>
              <w:spacing w:after="0"/>
              <w:rPr>
                <w:sz w:val="20"/>
                <w:szCs w:val="20"/>
                <w:color w:val="auto"/>
              </w:rPr>
            </w:pPr>
            <w:r>
              <w:rPr>
                <w:rFonts w:ascii="Arial" w:cs="Arial" w:eastAsia="Arial" w:hAnsi="Arial"/>
                <w:sz w:val="18"/>
                <w:szCs w:val="18"/>
                <w:color w:val="auto"/>
              </w:rPr>
              <w:t>Total license and development revenue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849,909</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147,402</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997,311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revenue recognized under the U.S./RoW Agreement for the three months ended March 31, 2020 included an insignificant decrease in revenue resulting from changes to estimated variable consideration in the current period relating to performance obligations satisfied or partially satisfied in previous periods. The remainder of the transaction price related to the U.S./RoW Agreement and China Agreement includes $115.3 million of variable consideration from estimated future co-development billing and is expected to be recognized over the remaining development service period, except for amounts allocated to the China performance obligation, which are expected to be recognized in a pattern consistent with estimated deliveries of the commercial drug product.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Revenue, Net</w:t>
      </w:r>
    </w:p>
    <w:p>
      <w:pPr>
        <w:spacing w:after="0" w:line="12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started commercial sales of roxadustat drug product in China in the third quarter of 2019. Drug product revenue is recognized in an amount that reflects the consideration to which the Company expects to be entitled in exchange for those products, net of price adjustment, contractual sales rebate and other discounts. Product revenue, net was as follows (in thousands):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171"/>
        </w:trPr>
        <w:tc>
          <w:tcPr>
            <w:tcW w:w="562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Gross revenue</w:t>
            </w:r>
          </w:p>
        </w:tc>
        <w:tc>
          <w:tcPr>
            <w:tcW w:w="520" w:type="dxa"/>
            <w:vAlign w:val="bottom"/>
            <w:shd w:val="clear" w:color="auto" w:fill="CFF0FC"/>
          </w:tcPr>
          <w:p>
            <w:pPr>
              <w:jc w:val="right"/>
              <w:ind w:right="336"/>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5,372</w:t>
            </w:r>
          </w:p>
        </w:tc>
        <w:tc>
          <w:tcPr>
            <w:tcW w:w="80" w:type="dxa"/>
            <w:vAlign w:val="bottom"/>
            <w:shd w:val="clear" w:color="auto" w:fill="CFF0FC"/>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Arial" w:cs="Arial" w:eastAsia="Arial" w:hAnsi="Arial"/>
                <w:sz w:val="18"/>
                <w:szCs w:val="18"/>
                <w:color w:val="auto"/>
              </w:rPr>
              <w:t>Contractual sales rebate</w:t>
            </w:r>
          </w:p>
        </w:tc>
        <w:tc>
          <w:tcPr>
            <w:tcW w:w="52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(376)</w:t>
            </w:r>
          </w:p>
        </w:tc>
      </w:tr>
      <w:tr>
        <w:trPr>
          <w:trHeight w:val="229"/>
        </w:trPr>
        <w:tc>
          <w:tcPr>
            <w:tcW w:w="5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Key account hospital sales rebate</w:t>
            </w:r>
          </w:p>
        </w:tc>
        <w:tc>
          <w:tcPr>
            <w:tcW w:w="5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5620" w:type="dxa"/>
            <w:vAlign w:val="bottom"/>
          </w:tcPr>
          <w:p>
            <w:pPr>
              <w:ind w:left="120"/>
              <w:spacing w:after="0"/>
              <w:rPr>
                <w:sz w:val="20"/>
                <w:szCs w:val="20"/>
                <w:color w:val="auto"/>
              </w:rPr>
            </w:pPr>
            <w:r>
              <w:rPr>
                <w:rFonts w:ascii="Arial" w:cs="Arial" w:eastAsia="Arial" w:hAnsi="Arial"/>
                <w:sz w:val="18"/>
                <w:szCs w:val="18"/>
                <w:color w:val="auto"/>
              </w:rPr>
              <w:t>Transfer fee discount</w:t>
            </w:r>
          </w:p>
        </w:tc>
        <w:tc>
          <w:tcPr>
            <w:tcW w:w="52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23"/>
        </w:trPr>
        <w:tc>
          <w:tcPr>
            <w:tcW w:w="562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Product revenue, net</w:t>
            </w:r>
          </w:p>
        </w:tc>
        <w:tc>
          <w:tcPr>
            <w:tcW w:w="52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For the three months ended March 31, 2020, the contractual sales rebate was $0.4 million, which was calculated based on the stated percentage of gross sales by each distributor in the distribution agreement entered between FibroGen and each distributor. All other rebates including sales return allowance were immaterial for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roll-forward of accounts receivable allowances related to product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193"/>
              <w:spacing w:after="0"/>
              <w:rPr>
                <w:sz w:val="20"/>
                <w:szCs w:val="20"/>
                <w:color w:val="auto"/>
              </w:rPr>
            </w:pPr>
            <w:r>
              <w:rPr>
                <w:rFonts w:ascii="Arial" w:cs="Arial" w:eastAsia="Arial" w:hAnsi="Arial"/>
                <w:sz w:val="14"/>
                <w:szCs w:val="14"/>
                <w:b w:val="1"/>
                <w:bCs w:val="1"/>
                <w:color w:val="auto"/>
              </w:rPr>
              <w:t>Balance at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Current Period</w:t>
            </w:r>
          </w:p>
        </w:tc>
        <w:tc>
          <w:tcPr>
            <w:tcW w:w="3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Credits / Payments</w:t>
            </w:r>
          </w:p>
        </w:tc>
        <w:tc>
          <w:tcPr>
            <w:tcW w:w="30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 at March</w:t>
            </w:r>
          </w:p>
        </w:tc>
        <w:tc>
          <w:tcPr>
            <w:tcW w:w="0" w:type="dxa"/>
            <w:vAlign w:val="bottom"/>
          </w:tcPr>
          <w:p>
            <w:pPr>
              <w:spacing w:after="0"/>
              <w:rPr>
                <w:sz w:val="1"/>
                <w:szCs w:val="1"/>
                <w:color w:val="auto"/>
              </w:rPr>
            </w:pPr>
          </w:p>
        </w:tc>
      </w:tr>
      <w:tr>
        <w:trPr>
          <w:trHeight w:val="171"/>
        </w:trPr>
        <w:tc>
          <w:tcPr>
            <w:tcW w:w="536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December 31, 2019</w:t>
            </w:r>
          </w:p>
        </w:tc>
        <w:tc>
          <w:tcPr>
            <w:tcW w:w="3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Additions</w:t>
            </w:r>
          </w:p>
        </w:tc>
        <w:tc>
          <w:tcPr>
            <w:tcW w:w="320" w:type="dxa"/>
            <w:vAlign w:val="bottom"/>
            <w:tcBorders>
              <w:bottom w:val="single" w:sz="8" w:color="CFF0FC"/>
            </w:tcBorders>
          </w:tcPr>
          <w:p>
            <w:pPr>
              <w:spacing w:after="0"/>
              <w:rPr>
                <w:sz w:val="14"/>
                <w:szCs w:val="14"/>
                <w:color w:val="auto"/>
              </w:rPr>
            </w:pPr>
          </w:p>
        </w:tc>
        <w:tc>
          <w:tcPr>
            <w:tcW w:w="120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31, 2020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Price adjustment</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Contractual sales rebate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376</w:t>
            </w: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Key account hospital sales rebate</w:t>
            </w: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660" w:type="dxa"/>
            <w:vAlign w:val="bottom"/>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Transfer fee discount</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3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w:t>
            </w:r>
          </w:p>
        </w:tc>
        <w:tc>
          <w:tcPr>
            <w:tcW w:w="3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above contractual allowances are recorded as reductions of the gross accounts receivable from the distributor in the same period that the related revenue is recorded, and applied to future sales orders made by the distributor under the Company’s discretion.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consist primarily of collagen material sold for research purposes. Other revenues were immaterial for all periods presented.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Deferred revenue represents amounts billed, or in certain cases, yet to be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obligations. The long-term portion of deferred revenue represents amounts to be recognized after one year through the end of the non-contingent performance period of the underlying performance obligations.</w:t>
      </w:r>
    </w:p>
    <w:p>
      <w:pPr>
        <w:spacing w:after="0" w:line="188"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Deferred revenue includes amounts allocated to the China unit of accounting under the AstraZeneca arrangement as revenue recognition associated with this unit of accounting is tied to the commercial launch of the products within China. As of March 31, 2020, approximately $1.7 million of the related deferred revenue was included in short-term deferred revenue, which represents the amount of deferred revenue associated with the China unit of accounting that is expected to be recognized within the next 12 months, as a result of the transfer of control of commercial drug product in China.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March 31, 2020</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51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303,265</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80,489</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383,754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72,148</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72,148</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Certificate of deposit</w:t>
            </w:r>
          </w:p>
        </w:tc>
        <w:tc>
          <w:tcPr>
            <w:tcW w:w="30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30,115</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30,115</w:t>
            </w:r>
          </w:p>
        </w:tc>
        <w:tc>
          <w:tcPr>
            <w:tcW w:w="100" w:type="dxa"/>
            <w:vAlign w:val="bottom"/>
          </w:tcPr>
          <w:p>
            <w:pPr>
              <w:spacing w:after="0"/>
              <w:rPr>
                <w:sz w:val="19"/>
                <w:szCs w:val="19"/>
                <w:color w:val="auto"/>
              </w:rPr>
            </w:pPr>
          </w:p>
        </w:tc>
      </w:tr>
      <w:tr>
        <w:trPr>
          <w:trHeight w:val="223"/>
        </w:trPr>
        <w:tc>
          <w:tcPr>
            <w:tcW w:w="4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375,636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110,604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486,240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5"/>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tcPr>
          <w:p>
            <w:pPr>
              <w:jc w:val="right"/>
              <w:ind w:right="9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jc w:val="right"/>
              <w:ind w:right="513"/>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347,383</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80,123</w:t>
            </w:r>
          </w:p>
        </w:tc>
        <w:tc>
          <w:tcPr>
            <w:tcW w:w="26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Bond and mutual funds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10,816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85,551</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85,551</w:t>
            </w:r>
          </w:p>
        </w:tc>
        <w:tc>
          <w:tcPr>
            <w:tcW w:w="10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w:t>
            </w:r>
          </w:p>
        </w:tc>
        <w:tc>
          <w:tcPr>
            <w:tcW w:w="3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30,032</w:t>
            </w:r>
          </w:p>
        </w:tc>
        <w:tc>
          <w:tcPr>
            <w:tcW w:w="2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30,032</w:t>
            </w:r>
          </w:p>
        </w:tc>
        <w:tc>
          <w:tcPr>
            <w:tcW w:w="100" w:type="dxa"/>
            <w:vAlign w:val="bottom"/>
            <w:shd w:val="clear" w:color="auto" w:fill="CFF0FC"/>
          </w:tcPr>
          <w:p>
            <w:pPr>
              <w:spacing w:after="0"/>
              <w:rPr>
                <w:sz w:val="19"/>
                <w:szCs w:val="19"/>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444,005</w:t>
            </w: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110,155</w:t>
            </w:r>
          </w:p>
        </w:tc>
        <w:tc>
          <w:tcPr>
            <w:tcW w:w="2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554,160</w:t>
            </w:r>
          </w:p>
        </w:tc>
        <w:tc>
          <w:tcPr>
            <w:tcW w:w="100" w:type="dxa"/>
            <w:vAlign w:val="bottom"/>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liabilities that are carried at historical cost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4"/>
              </w:rPr>
              <w:t>March 31, 2020</w:t>
            </w: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3"/>
                <w:szCs w:val="13"/>
                <w:color w:val="auto"/>
              </w:rPr>
            </w:pPr>
          </w:p>
        </w:tc>
        <w:tc>
          <w:tcPr>
            <w:tcW w:w="12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6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1,443</w:t>
            </w:r>
          </w:p>
        </w:tc>
        <w:tc>
          <w:tcPr>
            <w:tcW w:w="120" w:type="dxa"/>
            <w:vAlign w:val="bottom"/>
            <w:tcBorders>
              <w:top w:val="single" w:sz="8" w:color="CFF0FC"/>
            </w:tcBorders>
            <w:shd w:val="clear" w:color="auto" w:fill="CFF0FC"/>
          </w:tcPr>
          <w:p>
            <w:pPr>
              <w:spacing w:after="0"/>
              <w:rPr>
                <w:sz w:val="19"/>
                <w:szCs w:val="19"/>
                <w:color w:val="auto"/>
              </w:rPr>
            </w:pPr>
          </w:p>
        </w:tc>
      </w:tr>
      <w:tr>
        <w:trPr>
          <w:trHeight w:val="392"/>
        </w:trPr>
        <w:tc>
          <w:tcPr>
            <w:tcW w:w="4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center"/>
              <w:ind w:left="642"/>
              <w:spacing w:after="0"/>
              <w:rPr>
                <w:sz w:val="20"/>
                <w:szCs w:val="20"/>
                <w:color w:val="auto"/>
              </w:rPr>
            </w:pPr>
            <w:r>
              <w:rPr>
                <w:rFonts w:ascii="Arial" w:cs="Arial" w:eastAsia="Arial" w:hAnsi="Arial"/>
                <w:sz w:val="14"/>
                <w:szCs w:val="14"/>
                <w:b w:val="1"/>
                <w:bCs w:val="1"/>
                <w:color w:val="auto"/>
                <w:w w:val="91"/>
              </w:rPr>
              <w:t>December 31, 2019</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4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3"/>
                <w:szCs w:val="13"/>
                <w:color w:val="auto"/>
              </w:rPr>
            </w:pPr>
          </w:p>
        </w:tc>
        <w:tc>
          <w:tcPr>
            <w:tcW w:w="144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Level 2</w:t>
            </w:r>
          </w:p>
        </w:tc>
        <w:tc>
          <w:tcPr>
            <w:tcW w:w="480" w:type="dxa"/>
            <w:vAlign w:val="bottom"/>
          </w:tcPr>
          <w:p>
            <w:pPr>
              <w:spacing w:after="0"/>
              <w:rPr>
                <w:sz w:val="13"/>
                <w:szCs w:val="13"/>
                <w:color w:val="auto"/>
              </w:rPr>
            </w:pPr>
          </w:p>
        </w:tc>
        <w:tc>
          <w:tcPr>
            <w:tcW w:w="128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3"/>
                <w:szCs w:val="13"/>
                <w:color w:val="auto"/>
              </w:rPr>
            </w:pPr>
          </w:p>
        </w:tc>
        <w:tc>
          <w:tcPr>
            <w:tcW w:w="1160" w:type="dxa"/>
            <w:vAlign w:val="bottom"/>
          </w:tcPr>
          <w:p>
            <w:pPr>
              <w:jc w:val="right"/>
              <w:ind w:right="51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fair values of the Company’s financial liabilities were derived by using an income approach, which required Level 3 inputs such as discounted estimated future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levels for any of the periods presented.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assets and related lease liabilities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Balance Sheet Line Item</w:t>
            </w:r>
          </w:p>
        </w:tc>
        <w:tc>
          <w:tcPr>
            <w:tcW w:w="160" w:type="dxa"/>
            <w:vAlign w:val="bottom"/>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2019</w:t>
            </w: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Finance:</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 cost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49,918</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49,909</w:t>
            </w: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(12,901)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(10,307)</w:t>
            </w:r>
          </w:p>
        </w:tc>
      </w:tr>
      <w:tr>
        <w:trPr>
          <w:trHeight w:val="223"/>
        </w:trPr>
        <w:tc>
          <w:tcPr>
            <w:tcW w:w="40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Finance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Finance lease right-of-use assets</w:t>
            </w: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37,017</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color w:val="auto"/>
              </w:rPr>
              <w:t>Operating:</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Right-of-use assets - cost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CFF0FC"/>
          </w:tcPr>
          <w:p>
            <w:pPr>
              <w:spacing w:after="0"/>
              <w:rPr>
                <w:sz w:val="19"/>
                <w:szCs w:val="19"/>
                <w:color w:val="auto"/>
              </w:rPr>
            </w:pPr>
          </w:p>
        </w:tc>
      </w:tr>
      <w:tr>
        <w:trPr>
          <w:trHeight w:val="230"/>
        </w:trPr>
        <w:tc>
          <w:tcPr>
            <w:tcW w:w="4080" w:type="dxa"/>
            <w:vAlign w:val="bottom"/>
          </w:tcPr>
          <w:p>
            <w:pPr>
              <w:ind w:left="140"/>
              <w:spacing w:after="0"/>
              <w:rPr>
                <w:sz w:val="20"/>
                <w:szCs w:val="20"/>
                <w:color w:val="auto"/>
              </w:rPr>
            </w:pPr>
            <w:r>
              <w:rPr>
                <w:rFonts w:ascii="Arial" w:cs="Arial" w:eastAsia="Arial" w:hAnsi="Arial"/>
                <w:sz w:val="18"/>
                <w:szCs w:val="18"/>
                <w:color w:val="auto"/>
              </w:rPr>
              <w:t>Accumulated amortization</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(1,078)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(805)</w:t>
            </w:r>
          </w:p>
        </w:tc>
      </w:tr>
      <w:tr>
        <w:trPr>
          <w:trHeight w:val="223"/>
        </w:trPr>
        <w:tc>
          <w:tcPr>
            <w:tcW w:w="408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Operating lease right-of-use assets, net</w:t>
            </w:r>
          </w:p>
        </w:tc>
        <w:tc>
          <w:tcPr>
            <w:tcW w:w="39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4080" w:type="dxa"/>
            <w:vAlign w:val="bottom"/>
            <w:tcBorders>
              <w:bottom w:val="single" w:sz="8" w:color="CFF0FC"/>
            </w:tcBorders>
          </w:tcPr>
          <w:p>
            <w:pPr>
              <w:jc w:val="right"/>
              <w:ind w:right="2130"/>
              <w:spacing w:after="0"/>
              <w:rPr>
                <w:sz w:val="20"/>
                <w:szCs w:val="20"/>
                <w:color w:val="auto"/>
              </w:rPr>
            </w:pPr>
            <w:r>
              <w:rPr>
                <w:rFonts w:ascii="Arial" w:cs="Arial" w:eastAsia="Arial" w:hAnsi="Arial"/>
                <w:sz w:val="18"/>
                <w:szCs w:val="18"/>
                <w:color w:val="auto"/>
              </w:rPr>
              <w:t>Total lease assets</w:t>
            </w:r>
          </w:p>
        </w:tc>
        <w:tc>
          <w:tcPr>
            <w:tcW w:w="38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38,675</w:t>
            </w:r>
          </w:p>
        </w:tc>
        <w:tc>
          <w:tcPr>
            <w:tcW w:w="1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41,533</w:t>
            </w:r>
          </w:p>
        </w:tc>
        <w:tc>
          <w:tcPr>
            <w:tcW w:w="120" w:type="dxa"/>
            <w:vAlign w:val="bottom"/>
            <w:tcBorders>
              <w:bottom w:val="single" w:sz="8" w:color="CFF0FC"/>
            </w:tcBorders>
          </w:tcPr>
          <w:p>
            <w:pPr>
              <w:spacing w:after="0"/>
              <w:rPr>
                <w:sz w:val="22"/>
                <w:szCs w:val="22"/>
                <w:color w:val="auto"/>
              </w:rPr>
            </w:pPr>
          </w:p>
        </w:tc>
      </w:tr>
      <w:tr>
        <w:trPr>
          <w:trHeight w:val="210"/>
        </w:trPr>
        <w:tc>
          <w:tcPr>
            <w:tcW w:w="4080" w:type="dxa"/>
            <w:vAlign w:val="bottom"/>
            <w:shd w:val="clear" w:color="auto" w:fill="CFF0FC"/>
          </w:tcPr>
          <w:p>
            <w:pPr>
              <w:spacing w:after="0"/>
              <w:rPr>
                <w:sz w:val="18"/>
                <w:szCs w:val="18"/>
                <w:color w:val="auto"/>
              </w:rPr>
            </w:pPr>
          </w:p>
        </w:tc>
        <w:tc>
          <w:tcPr>
            <w:tcW w:w="3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40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3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tcPr>
          <w:p>
            <w:pPr>
              <w:spacing w:after="0"/>
              <w:rPr>
                <w:sz w:val="20"/>
                <w:szCs w:val="20"/>
                <w:color w:val="auto"/>
              </w:rPr>
            </w:pPr>
            <w:r>
              <w:rPr>
                <w:rFonts w:ascii="Arial" w:cs="Arial" w:eastAsia="Arial" w:hAnsi="Arial"/>
                <w:sz w:val="18"/>
                <w:szCs w:val="18"/>
                <w:color w:val="auto"/>
              </w:rPr>
              <w:t>Finance lease liabilities, current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12,396</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12,351</w:t>
            </w:r>
          </w:p>
        </w:tc>
        <w:tc>
          <w:tcPr>
            <w:tcW w:w="120" w:type="dxa"/>
            <w:vAlign w:val="bottom"/>
          </w:tcPr>
          <w:p>
            <w:pPr>
              <w:spacing w:after="0"/>
              <w:rPr>
                <w:sz w:val="19"/>
                <w:szCs w:val="19"/>
                <w:color w:val="auto"/>
              </w:rPr>
            </w:pPr>
          </w:p>
        </w:tc>
      </w:tr>
      <w:tr>
        <w:trPr>
          <w:trHeight w:val="229"/>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120" w:type="dxa"/>
            <w:vAlign w:val="bottom"/>
            <w:shd w:val="clear" w:color="auto" w:fill="CFF0FC"/>
          </w:tcPr>
          <w:p>
            <w:pPr>
              <w:spacing w:after="0"/>
              <w:rPr>
                <w:sz w:val="19"/>
                <w:szCs w:val="19"/>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Non-current:</w:t>
            </w:r>
          </w:p>
        </w:tc>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Finance lease liabilities</w:t>
            </w:r>
          </w:p>
        </w:tc>
        <w:tc>
          <w:tcPr>
            <w:tcW w:w="3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Finance lease liabilities, non-current</w:t>
            </w: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34,545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37,610</w:t>
            </w:r>
          </w:p>
        </w:tc>
        <w:tc>
          <w:tcPr>
            <w:tcW w:w="120" w:type="dxa"/>
            <w:vAlign w:val="bottom"/>
            <w:shd w:val="clear" w:color="auto" w:fill="CFF0FC"/>
          </w:tcPr>
          <w:p>
            <w:pPr>
              <w:spacing w:after="0"/>
              <w:rPr>
                <w:sz w:val="19"/>
                <w:szCs w:val="19"/>
                <w:color w:val="auto"/>
              </w:rPr>
            </w:pPr>
          </w:p>
        </w:tc>
      </w:tr>
      <w:tr>
        <w:trPr>
          <w:trHeight w:val="230"/>
        </w:trPr>
        <w:tc>
          <w:tcPr>
            <w:tcW w:w="40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Operating lease liabilities</w:t>
            </w:r>
          </w:p>
        </w:tc>
        <w:tc>
          <w:tcPr>
            <w:tcW w:w="39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FF0FC"/>
            </w:tcBorders>
          </w:tcPr>
          <w:p>
            <w:pPr>
              <w:spacing w:after="0"/>
              <w:rPr>
                <w:sz w:val="19"/>
                <w:szCs w:val="19"/>
                <w:color w:val="auto"/>
              </w:rPr>
            </w:pPr>
          </w:p>
        </w:tc>
      </w:tr>
      <w:tr>
        <w:trPr>
          <w:trHeight w:val="223"/>
        </w:trPr>
        <w:tc>
          <w:tcPr>
            <w:tcW w:w="4080" w:type="dxa"/>
            <w:vAlign w:val="bottom"/>
            <w:tcBorders>
              <w:bottom w:val="single" w:sz="8" w:color="CFF0FC"/>
            </w:tcBorders>
            <w:shd w:val="clear" w:color="auto" w:fill="CFF0FC"/>
          </w:tcPr>
          <w:p>
            <w:pPr>
              <w:jc w:val="right"/>
              <w:ind w:right="2130"/>
              <w:spacing w:after="0"/>
              <w:rPr>
                <w:sz w:val="20"/>
                <w:szCs w:val="20"/>
                <w:color w:val="auto"/>
              </w:rPr>
            </w:pPr>
            <w:r>
              <w:rPr>
                <w:rFonts w:ascii="Arial" w:cs="Arial" w:eastAsia="Arial" w:hAnsi="Arial"/>
                <w:sz w:val="18"/>
                <w:szCs w:val="18"/>
                <w:color w:val="auto"/>
              </w:rPr>
              <w:t>Total lease liabilities</w:t>
            </w:r>
          </w:p>
        </w:tc>
        <w:tc>
          <w:tcPr>
            <w:tcW w:w="38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48,519</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51,886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494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Statement of Operations Line Item</w:t>
            </w:r>
          </w:p>
        </w:tc>
        <w:tc>
          <w:tcPr>
            <w:tcW w:w="320" w:type="dxa"/>
            <w:vAlign w:val="bottom"/>
          </w:tcPr>
          <w:p>
            <w:pPr>
              <w:spacing w:after="0"/>
              <w:rPr>
                <w:sz w:val="14"/>
                <w:szCs w:val="14"/>
                <w:color w:val="auto"/>
              </w:rPr>
            </w:pPr>
          </w:p>
        </w:tc>
        <w:tc>
          <w:tcPr>
            <w:tcW w:w="29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4940" w:type="dxa"/>
            <w:vAlign w:val="bottom"/>
            <w:gridSpan w:val="3"/>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380" w:type="dxa"/>
            <w:vAlign w:val="bottom"/>
            <w:tcBorders>
              <w:top w:val="single" w:sz="8" w:color="CFF0FC"/>
            </w:tcBorders>
            <w:shd w:val="clear" w:color="auto" w:fill="CFF0FC"/>
          </w:tcPr>
          <w:p>
            <w:pPr>
              <w:spacing w:after="0"/>
              <w:rPr>
                <w:sz w:val="19"/>
                <w:szCs w:val="19"/>
                <w:color w:val="auto"/>
              </w:rPr>
            </w:pPr>
          </w:p>
        </w:tc>
        <w:tc>
          <w:tcPr>
            <w:tcW w:w="43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40" w:type="dxa"/>
            <w:vAlign w:val="bottom"/>
          </w:tcPr>
          <w:p>
            <w:pPr>
              <w:ind w:left="140"/>
              <w:spacing w:after="0"/>
              <w:rPr>
                <w:sz w:val="20"/>
                <w:szCs w:val="20"/>
                <w:color w:val="auto"/>
              </w:rPr>
            </w:pPr>
            <w:r>
              <w:rPr>
                <w:rFonts w:ascii="Arial" w:cs="Arial" w:eastAsia="Arial" w:hAnsi="Arial"/>
                <w:sz w:val="18"/>
                <w:szCs w:val="18"/>
                <w:color w:val="auto"/>
              </w:rPr>
              <w:t>Amortization of right-of-use assets</w:t>
            </w:r>
          </w:p>
        </w:tc>
        <w:tc>
          <w:tcPr>
            <w:tcW w:w="4940" w:type="dxa"/>
            <w:vAlign w:val="bottom"/>
            <w:gridSpan w:val="3"/>
          </w:tcPr>
          <w:p>
            <w:pPr>
              <w:ind w:left="380"/>
              <w:spacing w:after="0"/>
              <w:rPr>
                <w:sz w:val="20"/>
                <w:szCs w:val="20"/>
                <w:color w:val="auto"/>
              </w:rPr>
            </w:pPr>
            <w:r>
              <w:rPr>
                <w:rFonts w:ascii="Arial" w:cs="Arial" w:eastAsia="Arial" w:hAnsi="Arial"/>
                <w:sz w:val="18"/>
                <w:szCs w:val="18"/>
                <w:color w:val="auto"/>
              </w:rPr>
              <w:t>Cost of goods sold; Research and development;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2,594</w:t>
            </w:r>
          </w:p>
        </w:tc>
        <w:tc>
          <w:tcPr>
            <w:tcW w:w="180" w:type="dxa"/>
            <w:vAlign w:val="bottom"/>
          </w:tcPr>
          <w:p>
            <w:pPr>
              <w:spacing w:after="0"/>
              <w:rPr>
                <w:sz w:val="18"/>
                <w:szCs w:val="18"/>
                <w:color w:val="auto"/>
              </w:rPr>
            </w:pP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4940" w:type="dxa"/>
            <w:vAlign w:val="bottom"/>
            <w:gridSpan w:val="3"/>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on lease liabilities</w:t>
            </w:r>
          </w:p>
        </w:tc>
        <w:tc>
          <w:tcPr>
            <w:tcW w:w="49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040" w:type="dxa"/>
            <w:vAlign w:val="bottom"/>
          </w:tcPr>
          <w:p>
            <w:pPr>
              <w:spacing w:after="0"/>
              <w:rPr>
                <w:sz w:val="20"/>
                <w:szCs w:val="20"/>
                <w:color w:val="auto"/>
              </w:rPr>
            </w:pPr>
            <w:r>
              <w:rPr>
                <w:rFonts w:ascii="Arial" w:cs="Arial" w:eastAsia="Arial" w:hAnsi="Arial"/>
                <w:sz w:val="18"/>
                <w:szCs w:val="18"/>
                <w:color w:val="auto"/>
              </w:rPr>
              <w:t>Operating lease cost</w:t>
            </w:r>
          </w:p>
        </w:tc>
        <w:tc>
          <w:tcPr>
            <w:tcW w:w="4940" w:type="dxa"/>
            <w:vAlign w:val="bottom"/>
            <w:gridSpan w:val="3"/>
          </w:tcPr>
          <w:p>
            <w:pPr>
              <w:ind w:left="380"/>
              <w:spacing w:after="0"/>
              <w:rPr>
                <w:sz w:val="20"/>
                <w:szCs w:val="20"/>
                <w:color w:val="auto"/>
              </w:rPr>
            </w:pPr>
            <w:r>
              <w:rPr>
                <w:rFonts w:ascii="Arial" w:cs="Arial" w:eastAsia="Arial" w:hAnsi="Arial"/>
                <w:sz w:val="18"/>
                <w:szCs w:val="18"/>
                <w:color w:val="auto"/>
              </w:rPr>
              <w:t>Cost of goods sold; Research and development;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4940" w:type="dxa"/>
            <w:vAlign w:val="bottom"/>
            <w:gridSpan w:val="3"/>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49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3"/>
        </w:trPr>
        <w:tc>
          <w:tcPr>
            <w:tcW w:w="3040" w:type="dxa"/>
            <w:vAlign w:val="bottom"/>
          </w:tcPr>
          <w:p>
            <w:pPr>
              <w:ind w:left="140"/>
              <w:spacing w:after="0"/>
              <w:rPr>
                <w:sz w:val="20"/>
                <w:szCs w:val="20"/>
                <w:color w:val="auto"/>
              </w:rPr>
            </w:pPr>
            <w:r>
              <w:rPr>
                <w:rFonts w:ascii="Arial" w:cs="Arial" w:eastAsia="Arial" w:hAnsi="Arial"/>
                <w:sz w:val="18"/>
                <w:szCs w:val="18"/>
                <w:color w:val="auto"/>
              </w:rPr>
              <w:t>Total lease cost</w:t>
            </w:r>
          </w:p>
        </w:tc>
        <w:tc>
          <w:tcPr>
            <w:tcW w:w="3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4740" w:type="dxa"/>
            <w:vAlign w:val="bottom"/>
            <w:gridSpan w:val="2"/>
            <w:vMerge w:val="restart"/>
          </w:tcPr>
          <w:p>
            <w:pPr>
              <w:jc w:val="right"/>
              <w:ind w:right="20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40" w:type="dxa"/>
            <w:vAlign w:val="bottom"/>
          </w:tcPr>
          <w:p>
            <w:pPr>
              <w:spacing w:after="0"/>
              <w:rPr>
                <w:sz w:val="24"/>
                <w:szCs w:val="24"/>
                <w:color w:val="auto"/>
              </w:rPr>
            </w:pPr>
          </w:p>
        </w:tc>
        <w:tc>
          <w:tcPr>
            <w:tcW w:w="47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4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Supplemental cash flow information related to leases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8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5"/>
              </w:rPr>
              <w:t>Cash paid for amounts included in the measurement of lease liabilities:</w:t>
            </w: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Operating cash flows from operating leases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54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w w:val="93"/>
              </w:rPr>
              <w:t>149</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cash flows from finance leases</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3"/>
              </w:rPr>
              <w:t>517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Financing cash flows from finance leases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6"/>
          </w:tcPr>
          <w:p>
            <w:pPr>
              <w:jc w:val="right"/>
              <w:ind w:right="20"/>
              <w:spacing w:after="0"/>
              <w:rPr>
                <w:sz w:val="20"/>
                <w:szCs w:val="20"/>
                <w:color w:val="auto"/>
              </w:rPr>
            </w:pPr>
            <w:r>
              <w:rPr>
                <w:rFonts w:ascii="Arial" w:cs="Arial" w:eastAsia="Arial" w:hAnsi="Arial"/>
                <w:sz w:val="18"/>
                <w:szCs w:val="18"/>
                <w:color w:val="auto"/>
              </w:rPr>
              <w:t>2,814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w w:val="91"/>
              </w:rPr>
              <w:t>Right-of-use assets obtained in exchange for new lease liabilities:</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49,598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940" w:type="dxa"/>
            <w:vAlign w:val="bottom"/>
            <w:gridSpan w:val="3"/>
          </w:tcPr>
          <w:p>
            <w:pPr>
              <w:ind w:left="40"/>
              <w:spacing w:after="0"/>
              <w:rPr>
                <w:sz w:val="20"/>
                <w:szCs w:val="20"/>
                <w:color w:val="auto"/>
              </w:rPr>
            </w:pPr>
            <w:r>
              <w:rPr>
                <w:rFonts w:ascii="Arial" w:cs="Arial" w:eastAsia="Arial" w:hAnsi="Arial"/>
                <w:sz w:val="18"/>
                <w:szCs w:val="18"/>
                <w:color w:val="auto"/>
              </w:rPr>
              <w:t>Lease term and discount rate were as follows: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ind w:left="6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(years):</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leases</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gridSpan w:val="4"/>
          </w:tcPr>
          <w:p>
            <w:pPr>
              <w:jc w:val="right"/>
              <w:spacing w:after="0"/>
              <w:rPr>
                <w:sz w:val="20"/>
                <w:szCs w:val="20"/>
                <w:color w:val="auto"/>
              </w:rPr>
            </w:pPr>
            <w:r>
              <w:rPr>
                <w:rFonts w:ascii="Arial" w:cs="Arial" w:eastAsia="Arial" w:hAnsi="Arial"/>
                <w:sz w:val="18"/>
                <w:szCs w:val="18"/>
                <w:color w:val="auto"/>
              </w:rPr>
              <w:t>4.75%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431"/>
        </w:trPr>
        <w:tc>
          <w:tcPr>
            <w:tcW w:w="5940" w:type="dxa"/>
            <w:vAlign w:val="bottom"/>
            <w:gridSpan w:val="3"/>
          </w:tcPr>
          <w:p>
            <w:pPr>
              <w:spacing w:after="0"/>
              <w:rPr>
                <w:sz w:val="20"/>
                <w:szCs w:val="20"/>
                <w:color w:val="auto"/>
              </w:rPr>
            </w:pPr>
            <w:r>
              <w:rPr>
                <w:rFonts w:ascii="Arial" w:cs="Arial" w:eastAsia="Arial" w:hAnsi="Arial"/>
                <w:sz w:val="18"/>
                <w:szCs w:val="18"/>
                <w:color w:val="auto"/>
                <w:w w:val="93"/>
              </w:rPr>
              <w:t>Maturities of lease liabilities as of March 31, 2020 are as follows (in thousands):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spacing w:after="0"/>
              <w:rPr>
                <w:sz w:val="24"/>
                <w:szCs w:val="24"/>
                <w:color w:val="auto"/>
              </w:rPr>
            </w:pPr>
          </w:p>
        </w:tc>
        <w:tc>
          <w:tcPr>
            <w:tcW w:w="5620" w:type="dxa"/>
            <w:vAlign w:val="bottom"/>
            <w:gridSpan w:val="2"/>
          </w:tcPr>
          <w:p>
            <w:pPr>
              <w:ind w:left="820"/>
              <w:spacing w:after="0"/>
              <w:rPr>
                <w:sz w:val="20"/>
                <w:szCs w:val="20"/>
                <w:color w:val="auto"/>
              </w:rPr>
            </w:pPr>
            <w:r>
              <w:rPr>
                <w:rFonts w:ascii="Arial" w:cs="Arial" w:eastAsia="Arial" w:hAnsi="Arial"/>
                <w:sz w:val="14"/>
                <w:szCs w:val="14"/>
                <w:b w:val="1"/>
                <w:bCs w:val="1"/>
                <w:color w:val="auto"/>
              </w:rPr>
              <w:t>Year Ending</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w w:val="90"/>
              </w:rPr>
              <w:t>Finance Leases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ind w:left="60"/>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 (Remaining nine month period)</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10,535</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689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13,680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13,883</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12,523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future lease payments</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50,621</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1,648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Less: Interest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3"/>
          </w:tcPr>
          <w:p>
            <w:pPr>
              <w:jc w:val="right"/>
              <w:ind w:right="60"/>
              <w:spacing w:after="0"/>
              <w:rPr>
                <w:sz w:val="20"/>
                <w:szCs w:val="20"/>
                <w:color w:val="auto"/>
              </w:rPr>
            </w:pPr>
            <w:r>
              <w:rPr>
                <w:rFonts w:ascii="Arial" w:cs="Arial" w:eastAsia="Arial" w:hAnsi="Arial"/>
                <w:sz w:val="18"/>
                <w:szCs w:val="18"/>
                <w:color w:val="auto"/>
              </w:rPr>
              <w:t>(3,680)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46,941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562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20" w:type="dxa"/>
            <w:vAlign w:val="bottom"/>
            <w:vMerge w:val="continue"/>
          </w:tcPr>
          <w:p>
            <w:pPr>
              <w:spacing w:after="0"/>
              <w:rPr>
                <w:sz w:val="24"/>
                <w:szCs w:val="24"/>
                <w:color w:val="auto"/>
              </w:rPr>
            </w:pPr>
          </w:p>
        </w:tc>
        <w:tc>
          <w:tcPr>
            <w:tcW w:w="56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Cash and Cash Equivalents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40" w:type="dxa"/>
            <w:vAlign w:val="bottom"/>
            <w:gridSpan w:val="3"/>
          </w:tcPr>
          <w:p>
            <w:pPr>
              <w:spacing w:after="0"/>
              <w:rPr>
                <w:sz w:val="20"/>
                <w:szCs w:val="20"/>
                <w:color w:val="auto"/>
              </w:rPr>
            </w:pPr>
            <w:r>
              <w:rPr>
                <w:rFonts w:ascii="Arial" w:cs="Arial" w:eastAsia="Arial" w:hAnsi="Arial"/>
                <w:sz w:val="18"/>
                <w:szCs w:val="18"/>
                <w:color w:val="auto"/>
              </w:rPr>
              <w:t>Cash and cash equivalents consisted of the following (in thousands):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6"/>
              </w:rPr>
              <w:t>March 31, 2020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49,412</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40,715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Money market funds</w:t>
            </w:r>
          </w:p>
        </w:tc>
        <w:tc>
          <w:tcPr>
            <w:tcW w:w="22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72,148</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85,551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121,560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126,266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March 31, 2020 and December 31, 2019, a total of $29.8 million and $11.9 million, respectively, of the Company’s cash and cash equivalents were held outside of the U.S. in its foreign subsidiaries to be used primarily for its China operations.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Company’s investments consist of available-for-sale debt investments, marketable equity investments, term deposit and certificate of deposit. The amortized cost, gross unrealized holding gains or losses, and fair value of the Company’s investments by major investments type are summarized in the tables below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6"/>
              </w:rPr>
              <w:t>March 31, 2020</w:t>
            </w: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6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6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Holding Gains</w:t>
            </w:r>
          </w:p>
        </w:tc>
        <w:tc>
          <w:tcPr>
            <w:tcW w:w="16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Holding Losses</w:t>
            </w: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381,238</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2,516</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383,754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411,363</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2,729</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6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62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240" w:type="dxa"/>
            <w:vAlign w:val="bottom"/>
          </w:tcPr>
          <w:p>
            <w:pPr>
              <w:spacing w:after="0"/>
              <w:rPr>
                <w:sz w:val="11"/>
                <w:szCs w:val="11"/>
                <w:color w:val="auto"/>
              </w:rPr>
            </w:pPr>
          </w:p>
        </w:tc>
        <w:tc>
          <w:tcPr>
            <w:tcW w:w="13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Holding Gains</w:t>
            </w:r>
          </w:p>
        </w:tc>
        <w:tc>
          <w:tcPr>
            <w:tcW w:w="160" w:type="dxa"/>
            <w:vAlign w:val="bottom"/>
          </w:tcPr>
          <w:p>
            <w:pPr>
              <w:spacing w:after="0"/>
              <w:rPr>
                <w:sz w:val="14"/>
                <w:szCs w:val="14"/>
                <w:color w:val="auto"/>
              </w:rPr>
            </w:pPr>
          </w:p>
        </w:tc>
        <w:tc>
          <w:tcPr>
            <w:tcW w:w="16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Holding Losses</w:t>
            </w:r>
          </w:p>
        </w:tc>
        <w:tc>
          <w:tcPr>
            <w:tcW w:w="24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U.S. treasury notes and bills</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426,995</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427,506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Equity investments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467,850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468,609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At March 31, 2020, all of the available-for-sale investments had contractual maturities within one year. During the three months ended March 31, 2020, the Company did not recognize any other-than-temporary impairment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 (in thousands):</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Work-in-progress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19"/>
                <w:szCs w:val="19"/>
                <w:color w:val="auto"/>
              </w:rPr>
            </w:pP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w:t>
            </w:r>
          </w:p>
        </w:tc>
        <w:tc>
          <w:tcPr>
            <w:tcW w:w="80" w:type="dxa"/>
            <w:vAlign w:val="bottom"/>
            <w:shd w:val="clear" w:color="auto" w:fill="CFF0FC"/>
          </w:tcPr>
          <w:p>
            <w:pPr>
              <w:spacing w:after="0"/>
              <w:rPr>
                <w:sz w:val="19"/>
                <w:szCs w:val="19"/>
                <w:color w:val="auto"/>
              </w:rPr>
            </w:pPr>
          </w:p>
        </w:tc>
      </w:tr>
      <w:tr>
        <w:trPr>
          <w:trHeight w:val="223"/>
        </w:trPr>
        <w:tc>
          <w:tcPr>
            <w:tcW w:w="5220" w:type="dxa"/>
            <w:vAlign w:val="bottom"/>
          </w:tcPr>
          <w:p>
            <w:pPr>
              <w:ind w:left="240"/>
              <w:spacing w:after="0"/>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provision to write-down excess and obsolete inventory was nominal for the three months ended March 31,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 2019</w:t>
            </w: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Unbilled contract assets</w:t>
            </w: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130,000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ind w:left="120"/>
              <w:spacing w:after="0"/>
              <w:rPr>
                <w:sz w:val="20"/>
                <w:szCs w:val="20"/>
                <w:color w:val="auto"/>
              </w:rPr>
            </w:pPr>
            <w:r>
              <w:rPr>
                <w:rFonts w:ascii="Arial" w:cs="Arial" w:eastAsia="Arial" w:hAnsi="Arial"/>
                <w:sz w:val="18"/>
                <w:szCs w:val="18"/>
                <w:color w:val="auto"/>
              </w:rPr>
              <w:t>Deferred revenues from associated contracts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(3,442)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(54,790)</w:t>
            </w:r>
          </w:p>
        </w:tc>
      </w:tr>
      <w:tr>
        <w:trPr>
          <w:trHeight w:val="223"/>
        </w:trPr>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unbilled contract assets</w:t>
            </w:r>
          </w:p>
        </w:tc>
        <w:tc>
          <w:tcPr>
            <w:tcW w:w="8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126,558</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125,210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Prepaid assets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5,267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6,464</w:t>
            </w:r>
          </w:p>
        </w:tc>
        <w:tc>
          <w:tcPr>
            <w:tcW w:w="8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8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80" w:type="dxa"/>
            <w:vAlign w:val="bottom"/>
            <w:shd w:val="clear" w:color="auto" w:fill="CFF0FC"/>
          </w:tcPr>
          <w:p>
            <w:pPr>
              <w:spacing w:after="0"/>
              <w:rPr>
                <w:sz w:val="19"/>
                <w:szCs w:val="19"/>
                <w:color w:val="auto"/>
              </w:rPr>
            </w:pPr>
          </w:p>
        </w:tc>
      </w:tr>
      <w:tr>
        <w:trPr>
          <w:trHeight w:val="223"/>
        </w:trPr>
        <w:tc>
          <w:tcPr>
            <w:tcW w:w="4420" w:type="dxa"/>
            <w:vAlign w:val="bottom"/>
          </w:tcPr>
          <w:p>
            <w:pPr>
              <w:ind w:left="240"/>
              <w:spacing w:after="0"/>
              <w:rPr>
                <w:sz w:val="20"/>
                <w:szCs w:val="20"/>
                <w:color w:val="auto"/>
              </w:rPr>
            </w:pPr>
            <w:r>
              <w:rPr>
                <w:rFonts w:ascii="Arial" w:cs="Arial" w:eastAsia="Arial" w:hAnsi="Arial"/>
                <w:sz w:val="18"/>
                <w:szCs w:val="18"/>
                <w:color w:val="auto"/>
              </w:rPr>
              <w:t>Total prepaid expenses and other current assets</w:t>
            </w:r>
          </w:p>
        </w:tc>
        <w:tc>
          <w:tcPr>
            <w:tcW w:w="80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134,028</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133,391</w:t>
            </w:r>
          </w:p>
        </w:tc>
        <w:tc>
          <w:tcPr>
            <w:tcW w:w="8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unbilled contract assets as of March 31, 2020 were related to two regulatory milestones totaling $130.0 million under the Europe Agreement with Astellas associated with the planned MAA submission in Europe. The unbilled contract assets as of December 31, 2019 also included a $50.0 million regulatory milestone under the U.S./RoW Agreement with AstraZeneca associated with the NDA submission in the U.S, which was submitted in December 2019 and accepted for review in February 2020. Therefore, the $50.0 million milestone was billed during the first quarter of 2020, and recorded as accounts receivable as of March 31, 2020. See Note 2 for details.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March 31, 2020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101,721</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101,548</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Laboratory equipment</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17,359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17,329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Machinery</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8,229</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Computer equipment</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8,879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8,399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5,883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1,212</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143,283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143,107</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right"/>
              <w:ind w:right="60"/>
              <w:spacing w:after="0"/>
              <w:rPr>
                <w:sz w:val="20"/>
                <w:szCs w:val="20"/>
                <w:color w:val="auto"/>
              </w:rPr>
            </w:pPr>
            <w:r>
              <w:rPr>
                <w:rFonts w:ascii="Arial" w:cs="Arial" w:eastAsia="Arial" w:hAnsi="Arial"/>
                <w:sz w:val="18"/>
                <w:szCs w:val="18"/>
                <w:color w:val="auto"/>
              </w:rPr>
              <w:t>(103,225)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color w:val="auto"/>
              </w:rPr>
              <w:t>(100,364)</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40,058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42,743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Liabilities</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6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60" w:type="dxa"/>
            <w:vAlign w:val="bottom"/>
            <w:gridSpan w:val="2"/>
          </w:tcPr>
          <w:p>
            <w:pPr>
              <w:spacing w:after="0"/>
              <w:rPr>
                <w:sz w:val="20"/>
                <w:szCs w:val="20"/>
                <w:color w:val="auto"/>
              </w:rPr>
            </w:pPr>
            <w:r>
              <w:rPr>
                <w:rFonts w:ascii="Arial" w:cs="Arial" w:eastAsia="Arial" w:hAnsi="Arial"/>
                <w:sz w:val="18"/>
                <w:szCs w:val="18"/>
                <w:color w:val="auto"/>
              </w:rPr>
              <w:t>Accrued liabilities consisted of the following (in thousands):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6"/>
              </w:rPr>
              <w:t>March 31, 2020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1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16,704</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16,279</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API product price adjustment</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36,324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Payroll and related accruals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19,784</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Property taxes and other</w:t>
            </w: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4,033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liabilities</w:t>
            </w:r>
          </w:p>
        </w:tc>
        <w:tc>
          <w:tcPr>
            <w:tcW w:w="10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42,309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83,816</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amount of $36.3 million accrued as of December 31, 2019 was related to the change in estimated variable consideration of active pharmaceutical ingredient (“API”) product at the time the roxadustat listed price was issued by the Japanese Ministry of Health, Labour and Welfare. The amount was fully paid during the first quarter of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consisted of the following (in thousands):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long-term co-promotional expenses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78,301</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53,071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Other long-term tax liabilities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8,786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8,913</w:t>
            </w:r>
          </w:p>
        </w:tc>
        <w:tc>
          <w:tcPr>
            <w:tcW w:w="8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non-current</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FF0FC"/>
          </w:tcPr>
          <w:p>
            <w:pPr>
              <w:spacing w:after="0"/>
              <w:rPr>
                <w:sz w:val="19"/>
                <w:szCs w:val="19"/>
                <w:color w:val="auto"/>
              </w:rPr>
            </w:pPr>
          </w:p>
        </w:tc>
      </w:tr>
      <w:tr>
        <w:trPr>
          <w:trHeight w:val="230"/>
        </w:trPr>
        <w:tc>
          <w:tcPr>
            <w:tcW w:w="5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80" w:type="dxa"/>
            <w:vAlign w:val="bottom"/>
            <w:tcBorders>
              <w:bottom w:val="single" w:sz="8" w:color="CFF0FC"/>
            </w:tcBorders>
          </w:tcPr>
          <w:p>
            <w:pPr>
              <w:spacing w:after="0"/>
              <w:rPr>
                <w:sz w:val="19"/>
                <w:szCs w:val="19"/>
                <w:color w:val="auto"/>
              </w:rPr>
            </w:pPr>
          </w:p>
        </w:tc>
      </w:tr>
      <w:tr>
        <w:trPr>
          <w:trHeight w:val="223"/>
        </w:trPr>
        <w:tc>
          <w:tcPr>
            <w:tcW w:w="52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89,122</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64,266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accrued long-term co-promotional expenses of $78.3 million and $53.1 million as of March 31, 2020 and December 31, 2019, respectively, were related to the estimated amount payable to AstraZeneca for its sales and marketing efforts related to the commercial launch for roxadustat in China. The payment for such amount is not expected to occur within the next year.</w:t>
      </w:r>
    </w:p>
    <w:p>
      <w:pPr>
        <w:spacing w:after="0" w:line="288"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was allocated to research and development and selling, general and administrative expense as follows (in thousands):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40" w:type="dxa"/>
            <w:vAlign w:val="bottom"/>
            <w:tcBorders>
              <w:bottom w:val="single" w:sz="8" w:color="auto"/>
            </w:tcBorders>
            <w:gridSpan w:val="4"/>
          </w:tcPr>
          <w:p>
            <w:pPr>
              <w:jc w:val="right"/>
              <w:ind w:right="267"/>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40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jc w:val="right"/>
              <w:ind w:right="47"/>
              <w:spacing w:after="0" w:line="155" w:lineRule="exact"/>
              <w:rPr>
                <w:sz w:val="20"/>
                <w:szCs w:val="20"/>
                <w:color w:val="auto"/>
              </w:rPr>
            </w:pPr>
            <w:r>
              <w:rPr>
                <w:rFonts w:ascii="Arial" w:cs="Arial" w:eastAsia="Arial" w:hAnsi="Arial"/>
                <w:sz w:val="14"/>
                <w:szCs w:val="14"/>
                <w:b w:val="1"/>
                <w:bCs w:val="1"/>
                <w:color w:val="auto"/>
              </w:rPr>
              <w:t>2020</w:t>
            </w:r>
          </w:p>
        </w:tc>
        <w:tc>
          <w:tcPr>
            <w:tcW w:w="640" w:type="dxa"/>
            <w:vAlign w:val="bottom"/>
          </w:tcPr>
          <w:p>
            <w:pPr>
              <w:spacing w:after="0"/>
              <w:rPr>
                <w:sz w:val="13"/>
                <w:szCs w:val="13"/>
                <w:color w:val="auto"/>
              </w:rPr>
            </w:pPr>
          </w:p>
        </w:tc>
        <w:tc>
          <w:tcPr>
            <w:tcW w:w="1460" w:type="dxa"/>
            <w:vAlign w:val="bottom"/>
            <w:gridSpan w:val="2"/>
          </w:tcPr>
          <w:p>
            <w:pPr>
              <w:jc w:val="right"/>
              <w:ind w:right="47"/>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10,637</w:t>
            </w:r>
          </w:p>
        </w:tc>
        <w:tc>
          <w:tcPr>
            <w:tcW w:w="3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9,578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6,279</w:t>
            </w:r>
          </w:p>
        </w:tc>
        <w:tc>
          <w:tcPr>
            <w:tcW w:w="3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6,852</w:t>
            </w:r>
          </w:p>
        </w:tc>
        <w:tc>
          <w:tcPr>
            <w:tcW w:w="80" w:type="dxa"/>
            <w:vAlign w:val="bottom"/>
            <w:tcBorders>
              <w:bottom w:val="single" w:sz="8" w:color="CFF0FC"/>
            </w:tcBorders>
          </w:tcPr>
          <w:p>
            <w:pPr>
              <w:spacing w:after="0"/>
              <w:rPr>
                <w:sz w:val="19"/>
                <w:szCs w:val="19"/>
                <w:color w:val="auto"/>
              </w:rPr>
            </w:pPr>
          </w:p>
        </w:tc>
      </w:tr>
      <w:tr>
        <w:trPr>
          <w:trHeight w:val="223"/>
        </w:trPr>
        <w:tc>
          <w:tcPr>
            <w:tcW w:w="40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16,916</w:t>
            </w:r>
          </w:p>
        </w:tc>
        <w:tc>
          <w:tcPr>
            <w:tcW w:w="3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16,430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44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assumptions used to estimate the fair value of stock options granted and purchases under the Company’s 2014 Employee Share Purchase Plan (“ESPP”) using the Black-Scholes option valuation model were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68.3</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17.24</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34.14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0.5 - 2.0</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0.5 - 2.0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49.5 - 57.7 %</w:t>
            </w: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48.1 - 62.1 %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1.5 - 2.9 %</w:t>
            </w:r>
          </w:p>
        </w:tc>
        <w:tc>
          <w:tcPr>
            <w:tcW w:w="380" w:type="dxa"/>
            <w:vAlign w:val="bottom"/>
          </w:tcPr>
          <w:p>
            <w:pPr>
              <w:spacing w:after="0"/>
              <w:rPr>
                <w:sz w:val="19"/>
                <w:szCs w:val="19"/>
                <w:color w:val="auto"/>
              </w:rPr>
            </w:pPr>
          </w:p>
        </w:tc>
        <w:tc>
          <w:tcPr>
            <w:tcW w:w="1660" w:type="dxa"/>
            <w:vAlign w:val="bottom"/>
            <w:gridSpan w:val="2"/>
          </w:tcPr>
          <w:p>
            <w:pPr>
              <w:jc w:val="right"/>
              <w:ind w:right="70"/>
              <w:spacing w:after="0"/>
              <w:rPr>
                <w:sz w:val="20"/>
                <w:szCs w:val="20"/>
                <w:color w:val="auto"/>
              </w:rPr>
            </w:pPr>
            <w:r>
              <w:rPr>
                <w:rFonts w:ascii="Arial" w:cs="Arial" w:eastAsia="Arial" w:hAnsi="Arial"/>
                <w:sz w:val="18"/>
                <w:szCs w:val="18"/>
                <w:color w:val="auto"/>
              </w:rPr>
              <w:t>1.3 - 2.9 %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18.57</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20.57</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5"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benefits from income taxes for the three months ended March 31, 2020 and 2019 were primarily due to the tax effect arising from other comprehensive income related to available-for-sale securities, partially offset by foreign taxes.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enacted and signed into law. The CARES Act includes changes to the tax provisions that benefits business entities, and makes certain technical corrections to the 2017 Tax Cuts and Jobs Act. U.S. GAAP requires recognition of the tax effects of new legislation during the reporting period that includes the enactment date. The Company evaluated and determined that the impact is immaterial.</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Based upon the weight of available evidence, which includes its historical operating performance, reported cumulative net losses since inception, the Company has established and continues to maintain a full valuation allowance against its deferred tax assets as it does not currently believe that realization of those assets is more likely than not.</w:t>
      </w:r>
    </w:p>
    <w:p>
      <w:pPr>
        <w:spacing w:after="0" w:line="328"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Astellas is an equity investor in the Company and considered a related party. The Company recorded revenue related to collaboration agreements with Astellas of $4.7 million and $4.9 million for the three months ended March 31, 2020 and 2019, respectively.</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recorded expense related to collaboration agreements with Astellas of $0.1 million and $0.5 million during the three months ended March 31, 2020 and 2019, respectively.</w:t>
      </w:r>
    </w:p>
    <w:p>
      <w:pPr>
        <w:spacing w:after="0" w:line="17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As of March 31, 2020 and December 31, 2019, accounts receivable from Astellas were $3.7 million and $4.8 million, respectively, and amounts due to Astellas were $0.1 million and $36.9 million, respectively. The amounts due to Astellas as of December 31, 2019 included $36.3 million of a change in estimated variable consideration related to the API product revenue recognized in 2018, at the time the roxadustat listed price was issued by the Japanese Ministry of Health, Labour and Welfare. Such amount was fully paid during the first quarter of 2020.</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Prepaid expenses and other current assets as of March 31, 2020 and December 31, 2019 included $126.6 and $125.2 million of net unbilled contract assets, respectively, representing a $130.0 million unbilled contract asset related to two regulatory milestones under the Europe Agreement with Astellas associated with the planned MAA submission to the EMA, net of $3.4 million and $4.8 million of associated deferred revenue. See Note 2 for details. According to the Europe Agreement, this $130.0 million is not billable to Astellas until the submission of an MAA, therefore the net contract asset was included in the prepaid expenses and other current assets line on the Company’s consolidated balance sheet.</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ind w:left="800" w:hanging="792"/>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Obligations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March 31, 2020, the Company had outstanding total non-cancelable contract obligations of $23.5 million, including $11.9 million for manufacture and supply of roxadustat, $11.0 million for future milestone payments for research and pre-clinical stage development programs, and $0.6 million for other purchases. The Company expects to fulfill our commitments under these agreements in the normal course of business, and as such, no liability has been recorded.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is a party to various legal actions that arose in the ordinary course of its business. The Company did not have any material accruals for any currently active legal action in its consolidated balance sheets as of March 31, 2020, as it could not predict the ultimate outcome of these matters, or reasonably estimate the potential exposure.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2019 filed with the SEC on March 2,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 and are cautioned not to place undue reliance on such forward-looking statements.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were incorporated in 1993 in Delaware and are headquartered in San Francisco, California, with subsidiary offices in Beijing and Shanghai, People’s Republic of China (“China”). We are a leading biopharmaceutical company developing and commercializing a pipeline of first-in-class therapeutics. We apply our pioneering expertise in hypoxia-inducible factor (“HIF”), connective tissue growth factor (“CTGF”) biology, and clinical development to advance innovative medicines for the treatment of anemia, fibrotic disease, and cancer.</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Roxadustat, our most advanced product, is an oral small molecule inhibitor of HIF prolyl hydroxylase (“HIF-PH”) activity that has received marketing authorization in China for the treatment of anemia caused by chronic kidney disease (“CKD”) in dialysis and non-dialysis patients. Evrenzo® (roxadustat) is approved in Japan for the treatment of anemia associated with CKD in dialysis patients. In January 2020, Astellas Pharma Inc. (“Astellas”) submitted a supplemental New Drug Application (“NDA”) in Japan for the treatment of anemia in non-dialysis CKD patients.</w:t>
      </w:r>
    </w:p>
    <w:p>
      <w:pPr>
        <w:spacing w:after="0" w:line="171"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Our U.S. NDA filing for roxadustat for the treatment of anemia in dialysis and non-dialysis CKD patients was accepted by the U.S. Food and Drug Administration (“FDA”) in February 2020. In Europe, the Marketing Authorization Application (“MAA”) filing with the European Medicines Agency (“EMA”) is expected in the second quarter of 2020 for CKD in both dialysis and non-dialysis.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Roxadustat is in Phase 3 clinical development in the U.S. and Europe and in Phase 2/3 development in China for anemia associated with myelodysplastic syndromes (“MDS”). Roxadustat is in Phase 2 clinical development for chemotherapy-induced anemia.</w:t>
      </w:r>
    </w:p>
    <w:p>
      <w:pPr>
        <w:spacing w:after="0" w:line="170"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Pamrevlumab, an anti-CTGF human monoclonal antibody, is in Phase 3 clinical development for the treatment of both idiopathic pulmonary fibrosis (“IPF”) and pancreatic cancer. Pamrevlumab is also currently in a Phase 2 trial for Duchenne muscular dystrophy (“DMD”).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March 11, 2020, COVID-19, a disease caused by a novel strain of the coronavirus, was characterized as a pandemic by the World Health Organization. Since December 2019, COVID-19 has spread rapidly. The rapid spread has resulted in authorities implementing numerous measures to contain the virus, such as travel restrictions, quarantines, shelter-in-place orders, and business shutdowns.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have taken measures to minimize the health risks of COVID-19 to our staff, patients, healthcare providers and their communities, as their safety and well-being are our top priority. In the U.S., our employees are working remotely when possible, while in China they have returned to work in our offices, manufacturing plants, and are performing medical affairs out in the field. While we have seen some impacts from COVID-19, such as slower enrollment in our clinical trials and some effect on our roxadustat sales in China, particularly in February and March, we do not know if, or to what extent, these effects will continue in the future, as the impact of the COVID-19 pandemic continues to unfold. The effect on our operational and financial performance will depend in large part on future developments with the disease, which cannot be predicted with confidence at this time. Future developments include the duration, scope, and severity of the COVID-19 pandemic, the actions taken to contain or mitigate its impact, the impact on governmental programs and budgets, the impact on healthcare systems and operating procedures, the development of treatments or vaccines, and the resumption of widespread economic activity. Due to the inherent uncertainty of the largely unprecedented and rapidly evolving situation, we are unable to predict with any confidence the likely impact of the COVID-19 pandemic on our future operations.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financial results for the three months ended March 31, 2020 were not significantly impacted by COVID-19 relative to prior quarters. However, we will continue to monitor, and to the extent possible, mitigate the impact of the COVID-19 pandemic on our business.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56"/>
        </w:trPr>
        <w:tc>
          <w:tcPr>
            <w:tcW w:w="3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760" w:type="dxa"/>
            <w:vAlign w:val="bottom"/>
            <w:tcBorders>
              <w:top w:val="single" w:sz="8" w:color="auto"/>
              <w:bottom w:val="single" w:sz="8" w:color="auto"/>
            </w:tcBorders>
          </w:tcPr>
          <w:p>
            <w:pPr>
              <w:jc w:val="right"/>
              <w:ind w:right="858"/>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7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3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40" w:type="dxa"/>
            <w:vAlign w:val="bottom"/>
            <w:gridSpan w:val="3"/>
          </w:tcPr>
          <w:p>
            <w:pPr>
              <w:jc w:val="center"/>
              <w:ind w:right="214"/>
              <w:spacing w:after="0" w:line="155" w:lineRule="exact"/>
              <w:rPr>
                <w:sz w:val="20"/>
                <w:szCs w:val="20"/>
                <w:color w:val="auto"/>
              </w:rPr>
            </w:pPr>
            <w:r>
              <w:rPr>
                <w:rFonts w:ascii="Arial" w:cs="Arial" w:eastAsia="Arial" w:hAnsi="Arial"/>
                <w:sz w:val="14"/>
                <w:szCs w:val="14"/>
                <w:b w:val="1"/>
                <w:bCs w:val="1"/>
                <w:color w:val="auto"/>
                <w:w w:val="91"/>
              </w:rPr>
              <w:t>(in thousands, except for per share data)</w:t>
            </w:r>
          </w:p>
        </w:tc>
        <w:tc>
          <w:tcPr>
            <w:tcW w:w="80" w:type="dxa"/>
            <w:vAlign w:val="bottom"/>
          </w:tcPr>
          <w:p>
            <w:pPr>
              <w:spacing w:after="0"/>
              <w:rPr>
                <w:sz w:val="13"/>
                <w:szCs w:val="13"/>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Revenue</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8"/>
              <w:spacing w:after="0"/>
              <w:rPr>
                <w:sz w:val="20"/>
                <w:szCs w:val="20"/>
                <w:color w:val="auto"/>
              </w:rPr>
            </w:pPr>
            <w:r>
              <w:rPr>
                <w:rFonts w:ascii="Arial" w:cs="Arial" w:eastAsia="Arial" w:hAnsi="Arial"/>
                <w:sz w:val="18"/>
                <w:szCs w:val="18"/>
                <w:color w:val="auto"/>
              </w:rPr>
              <w:t>24,401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23,863</w:t>
            </w:r>
          </w:p>
        </w:tc>
        <w:tc>
          <w:tcPr>
            <w:tcW w:w="80" w:type="dxa"/>
            <w:vAlign w:val="bottom"/>
          </w:tcPr>
          <w:p>
            <w:pPr>
              <w:spacing w:after="0"/>
              <w:rPr>
                <w:sz w:val="19"/>
                <w:szCs w:val="19"/>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105,475</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72,706</w:t>
            </w:r>
          </w:p>
        </w:tc>
        <w:tc>
          <w:tcPr>
            <w:tcW w:w="8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(78,348)</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(45,411)</w:t>
            </w: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(0.53)</w:t>
            </w:r>
          </w:p>
        </w:tc>
      </w:tr>
      <w:tr>
        <w:trPr>
          <w:trHeight w:val="459"/>
        </w:trPr>
        <w:tc>
          <w:tcPr>
            <w:tcW w:w="3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tcPr>
          <w:p>
            <w:pPr>
              <w:jc w:val="right"/>
              <w:ind w:right="538"/>
              <w:spacing w:after="0"/>
              <w:rPr>
                <w:sz w:val="20"/>
                <w:szCs w:val="20"/>
                <w:color w:val="auto"/>
              </w:rPr>
            </w:pPr>
            <w:r>
              <w:rPr>
                <w:rFonts w:ascii="Arial" w:cs="Arial" w:eastAsia="Arial" w:hAnsi="Arial"/>
                <w:sz w:val="14"/>
                <w:szCs w:val="14"/>
                <w:b w:val="1"/>
                <w:bCs w:val="1"/>
                <w:color w:val="auto"/>
              </w:rPr>
              <w:t>March 31, 2020</w:t>
            </w:r>
          </w:p>
        </w:tc>
        <w:tc>
          <w:tcPr>
            <w:tcW w:w="420" w:type="dxa"/>
            <w:vAlign w:val="bottom"/>
          </w:tcPr>
          <w:p>
            <w:pPr>
              <w:spacing w:after="0"/>
              <w:rPr>
                <w:sz w:val="24"/>
                <w:szCs w:val="24"/>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1"/>
              </w:rPr>
              <w:t>December 31, 2019</w:t>
            </w:r>
          </w:p>
        </w:tc>
      </w:tr>
      <w:tr>
        <w:trPr>
          <w:trHeight w:val="155"/>
        </w:trPr>
        <w:tc>
          <w:tcPr>
            <w:tcW w:w="3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180" w:type="dxa"/>
            <w:vAlign w:val="bottom"/>
            <w:tcBorders>
              <w:top w:val="single" w:sz="8" w:color="auto"/>
            </w:tcBorders>
            <w:gridSpan w:val="2"/>
          </w:tcPr>
          <w:p>
            <w:pPr>
              <w:jc w:val="center"/>
              <w:ind w:left="117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8"/>
              <w:spacing w:after="0"/>
              <w:rPr>
                <w:sz w:val="20"/>
                <w:szCs w:val="20"/>
                <w:color w:val="auto"/>
              </w:rPr>
            </w:pPr>
            <w:r>
              <w:rPr>
                <w:rFonts w:ascii="Arial" w:cs="Arial" w:eastAsia="Arial" w:hAnsi="Arial"/>
                <w:sz w:val="18"/>
                <w:szCs w:val="18"/>
                <w:color w:val="auto"/>
              </w:rPr>
              <w:t>121,560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126,266</w:t>
            </w:r>
          </w:p>
        </w:tc>
        <w:tc>
          <w:tcPr>
            <w:tcW w:w="80" w:type="dxa"/>
            <w:vAlign w:val="bottom"/>
          </w:tcPr>
          <w:p>
            <w:pPr>
              <w:spacing w:after="0"/>
              <w:rPr>
                <w:sz w:val="19"/>
                <w:szCs w:val="19"/>
                <w:color w:val="auto"/>
              </w:rPr>
            </w:pPr>
          </w:p>
        </w:tc>
      </w:tr>
      <w:tr>
        <w:trPr>
          <w:trHeight w:val="230"/>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414,092</w:t>
            </w:r>
          </w:p>
        </w:tc>
        <w:tc>
          <w:tcPr>
            <w:tcW w:w="4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468,609</w:t>
            </w:r>
          </w:p>
        </w:tc>
        <w:tc>
          <w:tcPr>
            <w:tcW w:w="80" w:type="dxa"/>
            <w:vAlign w:val="bottom"/>
            <w:shd w:val="clear" w:color="auto" w:fill="CFF0FC"/>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Accounts receivable</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58"/>
              <w:spacing w:after="0"/>
              <w:rPr>
                <w:sz w:val="20"/>
                <w:szCs w:val="20"/>
                <w:color w:val="auto"/>
              </w:rPr>
            </w:pPr>
            <w:r>
              <w:rPr>
                <w:rFonts w:ascii="Arial" w:cs="Arial" w:eastAsia="Arial" w:hAnsi="Arial"/>
                <w:sz w:val="18"/>
                <w:szCs w:val="18"/>
                <w:color w:val="auto"/>
              </w:rPr>
              <w:t>58,540</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28,455</w:t>
            </w:r>
          </w:p>
        </w:tc>
        <w:tc>
          <w:tcPr>
            <w:tcW w:w="80" w:type="dxa"/>
            <w:vAlign w:val="bottom"/>
          </w:tcPr>
          <w:p>
            <w:pPr>
              <w:spacing w:after="0"/>
              <w:rPr>
                <w:sz w:val="20"/>
                <w:szCs w:val="20"/>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Our revenue for the three months ended March 31, 2020 included the revenue recognized related to the following:</w:t>
      </w:r>
    </w:p>
    <w:p>
      <w:pPr>
        <w:spacing w:after="0" w:line="117" w:lineRule="exact"/>
        <w:rPr>
          <w:sz w:val="20"/>
          <w:szCs w:val="20"/>
          <w:color w:val="auto"/>
        </w:rPr>
      </w:pPr>
    </w:p>
    <w:p>
      <w:pPr>
        <w:ind w:left="380" w:right="1200" w:hanging="372"/>
        <w:spacing w:after="0" w:line="258"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$19.4 million of development revenue recognized under our collaboration agreements with our partners Astellas and AstraZeneca AB (“AstraZeneca”); and</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 million net product revenue from commercial sales of roxadustat drug product in China.</w:t>
      </w:r>
    </w:p>
    <w:p>
      <w:pPr>
        <w:spacing w:after="0" w:line="21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comparison, our revenue for the three months ended March 31, 2019 was solely from development revenue recognized under our collaboration agreements with Astellas and AstraZeneca.</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Operating costs and expenses for the three months ended March 31, 2020 increased compared to the same period a year ago primarily due to the following:</w:t>
      </w:r>
    </w:p>
    <w:p>
      <w:pPr>
        <w:spacing w:after="0" w:line="140" w:lineRule="exact"/>
        <w:rPr>
          <w:sz w:val="20"/>
          <w:szCs w:val="20"/>
          <w:color w:val="auto"/>
        </w:rPr>
      </w:pPr>
    </w:p>
    <w:p>
      <w:pPr>
        <w:ind w:left="380" w:right="160" w:hanging="372"/>
        <w:spacing w:after="0" w:line="258"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outside service expenses associated with co-promotional activities expenses with AstraZeneca sales and marketing efforts in China related to the commercial launch of roxadustat;</w:t>
      </w:r>
    </w:p>
    <w:p>
      <w:pPr>
        <w:spacing w:after="0" w:line="1" w:lineRule="exact"/>
        <w:rPr>
          <w:rFonts w:ascii="Arial" w:cs="Arial" w:eastAsia="Arial" w:hAnsi="Arial"/>
          <w:sz w:val="18"/>
          <w:szCs w:val="18"/>
          <w:color w:val="auto"/>
        </w:rPr>
      </w:pPr>
    </w:p>
    <w:p>
      <w:pPr>
        <w:ind w:left="380" w:right="20" w:hanging="372"/>
        <w:spacing w:after="0" w:line="25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drug development expenses associated with higher drug substance manufacturing activities related to pamrevlumab, and higher drug substance manufacturing activities related to roxadustat in its global program; and</w:t>
      </w:r>
    </w:p>
    <w:p>
      <w:pPr>
        <w:ind w:left="380" w:right="740" w:hanging="372"/>
        <w:spacing w:after="0" w:line="26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clinical trial expenses associated with commencement of Phase 3 trials for pamrevlumab, offset by lower activities due to substantial completion of Phase 3 trials for roxadustat.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three months ended March 31, 2020, we had a net loss of $78.3 million, or net loss per basic and diluted share of $0.89, as compared to a net loss of $45.4 million for the same period a year ago, primarily due to an increase in operating costs and expenses.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Cash and cash equivalents, investments and accounts receivable totaled $594.2 million at March 31, 2020, a decrease of $29.1 million from December 31, 2019, primarily due to the cash used in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and Development 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Chronic Kidney Disease</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Roxadustat is our most advanced product, an oral small molecule inhibitor of HIF-PH activity that acts by stimulating the body’s natural pathway of erythropoiesis, or red blood cell production.</w:t>
      </w:r>
    </w:p>
    <w:p>
      <w:pPr>
        <w:spacing w:after="0" w:line="171" w:lineRule="exact"/>
        <w:rPr>
          <w:sz w:val="20"/>
          <w:szCs w:val="20"/>
          <w:color w:val="auto"/>
        </w:rPr>
      </w:pPr>
    </w:p>
    <w:p>
      <w:pPr>
        <w:spacing w:after="0" w:line="224" w:lineRule="exact"/>
        <w:rPr>
          <w:sz w:val="20"/>
          <w:szCs w:val="20"/>
          <w:color w:val="auto"/>
        </w:rPr>
      </w:pPr>
      <w:r>
        <w:rPr>
          <w:rFonts w:ascii="Arial" w:cs="Arial" w:eastAsia="Arial" w:hAnsi="Arial"/>
          <w:sz w:val="17"/>
          <w:szCs w:val="17"/>
          <w:color w:val="auto"/>
        </w:rPr>
        <w:t xml:space="preserve">We continue our commercial launch efforts for roxadustat (tradename: </w:t>
      </w:r>
      <w:r>
        <w:rPr>
          <w:rFonts w:ascii="SimSun" w:cs="SimSun" w:eastAsia="SimSun" w:hAnsi="SimSun"/>
          <w:sz w:val="17"/>
          <w:szCs w:val="17"/>
          <w:color w:val="auto"/>
        </w:rPr>
        <w:t>爱瑞卓</w:t>
      </w:r>
      <w:r>
        <w:rPr>
          <w:rFonts w:ascii="Arial" w:cs="Arial" w:eastAsia="Arial" w:hAnsi="Arial"/>
          <w:sz w:val="28"/>
          <w:szCs w:val="28"/>
          <w:color w:val="auto"/>
          <w:vertAlign w:val="superscript"/>
        </w:rPr>
        <w:t>®</w:t>
      </w:r>
      <w:r>
        <w:rPr>
          <w:rFonts w:ascii="Arial" w:cs="Arial" w:eastAsia="Arial" w:hAnsi="Arial"/>
          <w:sz w:val="17"/>
          <w:szCs w:val="17"/>
          <w:color w:val="auto"/>
        </w:rPr>
        <w:t>) in China after receiving marketing authorization for the treatment of anemia caused by CKD in non-dialysis and dialysis patients. The Chinese government is rapidly implementing the 2019 National Reimbursement Drug List (“NRDL”), to which roxadustat was added effective January 1, 2020. While there was some impact to sales in China during the first quarter due to COVID-19, particularly in February and March, we do not know if, or to what extent, these effects will continue going forward. Now that China has largely re-opened, we and our partner AstraZeneca continue our strong focus on hospital listing efforts for roxadustat.</w:t>
      </w:r>
    </w:p>
    <w:p>
      <w:pPr>
        <w:spacing w:after="0" w:line="20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Japan, our partner Astellas continues the commercial launch of Evrenzo</w:t>
      </w:r>
      <w:r>
        <w:rPr>
          <w:rFonts w:ascii="Arial" w:cs="Arial" w:eastAsia="Arial" w:hAnsi="Arial"/>
          <w:sz w:val="13"/>
          <w:szCs w:val="13"/>
          <w:color w:val="auto"/>
        </w:rPr>
        <w:t>®</w:t>
      </w:r>
      <w:r>
        <w:rPr>
          <w:rFonts w:ascii="Arial" w:cs="Arial" w:eastAsia="Arial" w:hAnsi="Arial"/>
          <w:sz w:val="16"/>
          <w:szCs w:val="16"/>
          <w:color w:val="auto"/>
        </w:rPr>
        <w:t xml:space="preserve"> (roxadustat), which was approved for the treatment of anemia associated with CKD in dialysis patients. In January 2020, Astellas submitted a supplemental NDA in Japan for the treatment of anemia in CKD patients not on dialysis.</w:t>
      </w:r>
    </w:p>
    <w:p>
      <w:pPr>
        <w:spacing w:after="0" w:line="12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conjunction with our collaboration partners, AstraZeneca and Astellas, we have completed the Phase 3 trials of roxadustat supporting our NDA in the United States (“U.S.”) and the expected MAA in the European Union and the United Kingdom (collectively, “Europe”) for the treatment of anemia in CKD.</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NDA filing for roxadustat for the treatment of anemia in dialysis and non-dialysis CKD patients was accepted by the FDA in February 2020. The FDA set a Prescription Drug User Fee Act goal date of December 20, 2020.</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planned MAA filing with the EMA for roxadustat in CKD anemia is expected in the second quarter of 2020 for dialysis and non-dialysis patients. In addition, in collaboration with AstraZeneca, applications for marketing authorization of roxadustat in CKD anemia have been submitted for Canada, Australia, Mexico, Brazil, Chile, Taiwan, South Korea, Philippines, Singapore and India.</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During the first quarter of 2020, we presented two roxadustat posters at the annual National Kidney Foundation Spring Clinical meeting. These posters showed that, in our Phase 3 non-dialysis trials in CKD anemia, roxadustat corrected and maintained hemoglobin using similar doses regardless of iron status at baseline. Roxadustat also reduced the risk of red blood cell transfusions and IV iron rescue compared to placebo regardless of iron status at baseline. In addition, we presented data from our Phase 3 dialysis trials in CKD anemia, showing roxadustat reduced the risk of red blood cell transfusion as compared with epoetin alfa.</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Chemotherapy-Induced Anemia</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continue to enroll our Phase 2 clinical trial of roxadustat in the U.S. in chemotherapy-induced anemia. This is a single-arm open label study investigating the efficacy and safety of roxadustat for the treatment of anemia in up to 100 patients receiving myelosuppressive chemotherapy treatment for non-myeloid malignancies, with a treatment duration of 16 weeks.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for the Treatment of Anemia in Myelodysplastic Syndromes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continuing to enroll our global 160-patient double-blind, placebo-controlled Phase 3 clinical study of roxadustat in transfusion-dependent, lower risk MDS patients. Patients are randomized 3:2 to receive roxadustat or placebo three-times-weekly. The primary endpoint is the proportion of patients who achieve 8-week transfusion independence by 28 weeks with safety evaluated up to 52 weeks.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China, the Phase 2/3 clinical trial to evaluate the safety and efficacy of roxadustat in non-transfusion dependent, lower risk MDS patients with anemia is ongoing.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Pamrevlumab (FG-3019) – Monoclonal Antibody Against Connective Tissue Growth Factor (CTGF)</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Pamrevlumab is our human monoclonal antibody that inhibits the activity of CTGF, a central mediator and critical common element in the progression of fibrotic and fibro-proliferative diseases.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U.S., the FDA has granted Orphan Drug Designation to pamrevlumab for the treatment of IPF, locally advanced unresectable pancreatic cancer, and DMD. Pamrevlumab has also received Fast Track designation from the FDA for the treatment of both IPF and locally advanced unresectable pancreatic cancer.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Idiopathic Pulmonary Fibrosis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conducting ZEPHYRUS, our Phase 3 trial of pamrevlumab in IPF patients, and are preparing to initiate ZEPHYRUS-2, a second IPF Phase 3 study. Both studies are double-blind, placebo-controlled Phase 3 trials targeting approximately 340 patients with a primary U.S. efficacy endpoint of change from baseline in forced vital capacity. In order to minimize the risk of exposure to COVID-19 in this vulnerable IPF patient population with compromised lung function, we decided to pause near-term enrollment in the ongoing ZEPHYRUS Phase 3 clinical study. We look forward to re-initiating enrollment in this study and initiating the ZEPHYRUS-2 trial as conditions improve.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Locally Advanced Unresectable Pancreatic Cancer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2019, we initiated LAPIS, our double-blind placebo controlled Phase 3 clinical program for pamrevlumab as a neoadjuvant therapy for locally advanced unresectable pancreatic cancer. We intend to enroll approximately 260 patients, randomized at a 1:1 ratio to receive either pamrevlumab or placebo, in each case in combination with gemcitabine and nab-paclitaxel. We are working with clinical trial sites and investigators in order to mitigate risks and other challenges associated with COVID-19 and the restrictions instituted to combat COVID-19.</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Duchenne Muscular Dystrophy</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In the second half of 2020, we expect to initiate a Phase 3 clinical trial, LELANTOS, evaluating pamrevlumab as a treatment for DMD. LELANTOS will be a double-blind, placebo-controlled trial in approximately 90 non-ambulatory DMD patients. Patients will be randomized at a 1:1 ratio to pamrevlumab or placebo and have a treatment period of 52 weeks. The primary endpoint will assess change in upper limb strength and additional endpoints will include pulmonary, performance, cardiac, and fibrosis assessments.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Astellas</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June 2005, we entered into a collaboration agreement with Astellas for the development and commercialization (but not manufacture) of roxadustat for the treatment of anemia in Japan (“Japan Agreement”). In April 2006, we entered into the Europe Agreement with Astellas for roxadustat for the treatment of anemia in Europe, the Commonwealth of Independent States, the Middle East, and South Africa. Under these agreements, we provide Astellas the right to develop and commercialize roxadustat for anemia indications in these territories.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share responsibility with Astellas for clinical development activities required for the U.S. and the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w:t>
      </w:r>
    </w:p>
    <w:p>
      <w:pPr>
        <w:spacing w:after="0" w:line="2"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173"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The aggregate amount of such consideration received through March 31, 2020 totals $500.1 million. Additionally, under these agreements, Astellas pays 100% of the commercialization costs in its territories. Astellas will pay us a transfer price, based on net sales, in the low 20% range for our manufacture and delivery of roxadustat.</w:t>
      </w:r>
    </w:p>
    <w:p>
      <w:pPr>
        <w:spacing w:after="0" w:line="16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During the second quarter of 2019, we received positive topline results from analyses of pooled major adverse cardiac event (“MACE”) and MACE+ data from its Phase 3 trials evaluating roxadustat as a treatment for dialysis and non-dialysis CKD patients, enabling Astellas to prepare for an MAA submission to the EMA, following our NDA submission to the FDA in 2019. These milestones became probable of being achieved in the second quarter of 2019, and substantially all of the total consideration of $130.0 million associated with these milestones was included in the transaction price and allocated to performance obligations under the Europe Agreement in the second quarter of 2019, of which $128.8 million was recognized as revenue during 2019, and $0.3 million was recognized as revenue during the three months ended March 31, 2020, from performance obligations satisfied or partially satisfied. According to the Europe Agreement, these milestone payments are not billable to Astellas until the submission of an MAA, which is expected in the second quarter of 2020. Therefore this $130.0 million remained as an unbilled contract asset as of March 31,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March 31, 2020, Astellas had separate investments of $80.5 million in the equity of FibroGen, Inc.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AstraZeneca</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July 2013, we entered into the U.S./RoW Agreement, a collaboration agreement with AstraZeneca for roxadustat for the treatment of anemia in the U.S. and all territories not previously licensed to Astellas, except China. In July 2013, through our China subsidiary and related affiliates, we entered into the China Agreement, a collaboration agreement with AstraZeneca for roxadustat for the treatment of anemia in China. Under these agreements, we provide AstraZeneca the right to develop and commercialize roxadustat for anemia in these territories. We share responsibility with AstraZeneca for clinical development activities required for U.S. regulatory approval of roxadustat.</w:t>
      </w:r>
    </w:p>
    <w:p>
      <w:pPr>
        <w:spacing w:after="0" w:line="18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2015, we reached the $116.5 million cap on our initial funding obligations (during which time we shared 50% of the joint initial development costs), therefore all development and commercialization costs for roxadustat for the treatment of anemia in CKD in the U.S., Europe, Japan and all other markets outside of China have been paid by Astellas and AstraZeneca since reaching the cap.</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China, FibroGen (China) Medical Technology Development Co., Ltd.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Outside of China, we are responsible, through our contract manufacturers, for the manufacture and supply of all quantities of roxadustat to be used in development and commercialization under the AstraZeneca agreements.</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The aggregate amount of such consideration received through March 31, 2020 totals $466.2 million.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China Agreement, which is conducted through FibroGen China Anemia Holdings, Ltd. (“FibroGen China”), the commercial collaboration is structured as a 50/50 profit share. AstraZeneca will conduct commercialization activities in China and fund roxadustat launch costs in China until FibroGen Beijing has achieved profitability. At that time, AstraZeneca will recoup 50% of their historical launch costs out of initial roxadustat profits in China. As of March 31, 2020, we accrued $78.3 million of cumulative co-promotional expenses related to the estimated amount payable to AstraZeneca for such sales and marketing efforts. The payment for such amount is not expected to occur within the next year.</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for paying for a substantial portion of the post-termination development costs under the agreed development plan until regulatory approval.</w:t>
      </w:r>
    </w:p>
    <w:p>
      <w:pPr>
        <w:spacing w:after="0" w:line="18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for paying for transition costs as well as make a specified payment to FibroGen China.</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8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As mentioned above, during the second quarter of 2019, we received positive topline results from analyses of pooled MACE and MACE+ data from its Phase 3 trials for roxadustat, enabling our NDA submission to the FDA. The regulatory milestone payment associated with this NDA submission became probable of being achieved in the second quarter of 2019. Accordingly, the consideration of $50.0 million associated with this milestone was included in the transaction price and allocated to performance obligations under the U.S./ RoW Agreement in the second quarter of 2019, of which $42.4 million was recognized as revenue during 2019, and $0.2 million was recognized as revenue during the three months ended March 31, 2020, from performance obligations satisfied or partially satisfied. The Company submitted such NDA in December 2019, which was accepted by the FDA for review in February 2020. According to the U.S/RoW Agreement, this milestone payment is billable to AstraZeneca when the NDA is accepted by the FDA. Therefore, this $50.0 million milestone was billed during the first quarter of 2020, the payment of which was fully received in April 2020.</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December 2019, roxadustat has been included on the updated NRDL released by China’s NHSA for the treatment of anemia in CKD, covering patients who are non-dialysis-dependent as well as those who are dialysis-dependent. The inclusion on the NRDL triggered a total of $22.0 million milestones payable to us by AstraZeneca. Accordingly, the total consideration of $22.0 million associated with these milestones was included in the transaction price and allocated to performance obligations under the U.S./ RoW Agreement in the fourth quarter of 2019. This milestone payment was fully received during the first quarter of 2020.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 Related to Collaboration Agreements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cash consideration received through March 31, 2020 and potential cash consideration, other than development cost reimbursement, transfer price payments, royalties and profit share, pursuant to our existing collaboration agreements are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Cash</w:t>
            </w:r>
          </w:p>
        </w:tc>
        <w:tc>
          <w:tcPr>
            <w:tcW w:w="280" w:type="dxa"/>
            <w:vAlign w:val="bottom"/>
          </w:tcPr>
          <w:p>
            <w:pPr>
              <w:spacing w:after="0"/>
              <w:rPr>
                <w:sz w:val="14"/>
                <w:szCs w:val="14"/>
                <w:color w:val="auto"/>
              </w:rPr>
            </w:pPr>
          </w:p>
        </w:tc>
        <w:tc>
          <w:tcPr>
            <w:tcW w:w="1620" w:type="dxa"/>
            <w:vAlign w:val="bottom"/>
          </w:tcPr>
          <w:p>
            <w:pPr>
              <w:jc w:val="center"/>
              <w:ind w:right="197"/>
              <w:spacing w:after="0"/>
              <w:rPr>
                <w:sz w:val="20"/>
                <w:szCs w:val="20"/>
                <w:color w:val="auto"/>
              </w:rPr>
            </w:pPr>
            <w:r>
              <w:rPr>
                <w:rFonts w:ascii="Arial" w:cs="Arial" w:eastAsia="Arial" w:hAnsi="Arial"/>
                <w:sz w:val="14"/>
                <w:szCs w:val="14"/>
                <w:b w:val="1"/>
                <w:bCs w:val="1"/>
                <w:color w:val="auto"/>
                <w:w w:val="96"/>
              </w:rPr>
              <w:t>Additional</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r>
      <w:tr>
        <w:trPr>
          <w:trHeight w:val="148"/>
        </w:trPr>
        <w:tc>
          <w:tcPr>
            <w:tcW w:w="28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Received Through</w:t>
            </w:r>
          </w:p>
        </w:tc>
        <w:tc>
          <w:tcPr>
            <w:tcW w:w="280" w:type="dxa"/>
            <w:vAlign w:val="bottom"/>
          </w:tcPr>
          <w:p>
            <w:pPr>
              <w:spacing w:after="0"/>
              <w:rPr>
                <w:sz w:val="12"/>
                <w:szCs w:val="12"/>
                <w:color w:val="auto"/>
              </w:rPr>
            </w:pPr>
          </w:p>
        </w:tc>
        <w:tc>
          <w:tcPr>
            <w:tcW w:w="16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1"/>
              </w:rPr>
              <w:t>Potential</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Potential</w:t>
            </w:r>
          </w:p>
        </w:tc>
      </w:tr>
      <w:tr>
        <w:trPr>
          <w:trHeight w:val="171"/>
        </w:trPr>
        <w:tc>
          <w:tcPr>
            <w:tcW w:w="2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March 31, 2020</w:t>
            </w:r>
          </w:p>
        </w:tc>
        <w:tc>
          <w:tcPr>
            <w:tcW w:w="280" w:type="dxa"/>
            <w:vAlign w:val="bottom"/>
          </w:tcPr>
          <w:p>
            <w:pPr>
              <w:spacing w:after="0"/>
              <w:rPr>
                <w:sz w:val="14"/>
                <w:szCs w:val="14"/>
                <w:color w:val="auto"/>
              </w:rPr>
            </w:pPr>
          </w:p>
        </w:tc>
        <w:tc>
          <w:tcPr>
            <w:tcW w:w="1620" w:type="dxa"/>
            <w:vAlign w:val="bottom"/>
          </w:tcPr>
          <w:p>
            <w:pPr>
              <w:jc w:val="center"/>
              <w:ind w:right="197"/>
              <w:spacing w:after="0"/>
              <w:rPr>
                <w:sz w:val="20"/>
                <w:szCs w:val="20"/>
                <w:color w:val="auto"/>
              </w:rPr>
            </w:pPr>
            <w:r>
              <w:rPr>
                <w:rFonts w:ascii="Arial" w:cs="Arial" w:eastAsia="Arial" w:hAnsi="Arial"/>
                <w:sz w:val="14"/>
                <w:szCs w:val="14"/>
                <w:b w:val="1"/>
                <w:bCs w:val="1"/>
                <w:color w:val="auto"/>
                <w:w w:val="90"/>
              </w:rPr>
              <w:t>Cash Payments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Cash Payments</w:t>
            </w:r>
          </w:p>
        </w:tc>
      </w:tr>
      <w:tr>
        <w:trPr>
          <w:trHeight w:val="156"/>
        </w:trPr>
        <w:tc>
          <w:tcPr>
            <w:tcW w:w="2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jc w:val="center"/>
              <w:ind w:right="21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2800" w:type="dxa"/>
            <w:vAlign w:val="bottom"/>
          </w:tcPr>
          <w:p>
            <w:pPr>
              <w:ind w:left="240"/>
              <w:spacing w:after="0"/>
              <w:rPr>
                <w:sz w:val="20"/>
                <w:szCs w:val="20"/>
                <w:color w:val="auto"/>
              </w:rPr>
            </w:pPr>
            <w:r>
              <w:rPr>
                <w:rFonts w:ascii="Arial" w:cs="Arial" w:eastAsia="Arial" w:hAnsi="Arial"/>
                <w:sz w:val="18"/>
                <w:szCs w:val="18"/>
                <w:color w:val="auto"/>
              </w:rPr>
              <w:t>Japan Agreement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90,093</w:t>
            </w:r>
          </w:p>
        </w:tc>
        <w:tc>
          <w:tcPr>
            <w:tcW w:w="3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82,500</w:t>
            </w: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172,593</w:t>
            </w:r>
          </w:p>
        </w:tc>
        <w:tc>
          <w:tcPr>
            <w:tcW w:w="120" w:type="dxa"/>
            <w:vAlign w:val="bottom"/>
          </w:tcPr>
          <w:p>
            <w:pPr>
              <w:spacing w:after="0"/>
              <w:rPr>
                <w:sz w:val="19"/>
                <w:szCs w:val="19"/>
                <w:color w:val="auto"/>
              </w:rPr>
            </w:pPr>
          </w:p>
        </w:tc>
      </w:tr>
      <w:tr>
        <w:trPr>
          <w:trHeight w:val="229"/>
        </w:trPr>
        <w:tc>
          <w:tcPr>
            <w:tcW w:w="2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Europe Agreement</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20" w:type="dxa"/>
            <w:vAlign w:val="bottom"/>
            <w:shd w:val="clear" w:color="auto" w:fill="CFF0FC"/>
          </w:tcPr>
          <w:p>
            <w:pPr>
              <w:spacing w:after="0"/>
              <w:rPr>
                <w:sz w:val="19"/>
                <w:szCs w:val="19"/>
                <w:color w:val="auto"/>
              </w:rPr>
            </w:pPr>
          </w:p>
        </w:tc>
      </w:tr>
      <w:tr>
        <w:trPr>
          <w:trHeight w:val="223"/>
        </w:trPr>
        <w:tc>
          <w:tcPr>
            <w:tcW w:w="2800" w:type="dxa"/>
            <w:vAlign w:val="bottom"/>
          </w:tcPr>
          <w:p>
            <w:pPr>
              <w:ind w:left="480"/>
              <w:spacing w:after="0"/>
              <w:rPr>
                <w:sz w:val="20"/>
                <w:szCs w:val="20"/>
                <w:color w:val="auto"/>
              </w:rPr>
            </w:pPr>
            <w:r>
              <w:rPr>
                <w:rFonts w:ascii="Arial" w:cs="Arial" w:eastAsia="Arial" w:hAnsi="Arial"/>
                <w:sz w:val="18"/>
                <w:szCs w:val="18"/>
                <w:color w:val="auto"/>
              </w:rPr>
              <w:t>Total Astellas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500,093</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417,500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917,593</w:t>
            </w:r>
          </w:p>
        </w:tc>
        <w:tc>
          <w:tcPr>
            <w:tcW w:w="120" w:type="dxa"/>
            <w:vAlign w:val="bottom"/>
          </w:tcPr>
          <w:p>
            <w:pPr>
              <w:spacing w:after="0"/>
              <w:rPr>
                <w:sz w:val="19"/>
                <w:szCs w:val="19"/>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2800" w:type="dxa"/>
            <w:vAlign w:val="bottom"/>
          </w:tcPr>
          <w:p>
            <w:pPr>
              <w:ind w:left="240"/>
              <w:spacing w:after="0"/>
              <w:rPr>
                <w:sz w:val="20"/>
                <w:szCs w:val="20"/>
                <w:color w:val="auto"/>
              </w:rPr>
            </w:pPr>
            <w:r>
              <w:rPr>
                <w:rFonts w:ascii="Arial" w:cs="Arial" w:eastAsia="Arial" w:hAnsi="Arial"/>
                <w:sz w:val="18"/>
                <w:szCs w:val="18"/>
                <w:color w:val="auto"/>
              </w:rPr>
              <w:t>U.S. / RoW Agreement</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389,000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860,000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1,249,000</w:t>
            </w:r>
          </w:p>
        </w:tc>
        <w:tc>
          <w:tcPr>
            <w:tcW w:w="120" w:type="dxa"/>
            <w:vAlign w:val="bottom"/>
          </w:tcPr>
          <w:p>
            <w:pPr>
              <w:spacing w:after="0"/>
              <w:rPr>
                <w:sz w:val="19"/>
                <w:szCs w:val="19"/>
                <w:color w:val="auto"/>
              </w:rPr>
            </w:pPr>
          </w:p>
        </w:tc>
      </w:tr>
      <w:tr>
        <w:trPr>
          <w:trHeight w:val="230"/>
        </w:trPr>
        <w:tc>
          <w:tcPr>
            <w:tcW w:w="2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China Agreement</w:t>
            </w:r>
          </w:p>
        </w:tc>
        <w:tc>
          <w:tcPr>
            <w:tcW w:w="8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299,500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20" w:type="dxa"/>
            <w:vAlign w:val="bottom"/>
            <w:shd w:val="clear" w:color="auto" w:fill="CFF0FC"/>
          </w:tcPr>
          <w:p>
            <w:pPr>
              <w:spacing w:after="0"/>
              <w:rPr>
                <w:sz w:val="19"/>
                <w:szCs w:val="19"/>
                <w:color w:val="auto"/>
              </w:rPr>
            </w:pPr>
          </w:p>
        </w:tc>
      </w:tr>
      <w:tr>
        <w:trPr>
          <w:trHeight w:val="223"/>
        </w:trPr>
        <w:tc>
          <w:tcPr>
            <w:tcW w:w="28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AstraZeneca</w:t>
            </w:r>
          </w:p>
        </w:tc>
        <w:tc>
          <w:tcPr>
            <w:tcW w:w="8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1,159,500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20" w:type="dxa"/>
            <w:vAlign w:val="bottom"/>
            <w:tcBorders>
              <w:bottom w:val="single" w:sz="8" w:color="CFF0FC"/>
            </w:tcBorders>
          </w:tcPr>
          <w:p>
            <w:pPr>
              <w:spacing w:after="0"/>
              <w:rPr>
                <w:sz w:val="19"/>
                <w:szCs w:val="19"/>
                <w:color w:val="auto"/>
              </w:rPr>
            </w:pPr>
          </w:p>
        </w:tc>
      </w:tr>
      <w:tr>
        <w:trPr>
          <w:trHeight w:val="223"/>
        </w:trPr>
        <w:tc>
          <w:tcPr>
            <w:tcW w:w="2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966,293</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1,577,000</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w w:val="97"/>
              </w:rPr>
              <w:t>Three Months Ended March 31,</w:t>
            </w: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r>
      <w:tr>
        <w:trPr>
          <w:trHeight w:val="155"/>
        </w:trPr>
        <w:tc>
          <w:tcPr>
            <w:tcW w:w="3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3"/>
                <w:szCs w:val="13"/>
                <w:color w:val="auto"/>
              </w:rPr>
            </w:pPr>
          </w:p>
        </w:tc>
      </w:tr>
      <w:tr>
        <w:trPr>
          <w:trHeight w:val="155"/>
        </w:trPr>
        <w:tc>
          <w:tcPr>
            <w:tcW w:w="35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230"/>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r>
      <w:tr>
        <w:trPr>
          <w:trHeight w:val="338"/>
        </w:trPr>
        <w:tc>
          <w:tcPr>
            <w:tcW w:w="3580" w:type="dxa"/>
            <w:vAlign w:val="bottom"/>
          </w:tcPr>
          <w:p>
            <w:pPr>
              <w:ind w:left="240"/>
              <w:spacing w:after="0"/>
              <w:rPr>
                <w:sz w:val="20"/>
                <w:szCs w:val="20"/>
                <w:color w:val="auto"/>
              </w:rPr>
            </w:pPr>
            <w:r>
              <w:rPr>
                <w:rFonts w:ascii="Arial" w:cs="Arial" w:eastAsia="Arial" w:hAnsi="Arial"/>
                <w:sz w:val="18"/>
                <w:szCs w:val="18"/>
                <w:color w:val="auto"/>
              </w:rPr>
              <w:t>License revenue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79"/>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r>
      <w:tr>
        <w:trPr>
          <w:trHeight w:val="229"/>
        </w:trPr>
        <w:tc>
          <w:tcPr>
            <w:tcW w:w="3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Development and other revenue</w:t>
            </w: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19,446</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23,863</w:t>
            </w:r>
          </w:p>
        </w:tc>
        <w:tc>
          <w:tcPr>
            <w:tcW w:w="3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w w:val="94"/>
              </w:rPr>
              <w:t>(4,417)</w:t>
            </w:r>
          </w:p>
        </w:tc>
        <w:tc>
          <w:tcPr>
            <w:tcW w:w="11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(19) %</w:t>
            </w:r>
          </w:p>
        </w:tc>
      </w:tr>
      <w:tr>
        <w:trPr>
          <w:trHeight w:val="230"/>
        </w:trPr>
        <w:tc>
          <w:tcPr>
            <w:tcW w:w="3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Product revenue, net</w:t>
            </w:r>
          </w:p>
        </w:tc>
        <w:tc>
          <w:tcPr>
            <w:tcW w:w="10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42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100</w:t>
            </w:r>
          </w:p>
        </w:tc>
        <w:tc>
          <w:tcPr>
            <w:tcW w:w="44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23"/>
        </w:trPr>
        <w:tc>
          <w:tcPr>
            <w:tcW w:w="35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revenue</w:t>
            </w:r>
          </w:p>
        </w:tc>
        <w:tc>
          <w:tcPr>
            <w:tcW w:w="10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24,401</w:t>
            </w:r>
          </w:p>
        </w:tc>
        <w:tc>
          <w:tcPr>
            <w:tcW w:w="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23,863</w:t>
            </w:r>
          </w:p>
        </w:tc>
        <w:tc>
          <w:tcPr>
            <w:tcW w:w="3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4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0"/>
        </w:trPr>
        <w:tc>
          <w:tcPr>
            <w:tcW w:w="3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 In addition, we started commercial sales of roxadustat drug product in China in the third quarter of 2019.</w:t>
      </w:r>
    </w:p>
    <w:p>
      <w:pPr>
        <w:spacing w:after="0" w:line="17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Under our revenue recognition policy, license revenue includes amounts from upfront, non-refundable license payments and amounts allocated pursuant to the standalone selling price method from other consideration received during the periods. This revenue is generally recognized as deliverables are met and services are performed. We did not have any license revenue for the three months ended March 31, 2020 and 2019.</w:t>
      </w:r>
    </w:p>
    <w:p>
      <w:pPr>
        <w:spacing w:after="0" w:line="16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Development and other revenue includes co-development and other development related services. Co-development services are recognized as revenue in the period in which they are billed to our partners, excluding China. For China co-development services, revenue is deferred until the end of the development period once all performance obligations have been satisfied. Other development related services are recognized as revenue over the non-contingent development period based on a proportional performance method. As of December 31, 2019, the future non-contingent development periods range from 12 to 60 months. Other revenues consist of sales of research and development material and have been included with development and other revenue in the consolidated statements of operations, as they have not been material for any of the periods presented.</w:t>
      </w:r>
    </w:p>
    <w:p>
      <w:pPr>
        <w:spacing w:after="0" w:line="1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Product revenue is recognized when our customer obtains control of promised goods or services in an amount that reflects the consideration we expect to receive in exchange for those goods or services.</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future, we will continue generating revenue from collaboration agreements in the form of license fees, milestone payments, reimbursements for collaboration services and royalties on product sales, and from product sales. We expect that any revenues we generate will fluctuate from quarter to quarter due to the uncertain timing and amount of such payments and sales.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In addition, for the first quarter of 2020, our $5.0 million of net product revenue from roxadustat sales in China was affected by the COVID-19 pandemic and the fact that patient and physician interaction was limited during a significant portion of the quarter, particularly in February and March. However, it is difficult to estimate how much sales were affected by COVID-19 due to the limited history of roxadustat product revenue to compare to.</w:t>
      </w:r>
    </w:p>
    <w:p>
      <w:pPr>
        <w:spacing w:after="0" w:line="1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revenue increased $0.5 million, or 2% for the three months ended March 31, 2020 compared to the same period a year ago for the reasons discussed in the sections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Development and Other Revenue</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62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Change</w:t>
            </w: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56"/>
        </w:trPr>
        <w:tc>
          <w:tcPr>
            <w:tcW w:w="46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r>
      <w:tr>
        <w:trPr>
          <w:trHeight w:val="155"/>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Development revenue:</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r>
      <w:tr>
        <w:trPr>
          <w:trHeight w:val="229"/>
        </w:trPr>
        <w:tc>
          <w:tcPr>
            <w:tcW w:w="4640" w:type="dxa"/>
            <w:vAlign w:val="bottom"/>
          </w:tcPr>
          <w:p>
            <w:pPr>
              <w:ind w:left="240"/>
              <w:spacing w:after="0"/>
              <w:rPr>
                <w:sz w:val="20"/>
                <w:szCs w:val="20"/>
                <w:color w:val="auto"/>
              </w:rPr>
            </w:pPr>
            <w:r>
              <w:rPr>
                <w:rFonts w:ascii="Arial" w:cs="Arial" w:eastAsia="Arial" w:hAnsi="Arial"/>
                <w:sz w:val="18"/>
                <w:szCs w:val="18"/>
                <w:color w:val="auto"/>
              </w:rPr>
              <w:t>Astellas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4,737</w:t>
            </w:r>
          </w:p>
        </w:tc>
        <w:tc>
          <w:tcPr>
            <w:tcW w:w="3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4,859</w:t>
            </w:r>
          </w:p>
        </w:tc>
        <w:tc>
          <w:tcPr>
            <w:tcW w:w="30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(122)</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 %</w:t>
            </w:r>
          </w:p>
        </w:tc>
      </w:tr>
      <w:tr>
        <w:trPr>
          <w:trHeight w:val="230"/>
        </w:trPr>
        <w:tc>
          <w:tcPr>
            <w:tcW w:w="4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AstraZeneca</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14,709</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19,004</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w w:val="94"/>
              </w:rPr>
              <w:t>(4,295)</w:t>
            </w:r>
          </w:p>
        </w:tc>
        <w:tc>
          <w:tcPr>
            <w:tcW w:w="11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(23) %</w:t>
            </w:r>
          </w:p>
        </w:tc>
      </w:tr>
      <w:tr>
        <w:trPr>
          <w:trHeight w:val="223"/>
        </w:trPr>
        <w:tc>
          <w:tcPr>
            <w:tcW w:w="4640" w:type="dxa"/>
            <w:vAlign w:val="bottom"/>
          </w:tcPr>
          <w:p>
            <w:pPr>
              <w:ind w:left="480"/>
              <w:spacing w:after="0"/>
              <w:rPr>
                <w:sz w:val="20"/>
                <w:szCs w:val="20"/>
                <w:color w:val="auto"/>
              </w:rPr>
            </w:pPr>
            <w:r>
              <w:rPr>
                <w:rFonts w:ascii="Arial" w:cs="Arial" w:eastAsia="Arial" w:hAnsi="Arial"/>
                <w:sz w:val="18"/>
                <w:szCs w:val="18"/>
                <w:color w:val="auto"/>
              </w:rPr>
              <w:t>Total development revenue</w:t>
            </w: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19,446</w:t>
            </w:r>
          </w:p>
        </w:tc>
        <w:tc>
          <w:tcPr>
            <w:tcW w:w="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23,863</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(4,417)</w:t>
            </w:r>
          </w:p>
        </w:tc>
        <w:tc>
          <w:tcPr>
            <w:tcW w:w="4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(19) %</w:t>
            </w:r>
          </w:p>
        </w:tc>
      </w:tr>
      <w:tr>
        <w:trPr>
          <w:trHeight w:val="20"/>
        </w:trPr>
        <w:tc>
          <w:tcPr>
            <w:tcW w:w="4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Development and other revenue decreased $4.4 million, or 19% for the three months ended March 31, 2020 compared to the same period a year ago. Development revenue recognized under our collaboration agreements with AstraZeneca and Astellas decreased $4.3 million, or 23%, and $0.1 million, or 3%, respectively primarily due to decreases in co-development billings related to the development of roxadustat as a result of the substantial completion of Phase 3 trials for roxadustat.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Revenue, Net</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Gross revenue</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Contractual sales rebate</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Key account hospital sales rebate</w:t>
      </w:r>
    </w:p>
    <w:p>
      <w:pPr>
        <w:spacing w:after="0" w:line="4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Transfer fee discount</w:t>
      </w:r>
    </w:p>
    <w:p>
      <w:pPr>
        <w:spacing w:after="0" w:line="3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Product revenue, net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Three Months Ended March 31, 2020</w:t>
            </w:r>
          </w:p>
        </w:tc>
      </w:tr>
      <w:tr>
        <w:trPr>
          <w:trHeight w:val="155"/>
        </w:trPr>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660" w:type="dxa"/>
            <w:vAlign w:val="bottom"/>
            <w:tcBorders>
              <w:top w:val="single" w:sz="8" w:color="auto"/>
            </w:tcBorders>
          </w:tcPr>
          <w:p>
            <w:pPr>
              <w:jc w:val="right"/>
              <w:ind w:right="675"/>
              <w:spacing w:after="0" w:line="155"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3"/>
                <w:szCs w:val="13"/>
                <w:color w:val="auto"/>
              </w:rPr>
            </w:pPr>
          </w:p>
        </w:tc>
      </w:tr>
      <w:tr>
        <w:trPr>
          <w:trHeight w:val="230"/>
        </w:trPr>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2660" w:type="dxa"/>
            <w:vAlign w:val="bottom"/>
          </w:tcPr>
          <w:p>
            <w:pPr>
              <w:jc w:val="right"/>
              <w:spacing w:after="0"/>
              <w:rPr>
                <w:sz w:val="20"/>
                <w:szCs w:val="20"/>
                <w:color w:val="auto"/>
              </w:rPr>
            </w:pPr>
            <w:r>
              <w:rPr>
                <w:rFonts w:ascii="Arial" w:cs="Arial" w:eastAsia="Arial" w:hAnsi="Arial"/>
                <w:sz w:val="18"/>
                <w:szCs w:val="18"/>
                <w:color w:val="auto"/>
              </w:rPr>
              <w:t>5,372</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(376)</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2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-3139440</wp:posOffset>
            </wp:positionH>
            <wp:positionV relativeFrom="paragraph">
              <wp:posOffset>-762000</wp:posOffset>
            </wp:positionV>
            <wp:extent cx="4989195"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-3139440</wp:posOffset>
            </wp:positionH>
            <wp:positionV relativeFrom="paragraph">
              <wp:posOffset>-471170</wp:posOffset>
            </wp:positionV>
            <wp:extent cx="498919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-3139440</wp:posOffset>
            </wp:positionH>
            <wp:positionV relativeFrom="paragraph">
              <wp:posOffset>-179070</wp:posOffset>
            </wp:positionV>
            <wp:extent cx="4989195"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89195"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20" w:space="720"/>
            <w:col w:w="4560"/>
          </w:cols>
          <w:pgMar w:left="320" w:top="125" w:right="379" w:bottom="1440" w:gutter="0" w:footer="0" w:header="0"/>
          <w:type w:val="continuous"/>
        </w:sectPr>
      </w:pPr>
    </w:p>
    <w:p>
      <w:pPr>
        <w:spacing w:after="0" w:line="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started commercial sales of roxadustat drug product in China in the third quarter of 2019. Product revenue is recognized in an amount that reflects the consideration to which we expect to be entitled in exchange for those products, net of contractual sales rebate and other discounts. The gross product revenue for the three months ended March 31, 2020 was $5.4 million. The contractual sales rebate was $0.4 million, which was calculated based on the stated percentage of gross sales by each distributor in the distribution agreement entered between us and each distributor. Key account hospital sales rebate, transfer fee discount and sales return allowance were immaterial for the period.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 and Expenses</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Pr>
          <w:p>
            <w:pPr>
              <w:spacing w:after="0"/>
              <w:rPr>
                <w:sz w:val="14"/>
                <w:szCs w:val="14"/>
                <w:color w:val="auto"/>
              </w:rPr>
            </w:pPr>
          </w:p>
        </w:tc>
        <w:tc>
          <w:tcPr>
            <w:tcW w:w="92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56"/>
        </w:trPr>
        <w:tc>
          <w:tcPr>
            <w:tcW w:w="3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spacing w:after="0"/>
              <w:rPr>
                <w:sz w:val="13"/>
                <w:szCs w:val="13"/>
                <w:color w:val="auto"/>
              </w:rPr>
            </w:pPr>
          </w:p>
        </w:tc>
      </w:tr>
      <w:tr>
        <w:trPr>
          <w:trHeight w:val="155"/>
        </w:trPr>
        <w:tc>
          <w:tcPr>
            <w:tcW w:w="3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Operating costs and expenses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r>
      <w:tr>
        <w:trPr>
          <w:trHeight w:val="229"/>
        </w:trPr>
        <w:tc>
          <w:tcPr>
            <w:tcW w:w="3800" w:type="dxa"/>
            <w:vAlign w:val="bottom"/>
          </w:tcPr>
          <w:p>
            <w:pPr>
              <w:ind w:left="240"/>
              <w:spacing w:after="0"/>
              <w:rPr>
                <w:sz w:val="20"/>
                <w:szCs w:val="20"/>
                <w:color w:val="auto"/>
              </w:rPr>
            </w:pPr>
            <w:r>
              <w:rPr>
                <w:rFonts w:ascii="Arial" w:cs="Arial" w:eastAsia="Arial" w:hAnsi="Arial"/>
                <w:sz w:val="18"/>
                <w:szCs w:val="18"/>
                <w:color w:val="auto"/>
              </w:rPr>
              <w:t>Cost of goods sold</w:t>
            </w:r>
          </w:p>
        </w:tc>
        <w:tc>
          <w:tcPr>
            <w:tcW w:w="10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970</w:t>
            </w:r>
          </w:p>
        </w:tc>
        <w:tc>
          <w:tcPr>
            <w:tcW w:w="3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970</w:t>
            </w: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29"/>
        </w:trPr>
        <w:tc>
          <w:tcPr>
            <w:tcW w:w="3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54,902</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50,496</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4,406</w:t>
            </w:r>
          </w:p>
        </w:tc>
        <w:tc>
          <w:tcPr>
            <w:tcW w:w="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30"/>
        </w:trPr>
        <w:tc>
          <w:tcPr>
            <w:tcW w:w="3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49,603</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22,210</w:t>
            </w: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27,393</w:t>
            </w:r>
          </w:p>
        </w:tc>
        <w:tc>
          <w:tcPr>
            <w:tcW w:w="40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123</w:t>
            </w:r>
          </w:p>
        </w:tc>
        <w:tc>
          <w:tcPr>
            <w:tcW w:w="460" w:type="dxa"/>
            <w:vAlign w:val="bottom"/>
            <w:tcBorders>
              <w:bottom w:val="single" w:sz="8" w:color="CFF0FC"/>
            </w:tcBorders>
          </w:tcPr>
          <w:p>
            <w:pPr>
              <w:jc w:val="right"/>
              <w:ind w:right="110"/>
              <w:spacing w:after="0"/>
              <w:rPr>
                <w:sz w:val="20"/>
                <w:szCs w:val="20"/>
                <w:color w:val="auto"/>
              </w:rPr>
            </w:pPr>
            <w:r>
              <w:rPr>
                <w:rFonts w:ascii="Arial" w:cs="Arial" w:eastAsia="Arial" w:hAnsi="Arial"/>
                <w:sz w:val="18"/>
                <w:szCs w:val="18"/>
                <w:color w:val="auto"/>
              </w:rPr>
              <w:t>%</w:t>
            </w:r>
          </w:p>
        </w:tc>
      </w:tr>
      <w:tr>
        <w:trPr>
          <w:trHeight w:val="223"/>
        </w:trPr>
        <w:tc>
          <w:tcPr>
            <w:tcW w:w="38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costs and expenses</w:t>
            </w:r>
          </w:p>
        </w:tc>
        <w:tc>
          <w:tcPr>
            <w:tcW w:w="8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105,475</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72,706</w:t>
            </w:r>
          </w:p>
        </w:tc>
        <w:tc>
          <w:tcPr>
            <w:tcW w:w="30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32,769</w:t>
            </w:r>
          </w:p>
        </w:tc>
        <w:tc>
          <w:tcPr>
            <w:tcW w:w="4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46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r>
      <w:tr>
        <w:trPr>
          <w:trHeight w:val="20"/>
        </w:trPr>
        <w:tc>
          <w:tcPr>
            <w:tcW w:w="3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taken measures to minimize the health risks of COVID-19 to our staff, patients, healthcare providers and their communities, as their safety and well-being are our top priority. In the U.S., our employees are working remotely when possible, while in China they have returned to work in our offices, manufacturing plants, and are performing medical affairs out in the field. We have also seen some reduced enrollment in our clinical trials, particularly for our IPF pamrevlumab trial that has paused enrollment. However, the overall impact of COVID-19 on our expenses was not significant. In the first quarter of 2020, some reduction in expenses, such as due to reduced travel and paused or slowed enrollment for trials, were offset by some increased expenses, such as in patient care.</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Total operating costs and expenses increased $32.8 million, or 45% for the three months ended March 31, 2020, compared to the same periods a year ago, for the reason discussed in the sections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Cost of Goods Sold</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Cost of goods sold, associated with the commercial sales of roxadustat drug product in China, consists of direct costs to manufacture commercial drug product, as well as indirect costs including factory overhead, storage, shipping, quality assurance, idle capacity charges, and inventory valuation reserve. Cost of goods sold was $1.0 million for the three months ended March 31, 2020, primarily consisted of costs associated with the manufacturing of roxadustat drug product.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Research and development expenses consist of third-party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incurred during the three months ended March 31, 2020 and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240" w:type="dxa"/>
            <w:vAlign w:val="bottom"/>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204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Phase of Development</w:t>
            </w:r>
          </w:p>
        </w:tc>
        <w:tc>
          <w:tcPr>
            <w:tcW w:w="400" w:type="dxa"/>
            <w:vAlign w:val="bottom"/>
          </w:tcPr>
          <w:p>
            <w:pPr>
              <w:spacing w:after="0"/>
              <w:rPr>
                <w:sz w:val="14"/>
                <w:szCs w:val="14"/>
                <w:color w:val="auto"/>
              </w:rPr>
            </w:pPr>
          </w:p>
        </w:tc>
        <w:tc>
          <w:tcPr>
            <w:tcW w:w="342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4240" w:type="dxa"/>
            <w:vAlign w:val="bottom"/>
            <w:vMerge w:val="continue"/>
          </w:tcPr>
          <w:p>
            <w:pPr>
              <w:spacing w:after="0"/>
              <w:rPr>
                <w:sz w:val="13"/>
                <w:szCs w:val="13"/>
                <w:color w:val="auto"/>
              </w:rPr>
            </w:pPr>
          </w:p>
        </w:tc>
        <w:tc>
          <w:tcPr>
            <w:tcW w:w="2040" w:type="dxa"/>
            <w:vAlign w:val="bottom"/>
            <w:gridSpan w:val="3"/>
            <w:vMerge w:val="continue"/>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637"/>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63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100" w:type="dxa"/>
            <w:vAlign w:val="bottom"/>
            <w:tcBorders>
              <w:top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(in thousands)</w:t>
            </w: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Roxadustat</w:t>
            </w:r>
          </w:p>
        </w:tc>
        <w:tc>
          <w:tcPr>
            <w:tcW w:w="20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Phase 3</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26,038</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Pamrevlumab</w:t>
            </w:r>
          </w:p>
        </w:tc>
        <w:tc>
          <w:tcPr>
            <w:tcW w:w="2040" w:type="dxa"/>
            <w:vAlign w:val="bottom"/>
            <w:gridSpan w:val="3"/>
          </w:tcPr>
          <w:p>
            <w:pPr>
              <w:ind w:left="200"/>
              <w:spacing w:after="0"/>
              <w:rPr>
                <w:sz w:val="20"/>
                <w:szCs w:val="20"/>
                <w:color w:val="auto"/>
              </w:rPr>
            </w:pPr>
            <w:r>
              <w:rPr>
                <w:rFonts w:ascii="Arial" w:cs="Arial" w:eastAsia="Arial" w:hAnsi="Arial"/>
                <w:sz w:val="18"/>
                <w:szCs w:val="18"/>
                <w:color w:val="auto"/>
              </w:rPr>
              <w:t>Phase 2/3</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22,100</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FG-5200</w:t>
            </w:r>
          </w:p>
        </w:tc>
        <w:tc>
          <w:tcPr>
            <w:tcW w:w="2040" w:type="dxa"/>
            <w:vAlign w:val="bottom"/>
            <w:gridSpan w:val="3"/>
            <w:shd w:val="clear" w:color="auto" w:fill="CFF0FC"/>
          </w:tcPr>
          <w:p>
            <w:pPr>
              <w:ind w:left="200"/>
              <w:spacing w:after="0"/>
              <w:rPr>
                <w:sz w:val="20"/>
                <w:szCs w:val="20"/>
                <w:color w:val="auto"/>
              </w:rPr>
            </w:pPr>
            <w:r>
              <w:rPr>
                <w:rFonts w:ascii="Arial" w:cs="Arial" w:eastAsia="Arial" w:hAnsi="Arial"/>
                <w:sz w:val="18"/>
                <w:szCs w:val="18"/>
                <w:color w:val="auto"/>
              </w:rPr>
              <w:t>Preclinical</w:t>
            </w: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research and development expenses</w:t>
            </w:r>
          </w:p>
        </w:tc>
        <w:tc>
          <w:tcPr>
            <w:tcW w:w="20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5,729</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20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54,902</w:t>
            </w:r>
          </w:p>
        </w:tc>
        <w:tc>
          <w:tcPr>
            <w:tcW w:w="2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50,496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increase in the future as we advance our product candidates through clinical trials and expand our product candidate portfolio.</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Research and development expenses increased $4.4 million, or 9% for the three months ended March 31, 2020, compared to the same period a year ago, as a result of the following:</w:t>
      </w:r>
    </w:p>
    <w:p>
      <w:pPr>
        <w:spacing w:after="0" w:line="62" w:lineRule="exact"/>
        <w:rPr>
          <w:sz w:val="20"/>
          <w:szCs w:val="20"/>
          <w:color w:val="auto"/>
        </w:rPr>
      </w:pPr>
    </w:p>
    <w:p>
      <w:pPr>
        <w:ind w:left="380" w:right="140" w:hanging="372"/>
        <w:spacing w:after="0" w:line="258"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of $3.2 million in drug development expenses, primarily due to higher drug substance manufacturing activities related to pamrevlumab, and higher drug substance manufacturing activities related to roxadustat in its global program;</w:t>
      </w:r>
    </w:p>
    <w:p>
      <w:pPr>
        <w:spacing w:after="0" w:line="1" w:lineRule="exact"/>
        <w:rPr>
          <w:rFonts w:ascii="Arial" w:cs="Arial" w:eastAsia="Arial" w:hAnsi="Arial"/>
          <w:sz w:val="18"/>
          <w:szCs w:val="18"/>
          <w:color w:val="auto"/>
        </w:rPr>
      </w:pPr>
    </w:p>
    <w:p>
      <w:pPr>
        <w:ind w:left="380" w:right="200" w:hanging="372"/>
        <w:spacing w:after="0" w:line="265"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Increase of $2.4 million in clinical trials costs, primarily due to commencement of Phase 3 trials for pamrevlumab, partially offset by the substantial completion of Phase 3 trials for roxadustat and lower activities related to NDA preparation as it was submitted in December 2019;</w:t>
      </w:r>
    </w:p>
    <w:p>
      <w:pPr>
        <w:ind w:left="380" w:right="40" w:hanging="372"/>
        <w:spacing w:after="0" w:line="25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of $2.2 million in facility related expense, primarily due to higher allocated overhead costs and higher depreciation expenses related to China facilities;</w:t>
      </w: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 of $1.1 million in stock-based compensation expense, primarily due to the cumulative impact of stock option grant activities;</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 of $2.8 million due to capitalization of inventory manufacturing costs associated with roxadustat production; and</w:t>
      </w:r>
    </w:p>
    <w:p>
      <w:pPr>
        <w:spacing w:after="0" w:line="9" w:lineRule="exact"/>
        <w:rPr>
          <w:rFonts w:ascii="Arial" w:cs="Arial" w:eastAsia="Arial" w:hAnsi="Arial"/>
          <w:sz w:val="18"/>
          <w:szCs w:val="18"/>
          <w:color w:val="auto"/>
        </w:rPr>
      </w:pPr>
    </w:p>
    <w:p>
      <w:pPr>
        <w:ind w:left="380" w:right="800" w:hanging="372"/>
        <w:spacing w:after="0" w:line="260"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Decrease of $1.5 million in outside services due to lower consulting expenses and scientific contract work related to roxadustat Phase 3 and submission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 Expenses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started to incur sales and marketing expenses in the first quarter of 2019 in China to prepare for commercial operations. 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recruiting fees and expenses associated with obtaining and maintaining patents.</w:t>
      </w:r>
    </w:p>
    <w:p>
      <w:pPr>
        <w:spacing w:after="0" w:line="1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We anticipate that our SG&amp;A expenses will increase in the future as we increase co-promotional expenses for roxadustat. Additionally, we anticipate an increase in payroll and related expenses associated with an increase in headcount to support the growth of the business in connection with potential commercialization of our product candidates.</w:t>
      </w:r>
    </w:p>
    <w:p>
      <w:pPr>
        <w:spacing w:after="0" w:line="1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SG&amp;A expenses increased $27.4 million, or 123% for the three months ended March 31, 2020, compared to the same period a year ago, as a result of the following:</w:t>
      </w:r>
    </w:p>
    <w:p>
      <w:pPr>
        <w:spacing w:after="0" w:line="62" w:lineRule="exact"/>
        <w:rPr>
          <w:sz w:val="20"/>
          <w:szCs w:val="20"/>
          <w:color w:val="auto"/>
        </w:rPr>
      </w:pPr>
    </w:p>
    <w:p>
      <w:pPr>
        <w:ind w:left="380" w:right="440" w:hanging="372"/>
        <w:spacing w:after="0" w:line="274" w:lineRule="auto"/>
        <w:tabs>
          <w:tab w:leader="none" w:pos="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 of $26.8 million in outside service expenses, due to the recognition of our share of co-promotional expenses incurred during the current period with AstraZeneca sales and marketing efforts related to the commercial launch of roxadustat in China; and</w:t>
      </w:r>
    </w:p>
    <w:p>
      <w:pPr>
        <w:ind w:left="380" w:right="640" w:hanging="372"/>
        <w:spacing w:after="0" w:line="260"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of $1.0 million in employee-related costs primarily due to higher headcount in the sales and marketing functions in China and higher compensation levels.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Three Months Ended March 31,</w:t>
            </w:r>
          </w:p>
        </w:tc>
        <w:tc>
          <w:tcPr>
            <w:tcW w:w="2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55"/>
        </w:trPr>
        <w:tc>
          <w:tcPr>
            <w:tcW w:w="5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3"/>
                <w:szCs w:val="13"/>
                <w:color w:val="auto"/>
              </w:rPr>
            </w:pPr>
          </w:p>
        </w:tc>
      </w:tr>
      <w:tr>
        <w:trPr>
          <w:trHeight w:val="155"/>
        </w:trPr>
        <w:tc>
          <w:tcPr>
            <w:tcW w:w="5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80" w:type="dxa"/>
            <w:vAlign w:val="bottom"/>
            <w:gridSpan w:val="5"/>
          </w:tcPr>
          <w:p>
            <w:pPr>
              <w:jc w:val="right"/>
              <w:ind w:right="800"/>
              <w:spacing w:after="0" w:line="155"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r>
      <w:tr>
        <w:trPr>
          <w:trHeight w:val="230"/>
        </w:trPr>
        <w:tc>
          <w:tcPr>
            <w:tcW w:w="51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(770)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 %</w:t>
            </w:r>
          </w:p>
        </w:tc>
      </w:tr>
      <w:tr>
        <w:trPr>
          <w:trHeight w:val="229"/>
        </w:trPr>
        <w:tc>
          <w:tcPr>
            <w:tcW w:w="5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 and other, net</w:t>
            </w: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(1,012)</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 %</w:t>
            </w:r>
          </w:p>
        </w:tc>
      </w:tr>
      <w:tr>
        <w:trPr>
          <w:trHeight w:val="223"/>
        </w:trPr>
        <w:tc>
          <w:tcPr>
            <w:tcW w:w="5100" w:type="dxa"/>
            <w:vAlign w:val="bottom"/>
          </w:tcPr>
          <w:p>
            <w:pPr>
              <w:ind w:left="480"/>
              <w:spacing w:after="0"/>
              <w:rPr>
                <w:sz w:val="20"/>
                <w:szCs w:val="20"/>
                <w:color w:val="auto"/>
              </w:rPr>
            </w:pPr>
            <w:r>
              <w:rPr>
                <w:rFonts w:ascii="Arial" w:cs="Arial" w:eastAsia="Arial" w:hAnsi="Arial"/>
                <w:sz w:val="18"/>
                <w:szCs w:val="18"/>
                <w:color w:val="auto"/>
              </w:rPr>
              <w:t>Total interest and other,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w:t>
            </w: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3,407</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 %</w:t>
            </w:r>
          </w:p>
        </w:tc>
      </w:tr>
      <w:tr>
        <w:trPr>
          <w:trHeight w:val="20"/>
        </w:trPr>
        <w:tc>
          <w:tcPr>
            <w:tcW w:w="5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relates to our finance lease liabilities accretion primarily for our leased facilities in San Francisco and China. Interest expense also includes interest related to the Technology Development Center of the Republic of Finland product development obligations.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Net</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w:t>
      </w:r>
    </w:p>
    <w:p>
      <w:pPr>
        <w:spacing w:after="0" w:line="184"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Interest income and other, net decreased $1.0 million, or 24% for the three months ended March 31, 2020, compared to the same period a year ago, primarily due to $1.5 million lower interest earned on our cash, cash equivalents and investments associated with the lower average balances, partially offset by $0.9 million higher unrealized foreign currency gain during the current year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 from Income Taxes</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4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w w:val="95"/>
              </w:rPr>
              <w:t>Three Months Ended March 31,</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3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55"/>
        </w:trPr>
        <w:tc>
          <w:tcPr>
            <w:tcW w:w="3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80" w:type="dxa"/>
            <w:vAlign w:val="bottom"/>
            <w:gridSpan w:val="2"/>
          </w:tcPr>
          <w:p>
            <w:pPr>
              <w:jc w:val="center"/>
              <w:ind w:right="299"/>
              <w:spacing w:after="0" w:line="155" w:lineRule="exact"/>
              <w:rPr>
                <w:sz w:val="20"/>
                <w:szCs w:val="20"/>
                <w:color w:val="auto"/>
              </w:rPr>
            </w:pPr>
            <w:r>
              <w:rPr>
                <w:rFonts w:ascii="Arial" w:cs="Arial" w:eastAsia="Arial" w:hAnsi="Arial"/>
                <w:sz w:val="14"/>
                <w:szCs w:val="14"/>
                <w:b w:val="1"/>
                <w:bCs w:val="1"/>
                <w:color w:val="auto"/>
                <w:w w:val="91"/>
              </w:rPr>
              <w:t>(dollars in thousands)</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68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w w:val="95"/>
              </w:rPr>
              <w:t>(78,542)</w:t>
            </w:r>
          </w:p>
        </w:tc>
        <w:tc>
          <w:tcPr>
            <w:tcW w:w="1040" w:type="dxa"/>
            <w:vAlign w:val="bottom"/>
            <w:shd w:val="clear" w:color="auto" w:fill="CFF0FC"/>
          </w:tcPr>
          <w:p>
            <w:pPr>
              <w:jc w:val="right"/>
              <w:ind w:right="799"/>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5"/>
              </w:rPr>
              <w:t>(45,436)</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1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tcPr>
          <w:p>
            <w:pPr>
              <w:jc w:val="right"/>
              <w:ind w:right="95"/>
              <w:spacing w:after="0"/>
              <w:rPr>
                <w:sz w:val="20"/>
                <w:szCs w:val="20"/>
                <w:color w:val="auto"/>
              </w:rPr>
            </w:pPr>
            <w:r>
              <w:rPr>
                <w:rFonts w:ascii="Arial" w:cs="Arial" w:eastAsia="Arial" w:hAnsi="Arial"/>
                <w:sz w:val="18"/>
                <w:szCs w:val="18"/>
                <w:color w:val="auto"/>
              </w:rPr>
              <w:t>(194)</w:t>
            </w:r>
          </w:p>
        </w:tc>
        <w:tc>
          <w:tcPr>
            <w:tcW w:w="10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r>
      <w:tr>
        <w:trPr>
          <w:trHeight w:val="229"/>
        </w:trPr>
        <w:tc>
          <w:tcPr>
            <w:tcW w:w="3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1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10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benefits from income taxes for the three months ended March 31, 2020 and 2019 were primarily due to the tax effect arising from other comprehensive income related to available-for-sale securities, partially offset by foreign taxes.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March 27, 2020, the Coronavirus Aid, Relief and Economic Security Act (“CARES Act”) was enacted and signed into law. The CARES Act includes changes to the tax provisions that benefits business entities, and makes certain technical corrections to the 2017 Tax Cuts and Jobs Act. U.S. GAAP requires recognition of the tax effects of new legislation during the reporting period that includes the enactment date. We evaluated and determined that the impact is immaterial.</w:t>
      </w:r>
    </w:p>
    <w:p>
      <w:pPr>
        <w:spacing w:after="0" w:line="18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we have established and continue to maintain a full valuation allowance against our deferred tax assets as we do not currently believe that realization of those assets is more likely than not.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have historically funded our operations principally from the sale of common stock (including our public offering proceeds) and from the execution of certain collaboration agreements involving license payments, milestones and reimbursement for development services.</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As of March 31, 2020, we had cash and cash equivalents of $121.6 million. Cash is invested in accordance with our investment policy, primarily with a view to liquidity and capital preservation. Investments, consisting of available-for-sale debt investments, marketable equity investments, and certificate of deposit, and stated at fair value, are also available as a source of liquidity. As of March 31, 2020, we had short-term and long-term investments of $413.9 million and $0.2 million, respectively. As of March 31, 2020, a total of $29.8 million of our cash and cash equivalents was held outside of the U.S. in our foreign subsidiaries to be used primarily for our China operations.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the third quarter of 2019, we started generating revenue from commercial sales of roxadustat drug product in China. Even with the expectation of increases in revenue from drug product sales, we anticipate that we will continue to generate losses for the foreseeable future. We expect increase in our operating expenses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such as from the COVID-19 pandemic or other factors outlined under Part II, Item 1A “</w:t>
      </w:r>
      <w:r>
        <w:rPr>
          <w:rFonts w:ascii="Arial" w:cs="Arial" w:eastAsia="Arial" w:hAnsi="Arial"/>
          <w:sz w:val="17"/>
          <w:szCs w:val="17"/>
          <w:i w:val="1"/>
          <w:iCs w:val="1"/>
          <w:color w:val="auto"/>
        </w:rPr>
        <w:t>Risk Factors</w:t>
      </w:r>
      <w:r>
        <w:rPr>
          <w:rFonts w:ascii="Arial" w:cs="Arial" w:eastAsia="Arial" w:hAnsi="Arial"/>
          <w:sz w:val="17"/>
          <w:szCs w:val="17"/>
          <w:color w:val="auto"/>
        </w:rPr>
        <w:t>” in this Quarterly Report on Form 10-Q. We anticipate that we will need substantial additional funding in connection with our continuing operations.</w:t>
      </w:r>
    </w:p>
    <w:p>
      <w:pPr>
        <w:spacing w:after="0" w:line="1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our existing cash and cash equivalents, short-term and long-term investments and accounts receivable will be sufficient to meet our anticipated cash requirements for at least the next 12 months from the date of this Quarterly Report on Form 10-Q.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set forth below:</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55"/>
        </w:trPr>
        <w:tc>
          <w:tcPr>
            <w:tcW w:w="5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20" w:type="dxa"/>
            <w:vAlign w:val="bottom"/>
            <w:gridSpan w:val="4"/>
          </w:tcPr>
          <w:p>
            <w:pPr>
              <w:jc w:val="right"/>
              <w:ind w:right="49"/>
              <w:spacing w:after="0" w:line="155"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2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9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(59,486)</w:t>
            </w:r>
          </w:p>
        </w:tc>
        <w:tc>
          <w:tcPr>
            <w:tcW w:w="420" w:type="dxa"/>
            <w:vAlign w:val="bottom"/>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22,480</w:t>
            </w:r>
          </w:p>
        </w:tc>
        <w:tc>
          <w:tcPr>
            <w:tcW w:w="80" w:type="dxa"/>
            <w:vAlign w:val="bottom"/>
          </w:tcPr>
          <w:p>
            <w:pPr>
              <w:spacing w:after="0"/>
              <w:rPr>
                <w:sz w:val="19"/>
                <w:szCs w:val="19"/>
                <w:color w:val="auto"/>
              </w:rPr>
            </w:pP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56,009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(26,487)</w:t>
            </w:r>
          </w:p>
        </w:tc>
      </w:tr>
      <w:tr>
        <w:trPr>
          <w:trHeight w:val="230"/>
        </w:trPr>
        <w:tc>
          <w:tcPr>
            <w:tcW w:w="532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(1,190)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(3,534)</w:t>
            </w:r>
          </w:p>
        </w:tc>
      </w:tr>
      <w:tr>
        <w:trPr>
          <w:trHeight w:val="230"/>
        </w:trPr>
        <w:tc>
          <w:tcPr>
            <w:tcW w:w="5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and cash equivalents</w:t>
            </w:r>
          </w:p>
        </w:tc>
        <w:tc>
          <w:tcPr>
            <w:tcW w:w="6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r>
      <w:tr>
        <w:trPr>
          <w:trHeight w:val="223"/>
        </w:trPr>
        <w:tc>
          <w:tcPr>
            <w:tcW w:w="5320" w:type="dxa"/>
            <w:vAlign w:val="bottom"/>
          </w:tcPr>
          <w:p>
            <w:pPr>
              <w:ind w:left="480"/>
              <w:spacing w:after="0"/>
              <w:rPr>
                <w:sz w:val="20"/>
                <w:szCs w:val="20"/>
                <w:color w:val="auto"/>
              </w:rPr>
            </w:pPr>
            <w:r>
              <w:rPr>
                <w:rFonts w:ascii="Arial" w:cs="Arial" w:eastAsia="Arial" w:hAnsi="Arial"/>
                <w:sz w:val="18"/>
                <w:szCs w:val="18"/>
                <w:color w:val="auto"/>
              </w:rPr>
              <w:t>Net increase (decrease) in cash and cash equivalents</w:t>
            </w:r>
          </w:p>
        </w:tc>
        <w:tc>
          <w:tcPr>
            <w:tcW w:w="6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(7,585)</w:t>
            </w:r>
          </w:p>
        </w:tc>
        <w:tc>
          <w:tcPr>
            <w:tcW w:w="8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Net cash used in operating activities was $59.5 million for the three months ended March 31, 2020 and consisted primarily of net loss of $78.3 million adjusted for non-cash items of $22.1 million, offset by a net decrease in operating assets and liabilities of $3.2 million. The significant non-cash items included stock-based compensation expense of $16.9 million, depreciation expense of $2.9 million and amortization of finance lease ROU of $2.6 million. The significant items in the changes in operating assets and liabilities included the decreases resulting from the following:</w:t>
      </w:r>
    </w:p>
    <w:p>
      <w:pPr>
        <w:spacing w:after="0" w:line="63" w:lineRule="exact"/>
        <w:rPr>
          <w:sz w:val="20"/>
          <w:szCs w:val="20"/>
          <w:color w:val="auto"/>
        </w:rPr>
      </w:pPr>
    </w:p>
    <w:p>
      <w:pPr>
        <w:ind w:left="380" w:right="80" w:hanging="372"/>
        <w:spacing w:after="0" w:line="25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Accrued and other liabilities of $41.2 million, primarily driven by the payment of $36.3 million that was accrued at December 31, 2019, related to the change in estimated variable consideration associated with the roxadustat active pharmaceutical ingredient (“API”) delivery; as well as driven by the timing of invoicing and payment;</w:t>
      </w:r>
    </w:p>
    <w:p>
      <w:pPr>
        <w:spacing w:after="0" w:line="2" w:lineRule="exact"/>
        <w:rPr>
          <w:rFonts w:ascii="Arial" w:cs="Arial" w:eastAsia="Arial" w:hAnsi="Arial"/>
          <w:sz w:val="18"/>
          <w:szCs w:val="18"/>
          <w:color w:val="auto"/>
        </w:rPr>
      </w:pPr>
    </w:p>
    <w:p>
      <w:pPr>
        <w:ind w:left="380" w:right="340" w:hanging="372"/>
        <w:spacing w:after="0" w:line="277"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Accounts receivable of $30.1 million, primarily related to the billing of a $50.0 million regulatory milestone under the U.S./RoW Agreement with AstraZeneca associated with the FDA acceptance of our NDA submission for review in the U.S., as well as driven by the timing of the receipt of upfront payments and recognition of revenues under our collaboration agreements with Astellas and AstraZeneca;</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Accounts payable of $3.2 million, primarily driven by the timing of invoicing and payment; and</w:t>
      </w:r>
    </w:p>
    <w:p>
      <w:pPr>
        <w:spacing w:after="0" w:line="23" w:lineRule="exact"/>
        <w:rPr>
          <w:rFonts w:ascii="Arial" w:cs="Arial" w:eastAsia="Arial" w:hAnsi="Arial"/>
          <w:sz w:val="18"/>
          <w:szCs w:val="18"/>
          <w:color w:val="auto"/>
        </w:rPr>
      </w:pPr>
    </w:p>
    <w:p>
      <w:pPr>
        <w:ind w:left="380" w:right="420" w:hanging="372"/>
        <w:spacing w:after="0" w:line="260"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Inventories of $1.5 million, driven by the increased inventory level related to FibroGen Beijing’s productions of roxadustat for commercial sales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decreases were partially offset by the increases resulting from the following:</w:t>
      </w:r>
    </w:p>
    <w:p>
      <w:pPr>
        <w:spacing w:after="0" w:line="117" w:lineRule="exact"/>
        <w:rPr>
          <w:sz w:val="20"/>
          <w:szCs w:val="20"/>
          <w:color w:val="auto"/>
        </w:rPr>
      </w:pPr>
    </w:p>
    <w:p>
      <w:pPr>
        <w:ind w:left="380" w:right="20" w:hanging="372"/>
        <w:spacing w:after="0" w:line="254"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Deferred revenue of $48.0 million, primarily related to the above-mentioned billing of the $50.0 million regulatory milestone. Such milestone was not billable to AstraZeneca as of December 31, 2019 under the U.S./RoW Agreement. As a result, the associated deferred revenues was net by $50.0 million at December 31, 2019. The change in deferred revenue was also driven by the recognition of revenues under our collaboration agreements with Astellas and AstraZeneca; and</w:t>
      </w:r>
    </w:p>
    <w:p>
      <w:pPr>
        <w:spacing w:after="0" w:line="2" w:lineRule="exact"/>
        <w:rPr>
          <w:rFonts w:ascii="Arial" w:cs="Arial" w:eastAsia="Arial" w:hAnsi="Arial"/>
          <w:sz w:val="18"/>
          <w:szCs w:val="18"/>
          <w:color w:val="auto"/>
        </w:rPr>
      </w:pPr>
    </w:p>
    <w:p>
      <w:pPr>
        <w:ind w:left="380" w:right="580" w:hanging="372"/>
        <w:spacing w:after="0" w:line="290"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Other long-term liabilities of $24.9 million, primarily due to the additional accrual of co-promotional expenses with AstraZeneca for sales and marketing efforts related to the commercial launch of roxadustat in China that are not expected to be paid in the next year.</w:t>
      </w:r>
    </w:p>
    <w:p>
      <w:pPr>
        <w:spacing w:after="0" w:line="16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provided by operating activities was $22.5 million for the three months ended March 31, 2019 and consisted primarily of net loss of $45.4 million adjusted for non-cash items of $20.2 million and a net increase in operating assets and liabilities of $47.7 million. The significant non-cash items included stock-based compensation expense of $16.4 million, depreciation expense of $2.7 million, amortization of finance lease ROU of $2.6 million, and net amortization of premium and discount on investments of $1.4 million. The significant items in the changes in operating assets and liabilities included an increase resulting from the following:</w:t>
      </w:r>
    </w:p>
    <w:p>
      <w:pPr>
        <w:spacing w:after="0" w:line="80" w:lineRule="exact"/>
        <w:rPr>
          <w:sz w:val="20"/>
          <w:szCs w:val="20"/>
          <w:color w:val="auto"/>
        </w:rPr>
      </w:pPr>
    </w:p>
    <w:p>
      <w:pPr>
        <w:ind w:left="380" w:right="180" w:hanging="372"/>
        <w:spacing w:after="0" w:line="263"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Accounts receivable of $57.7 million, primarily related to the collection of $43.9 million from Astellas for the roxadustat API delivery in December 2018 under the Japan Amendment, as well as the timing of the receipt of upfront payments and recognition of revenues under our collaboration agreements with Astellas and AstraZeneca.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partially offset by decreases resulting from the following:</w:t>
      </w:r>
    </w:p>
    <w:p>
      <w:pPr>
        <w:spacing w:after="0" w:line="117" w:lineRule="exact"/>
        <w:rPr>
          <w:sz w:val="20"/>
          <w:szCs w:val="20"/>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Accounts payable of $5.4 million, primarily driven by the timing of invoicing and payments;</w:t>
      </w:r>
    </w:p>
    <w:p>
      <w:pPr>
        <w:spacing w:after="0" w:line="23"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Prepaid expenses and other current assets of $2.8 million, primarily driven by the timing of invoicing and payments; and</w:t>
      </w:r>
    </w:p>
    <w:p>
      <w:pPr>
        <w:spacing w:after="0" w:line="9" w:lineRule="exact"/>
        <w:rPr>
          <w:rFonts w:ascii="Arial" w:cs="Arial" w:eastAsia="Arial" w:hAnsi="Arial"/>
          <w:sz w:val="18"/>
          <w:szCs w:val="18"/>
          <w:color w:val="auto"/>
        </w:rPr>
      </w:pPr>
    </w:p>
    <w:p>
      <w:pPr>
        <w:ind w:left="380" w:hanging="372"/>
        <w:spacing w:after="0"/>
        <w:tabs>
          <w:tab w:leader="none" w:pos="3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Deferred revenue of $2.6 million, related to the recognition of revenues under our collaboration agreements with Astellas and AstraZeneca.</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Net cash provided by investing activities was $56.0 million for the three months ended March 31, 2020 and consisted primarily of $45.9 million of proceeds from maturities of investments, and $10.6 million of proceeds from sales of available-for-sale securities.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Net cash used in investing activities was $26.5 million for the three months ended March 31, 2019 and consisted primarily of $76.0 million of cash used in purchases of available-for-sale securities, partially offset by $50.0 million of proceeds from maturities of investments.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and repayments of our lease liability.</w:t>
      </w:r>
    </w:p>
    <w:p>
      <w:pPr>
        <w:spacing w:after="0" w:line="170"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Net cash used in financing activities was $1.2 million for the three months ended March 31, 2020 and consisted primarily of $5.3 million of cash paid for payroll taxes on restricted stock unit releases and $2.8 million of repayments of finance lease liabilities, partially offset by $7.0 million of proceeds from the issuance of common stock upon exercise of stock options.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$3.5 million for the three months ended March 31, 2019 and consisted primarily of $6.0 million of cash paid for payroll taxes on restricted stock unit releases and $3.0 million of repayments of finance lease liabilities partially offset by $5.6 million of proceeds from the issuance of common stock upon exercise of stock options.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During the three months ended March 31, 2020,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the first quarter of 2020, the Company entered into a Master Supply Agreement with Shanghai SynTheAll Pharmaceutical Co., Ltd. and STA Pharmaceutical Hong Kong Limited for the manufacture and supply of bulk roxadustat (as API), and other intermediates for use in the commercialization and development of products containing roxadustat.</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March 31, 2020, the Company had outstanding total non-cancelable contract obligations of $23.5 million, including $11.9 million for manufacture and supply of roxadustat (including $10.7 million for the above-mentioned agreement), $11.0 million for future milestone payments for research and pre-clinical stage development programs, and $0.6 million for other purchases. We expect to fulfill our commitments under these agreements in the normal course of business, and as such, no liability has been recorded.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August 2018, the Financial Accounting Standards Board (“FASB”) issued Accounting Standards Update (“ASU”) No. 2018-15, </w:t>
      </w:r>
      <w:r>
        <w:rPr>
          <w:rFonts w:ascii="Arial" w:cs="Arial" w:eastAsia="Arial" w:hAnsi="Arial"/>
          <w:sz w:val="18"/>
          <w:szCs w:val="18"/>
          <w:i w:val="1"/>
          <w:iCs w:val="1"/>
          <w:color w:val="auto"/>
        </w:rPr>
        <w:t>Intangibles—Goodwill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Other—Internal-Use Software (Subtopic 350-40): Customer’s Accounting for Implementation Costs Incurred in a Cloud Computing Arrangement That Is a Service Contract. </w:t>
      </w:r>
      <w:r>
        <w:rPr>
          <w:rFonts w:ascii="Arial" w:cs="Arial" w:eastAsia="Arial" w:hAnsi="Arial"/>
          <w:sz w:val="18"/>
          <w:szCs w:val="18"/>
          <w:color w:val="auto"/>
        </w:rPr>
        <w:t>This guidance requires capitalizing implementation costs incurred to develop or obtain internal-use software (and hosting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that include an internal-use software license). This guidance was effective for annual reporting periods beginning after December 15, 2019, including interim periods. We adopted this guidance on January 1, 2020 using the prospective method, and the adoption of this guidance did not have material impact to our consolidated financial statements.</w:t>
      </w:r>
    </w:p>
    <w:p>
      <w:pPr>
        <w:spacing w:after="0" w:line="19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This guidance is intended to provide financial statement users with more decision-useful information about the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credit losses on financial instruments and other commitments to extend credit held by a reporting entity at each reporting date. This guidance requires the measurement of financial assets with a methodology that reflects expected credit losses and requires consideration of a broader range of reasonable and supportable information to inform credit loss estimates. This guidance requires an impairment model, known as the current expected credit loss model, which is based on expected losses rather than incurred losses. Entities are required to carry an allowance for expected credit losses for financial assets, including most debt instruments (except those carried at fair value) and trade receivables. In November 2019, the FASB issued ASU No. 2019-11, </w:t>
      </w:r>
      <w:r>
        <w:rPr>
          <w:rFonts w:ascii="Arial" w:cs="Arial" w:eastAsia="Arial" w:hAnsi="Arial"/>
          <w:sz w:val="17"/>
          <w:szCs w:val="17"/>
          <w:i w:val="1"/>
          <w:iCs w:val="1"/>
          <w:color w:val="auto"/>
        </w:rPr>
        <w:t xml:space="preserve">Codification Improvements to Topic 326, Financial Instruments-Credit Losses </w:t>
      </w:r>
      <w:r>
        <w:rPr>
          <w:rFonts w:ascii="Arial" w:cs="Arial" w:eastAsia="Arial" w:hAnsi="Arial"/>
          <w:sz w:val="17"/>
          <w:szCs w:val="17"/>
          <w:color w:val="auto"/>
        </w:rPr>
        <w:t>(“ASU 2019-11”)</w:t>
      </w:r>
      <w:r>
        <w:rPr>
          <w:rFonts w:ascii="Arial" w:cs="Arial" w:eastAsia="Arial" w:hAnsi="Arial"/>
          <w:sz w:val="17"/>
          <w:szCs w:val="17"/>
          <w:i w:val="1"/>
          <w:iCs w:val="1"/>
          <w:color w:val="auto"/>
        </w:rPr>
        <w:t xml:space="preserve">, </w:t>
      </w:r>
      <w:r>
        <w:rPr>
          <w:rFonts w:ascii="Arial" w:cs="Arial" w:eastAsia="Arial" w:hAnsi="Arial"/>
          <w:sz w:val="17"/>
          <w:szCs w:val="17"/>
          <w:color w:val="auto"/>
        </w:rPr>
        <w:t>which has the same effective dates and transition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as ASU 2016-13. ASU 2016-13 and ASU 2019-11 were effective for annual reporting periods beginning after December 15, 2019 including interim periods. Our investment portfolio primarily consists of U.S. Treasury bills and notes carried at fair value, which is required to follow the impairment model under Topic 326. We adopted this guidance on January 1, 2020. Based on the composition of our trade receivables and investment portfolio, economic conditions and historical credit loss activity, the adoption of this guidance did not have material impact to our consolidated financial statements.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This guidance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This guidance is effective for annual reporting periods beginning after December 15, 2020 including interim periods, with early adoption permitted. We do not plan to early adopt this guidance and do not anticipate a material impact to its consolidated financial statements upon adoption of this guidance.</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in our critical accounting policies, estimates and judgments during the three months ended March 31, 2020 compared with the disclosures in Part II, Item 7 of our Annual Report on Form 10-K for the year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We believe there has been no material change in our exposure to market risks as disclosed in our Annual Report on Form 10-K for the year ended December 31, 2019, other than as a result of the COVID-19 pandemic and described in the section above titled “</w:t>
      </w:r>
      <w:r>
        <w:rPr>
          <w:rFonts w:ascii="Arial" w:cs="Arial" w:eastAsia="Arial" w:hAnsi="Arial"/>
          <w:sz w:val="16"/>
          <w:szCs w:val="16"/>
          <w:i w:val="1"/>
          <w:iCs w:val="1"/>
          <w:color w:val="auto"/>
        </w:rPr>
        <w:t>Risks and Uncertainties</w:t>
      </w: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has evaluated the effectiveness of our disclosure controls and procedures as of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Based on management’s evaluation, our principal executive officer and principal financial officer have concluded that our disclosure controls and procedures were effective as of March 31, 2020 at the reasonable assurance level.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2020 that have materially affected, or are reasonably likely to materially affect, our internal control over financial reporting.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Because of the inherent limitations in a cost-effective control system, misstatements due to error or fraud may occur and not be detected.</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Quarterly Report on Form 10-Q,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17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We have marked with an asterisk (*) those risks described below that reflect substantive changes from the risks described under Part I,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included in our Annual Report on Form 10-K for the year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jc w:val="both"/>
        <w:ind w:right="140"/>
        <w:spacing w:after="0" w:line="286" w:lineRule="auto"/>
        <w:rPr>
          <w:sz w:val="20"/>
          <w:szCs w:val="20"/>
          <w:color w:val="auto"/>
        </w:rPr>
      </w:pPr>
      <w:r>
        <w:rPr>
          <w:rFonts w:ascii="Arial" w:cs="Arial" w:eastAsia="Arial" w:hAnsi="Arial"/>
          <w:sz w:val="16"/>
          <w:szCs w:val="16"/>
          <w:color w:val="auto"/>
        </w:rPr>
        <w:t>We are a biopharmaceutical company with two lead product candidates in clinical development, roxadustat in anemia in chronic kidney disease (“CKD”), myelodysplastic syndromes (“MDS”), and chemotherapy-induced anemia, and pamrevlumab in idiopathic pulmonary fibrosis (“IPF”), pancreatic cancer, and Duchenne muscular dystrophy (“DMD”). Most of our revenue generated to date has been based on our collaboration agreements and we have limited commercial drug product sales to date. We continue to incur significant research and development and other expenses related to our ongoing operations.</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Our net loss for the year ended December 31, 2019, 2018 and 2017 were $77.0 million, $86.4 million and $120.9 million, respectively. As of March 31, 2020, we had an accumulated deficit of $863.1 million. As of March 31, 2020, we had capital resources consisting of cash, cash equivalents and short-term investments of $535.4 million plus $0.2 million of long-term investments classified as available for sale securities. Despite contractual development and cost coverage commitments from our collaboration partners, AstraZeneca AB (“AstraZeneca”) and Astellas Pharma Inc. (“Astellas”), and the potential to receive milestone and other payments from these partners, and despite commercialization efforts in the People’s Republic of China (“China”) and Japan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8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that we will continue to expend substantial resources for the foreseeable future as we continue late-stage clinical development of roxadustat, grow our operations in China, expand our clinical development efforts on pamrevlumab, continue to seek regulatory approval, launch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2017 public offerings, our existing cash and cash equivalents, short-term and long-term investments and accounts receivable, and expected third-party collaboration revenues will allow us to fund our operating plans through at least the next 12 months.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of our recent revenue has been earned from collaboration partners for our product candidates under development.</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If either or both of our Astellas and AstraZeneca collaborations were to be terminated, we could require significant additional capital in order to proceed with development and commercialization of our product candidates, including with respect to our commercialization of roxadustat for the treatment of anemia caused by CKD, or we may require additional partnering in order to help fund such development and commercialization. If adequate funds or partners are not available to us on a timely basis or on favorable terms, we may be required to delay, limit, reduce or terminate our development or commercialization efforts or other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substantially dependent on the success of our lead product, roxadustat, and our second compound in development, pamrevlumab.</w:t>
      </w:r>
    </w:p>
    <w:p>
      <w:pPr>
        <w:spacing w:after="0" w:line="1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To date, we have invested a substantial portion of our efforts and financial resources in the research and development of roxadustat and pamrevlumab. While we have received approval of our New Drug Applications (“NDA”) for roxadustat in China for CKD anemia for patients on dialysis and not on dialysis, and for roxadustat in Japan for CKD anemia in dialysis patients, we will need to make substantial additional investments in both the development and commercialization of roxadustat worldwide and in various indications. Our near-term prospects, including maintaining our existing collaborations with Astellas and AstraZeneca, will depend heavily on successful development and commercialization of roxadustat, including obtaining regulatory approvals for the commercialization of roxadustat for anemia associated with CKD.</w:t>
      </w:r>
    </w:p>
    <w:p>
      <w:pPr>
        <w:spacing w:after="0" w:line="17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Our other lead product candidate, pamrevlumab, is currently in clinical development for IPF, pancreatic cancer and DMD. Pamrevlumab requires substantial further development and investment and we do not have a collaboration partner for support of this compound. In addition, pamrevlumab is a monoclonal antibody, which may require greater financial resources than for our small molecule, roxadustat.</w:t>
      </w:r>
    </w:p>
    <w:p>
      <w:pPr>
        <w:spacing w:after="0" w:line="2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pamrevlumab will depend on a number of factors, including the following:</w:t>
      </w:r>
    </w:p>
    <w:p>
      <w:pPr>
        <w:spacing w:after="0" w:line="117" w:lineRule="exact"/>
        <w:rPr>
          <w:sz w:val="20"/>
          <w:szCs w:val="20"/>
          <w:color w:val="auto"/>
        </w:rPr>
      </w:pPr>
    </w:p>
    <w:p>
      <w:pPr>
        <w:ind w:left="1000" w:right="1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timely initiation and completion of our clinical trials, including for the duration of the COVID-19 pandemic, which could cause delays in our clinical trial initiation and patient enrollment and completion;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demonstrate the safety and efficacy of our product candidates to the satisfaction of the relevant regulatory authorities;</w:t>
      </w:r>
    </w:p>
    <w:p>
      <w:pPr>
        <w:spacing w:after="0" w:line="128" w:lineRule="exact"/>
        <w:rPr>
          <w:rFonts w:ascii="Arial" w:cs="Arial" w:eastAsia="Arial" w:hAnsi="Arial"/>
          <w:sz w:val="17"/>
          <w:szCs w:val="17"/>
          <w:color w:val="auto"/>
        </w:rPr>
      </w:pPr>
    </w:p>
    <w:p>
      <w:pPr>
        <w:ind w:left="1000" w:right="1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ultimate approval criteria (which may include non-inferiority margins and statistical analyses methods), indications, patient populations, and ultimate benefit-risk analysis used by regulatory authorities in their approval processes;</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are required by the United States (“U.S.”) Food and Drug Administration (“FDA”) or other regulatory authorities to conduct additional clinical trials, and the scope and nature of such clinical trials, prior to approval to market our products;</w:t>
      </w:r>
    </w:p>
    <w:p>
      <w:pPr>
        <w:spacing w:after="0" w:line="62"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receipt or timely receipt of marketing approvals from the FDA and foreign regulatory authorities, including pricing and reimbursement determinations;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successfully commercialize, market, sell and distribute our product candidates, if approved, for marketing and sale by the FDA or foreign regulatory authorities, whether alone or in collaboration with others;</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or our partners are able to recruit and retain adequate numbers of effective sales and marketing personnel for the sale of our products;</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whether we will maintain sufficient funding to cover the costs and expenses associated with creating and sustaining a capable sales and marketing organization and related commercial infrastructure;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can compete successfully as a new entrant in the treatment of anemia caused by CKD;</w:t>
      </w:r>
    </w:p>
    <w:p>
      <w:pPr>
        <w:spacing w:after="0" w:line="117"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and the ability of our third-party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15" w:lineRule="exact"/>
        <w:rPr>
          <w:rFonts w:ascii="Arial" w:cs="Arial" w:eastAsia="Arial" w:hAnsi="Arial"/>
          <w:sz w:val="16"/>
          <w:szCs w:val="16"/>
          <w:color w:val="auto"/>
        </w:rPr>
      </w:pPr>
    </w:p>
    <w:p>
      <w:pPr>
        <w:ind w:left="1000" w:right="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success in educating health care providers, patients and the healthcare community about the benefits, risks, administration and use of our product candidates, if approved;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7"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efforts to enter into relationships with large dialysis organizations involving the administration of roxadustat to dialysis patients;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us and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maintenance of an acceptable benefit/risk profile of our products following any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availability, perceived advantages, relative cost, relative safety, and relative efficacy of alternative and competitive treatments;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negotiate, obtain and sustain an adequate level of pricing or reimbursement for our products by third-party payors;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third-party payors and government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ability to enforce successfully our intellectual property rights for our product candidates and against the products of potential competitors;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avoid or succeed in third-party patent interference or patent infringement claims;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sufficient stability data for launch and market supply.</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Many of these factors are beyond our control. Successful commercialization of our products will require significant resources and time, and there is a risk that we may not successfully commercialize them. If we do not achieve one or more of these factors in a timely manner or at all, we could experience significant delays or an inability to successfully commercialize our products and generate revenues, which would deprive us from additional working capital and would materially harm our ability to achieve profitability through the sale of or royalties from our product candidates.</w:t>
      </w:r>
    </w:p>
    <w:p>
      <w:pPr>
        <w:spacing w:after="0" w:line="279"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As a company, we have limited commercialization experience, and the time and resources to develop such experience are significant. If we fail to achieve and sustain commercial success for roxadustat, either directly or with our collaboration partners, our business would be harmed.</w:t>
      </w:r>
    </w:p>
    <w:p>
      <w:pPr>
        <w:spacing w:after="0" w:line="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9"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38"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15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Commercializing roxadustat requires us to establish commercialization systems, including but not limited to, medical affairs, sales, pharmacovigilance, supply-chain, and distribution capabilities to perform our portion of the collaborative efforts. These efforts require resources and time. If we, along with Astellas and AstraZeneca, are not successful in setting our marketing, pricing and reimbursement strategy, facilitating adoption by hospitals, recruiting sales and marketing personnel or in building a sales and marketing infrastructure, we will have difficulty commercializing roxadustat, which would adversely affect our business and financial condition.</w:t>
      </w:r>
    </w:p>
    <w:p>
      <w:pPr>
        <w:spacing w:after="0" w:line="296"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Although regulatory approval has been obtained for roxadustat in China and Japan, we may be unable to obtain regulatory approval for our product candidates in other countries, or such approval may be delayed or limited, due to a number of factors, many of which are beyond our control.*</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pamrevlumab, or any of our other product candidates in one or more indications and jurisdictions.</w:t>
      </w:r>
    </w:p>
    <w:p>
      <w:pPr>
        <w:spacing w:after="0" w:line="18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Moreover, for any Phase 3 clinical trial to support an NDA/Biologics License Application (“BLA”)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Accordingly, the FDA or other regulatory authorities may require us to exclude the use of patient data from these unreliable clinical trials, or perform additional clinical trials before approving our marketing applications. The FDA or other regulatory authorities may even reject our application for approval or refuse to accept our future applications.</w:t>
      </w:r>
    </w:p>
    <w:p>
      <w:pPr>
        <w:spacing w:after="0" w:line="18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Regulatory authorities may take actions or impose requirements that delay, limit or deny approval of our product candidates for many reasons, including, among others:</w:t>
      </w:r>
    </w:p>
    <w:p>
      <w:pPr>
        <w:spacing w:after="0" w:line="62" w:lineRule="exact"/>
        <w:rPr>
          <w:sz w:val="20"/>
          <w:szCs w:val="20"/>
          <w:color w:val="auto"/>
        </w:rPr>
      </w:pPr>
    </w:p>
    <w:p>
      <w:pPr>
        <w:ind w:left="1000" w:right="3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is safe and effective in treating IPF, pancreatic cancer or DMD;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product candidates may exhibit an unacceptable safety signal as they advance through clinical trials, in particular controlled Phase 3 trials;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00" w:right="12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research organizations (“CROs”) that conduct clinical trials on our behalf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third-party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our product candidates in one or more indications.</w:t>
      </w:r>
    </w:p>
    <w:p>
      <w:pPr>
        <w:spacing w:after="0" w:line="170"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The FDA or other regulatory authorities may require more information (including additional preclinical or clinical data to support approval), which may delay or prevent approval or cause us to abandon the development program altogether.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w:t>
      </w:r>
    </w:p>
    <w:p>
      <w:pPr>
        <w:spacing w:after="0" w:line="26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approval or guidance;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 including for the duration of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76"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enroll patients in clinical trials during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physicians’ and patients’ perceptions of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CRO’s and our trial sites’ efforts to facilitate timely enrollment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have difficulty enrolling a sufficient number of patients to conduct our clinical trials as planned, we may need to delay, limit or terminate on-going or planned clinical trials.</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we could encounter delays if a clinical trial is suspended or terminated by us, by the relevant institutional review boards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68" w:lineRule="exact"/>
        <w:rPr>
          <w:sz w:val="20"/>
          <w:szCs w:val="20"/>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8"/>
          <w:szCs w:val="18"/>
          <w:i w:val="1"/>
          <w:iCs w:val="1"/>
          <w:color w:val="auto"/>
        </w:rPr>
        <w:t>Business — Roxadustat for the Treatment of Anemia in Chronic Kidney Disease</w:t>
      </w:r>
      <w:r>
        <w:rPr>
          <w:rFonts w:ascii="Arial" w:cs="Arial" w:eastAsia="Arial" w:hAnsi="Arial"/>
          <w:sz w:val="18"/>
          <w:szCs w:val="18"/>
          <w:color w:val="auto"/>
        </w:rPr>
        <w:t>” and “</w:t>
      </w:r>
      <w:r>
        <w:rPr>
          <w:rFonts w:ascii="Arial" w:cs="Arial" w:eastAsia="Arial" w:hAnsi="Arial"/>
          <w:sz w:val="18"/>
          <w:szCs w:val="18"/>
          <w:i w:val="1"/>
          <w:iCs w:val="1"/>
          <w:color w:val="auto"/>
        </w:rPr>
        <w:t>Business —</w:t>
      </w:r>
      <w:r>
        <w:rPr>
          <w:rFonts w:ascii="Arial" w:cs="Arial" w:eastAsia="Arial" w:hAnsi="Arial"/>
          <w:sz w:val="18"/>
          <w:szCs w:val="18"/>
          <w:color w:val="auto"/>
        </w:rPr>
        <w:t xml:space="preserve"> </w:t>
      </w:r>
      <w:r>
        <w:rPr>
          <w:rFonts w:ascii="Arial" w:cs="Arial" w:eastAsia="Arial" w:hAnsi="Arial"/>
          <w:sz w:val="18"/>
          <w:szCs w:val="18"/>
          <w:i w:val="1"/>
          <w:iCs w:val="1"/>
          <w:color w:val="auto"/>
        </w:rPr>
        <w:t>Pamrevlumab for the Treatment of Fibrosis and Cancer</w:t>
      </w:r>
      <w:r>
        <w:rPr>
          <w:rFonts w:ascii="Arial" w:cs="Arial" w:eastAsia="Arial" w:hAnsi="Arial"/>
          <w:sz w:val="18"/>
          <w:szCs w:val="18"/>
          <w:color w:val="auto"/>
        </w:rPr>
        <w:t>” for a discussion of the adverse events and serious adverse events that have emerged in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trials of roxadustat and pamrevlumab.</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our most advanced product candidate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If we or third-party manufacturers and other service providers on which we rely cannot manufacture sufficient quantities of our products and product candidates, or at sufficient quality, or perform other services we require, we may experience delays in development, regulatory approval, launch or successful commercialization.*</w:t>
      </w:r>
    </w:p>
    <w:p>
      <w:pPr>
        <w:spacing w:after="0" w:line="7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the manufacture of some of our drug candidates, active pharmaceutical ingredients (“API”), intermediates or raw materials, we will need to enter into additional commercial supply agreements, including for backup or second source third-party manufacturers. We may not be able to enter into these agreements with satisfactory terms or on a timely manner.</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limited experience manufacturing or managing third parties in manufacturing any of our product candidates in the volumes that are expected to be necessary to support large-scale clinical trials and sales. In addition, we have limited experience forecasting supply requirements or coordinating supply chain (including export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scale-up, yield, cost, potency or quality in compliance with cGMP, particularly if the marketing authorization or market uptake is more rapid than anticipated or we have an unanticipated surge in demand.</w:t>
      </w:r>
    </w:p>
    <w:p>
      <w:pPr>
        <w:spacing w:after="0" w:line="17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have a limited amount of roxadustat and pamrevlumab in storage, limited capacity reserved at our third-party manufacturers, and there are long lead times required to manufacture and scale-up the manufacture of additional supply, as required for both late-stage clinical trials, post-approval trials, and commercial supply. If we are unable to forecast, order or manufacture sufficient quantities of roxadustat or pamrevlumab on a timely basis, it may delay our development, launch or commercialization in some or all indications we are currently pursuing. Any delay or interruption in the supply of our product candidates or products could have a material adverse effect on our business and operations.</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commercial drug product and the product we use for clinical trials must be produced under applicable cGMP regulations. Failure to comply with these regulations may require us to recall commercial product or repeat clinical trials, which would impact sales revenue or delay the regulatory approval process.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and even an experienced third-party manufacturer, may encounter difficulties in production. Difficulties may include:</w:t>
      </w:r>
    </w:p>
    <w:p>
      <w:pPr>
        <w:spacing w:after="0" w:line="117" w:lineRule="exact"/>
        <w:rPr>
          <w:sz w:val="20"/>
          <w:szCs w:val="20"/>
          <w:color w:val="auto"/>
        </w:rPr>
      </w:pPr>
    </w:p>
    <w:p>
      <w:pPr>
        <w:ind w:left="1000" w:right="62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contracting with additional suppliers and validation/qualification of additional facilities to meet growing demand;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 and securing necessary licenses (such as export licenses);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equipment maintenance issues or failure;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quality control and quality assurance issues;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7" w:lineRule="exact"/>
        <w:rPr>
          <w:rFonts w:ascii="Arial" w:cs="Arial" w:eastAsia="Arial" w:hAnsi="Arial"/>
          <w:sz w:val="18"/>
          <w:szCs w:val="18"/>
          <w:color w:val="auto"/>
        </w:rPr>
      </w:pPr>
    </w:p>
    <w:p>
      <w:pPr>
        <w:ind w:left="1000" w:right="22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natural disasters, such as pandemics, including the COVID-19 pandemic, floods, storms, earthquakes, tsunamis, and droughts, or accidents such as fire, that affect facilities, possibly limit or postpone production, and increase costs.</w:t>
      </w:r>
    </w:p>
    <w:p>
      <w:pPr>
        <w:spacing w:after="0" w:line="278"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The FDA and European Medicines Agency (“EMA”) will do their own benefit risk analysis and may reach a different conclusion than we or our partners have internally, and these regulatory authorities may base their approval decision on different analyses, data, and statistical methods than ours.</w:t>
      </w:r>
    </w:p>
    <w:p>
      <w:pPr>
        <w:spacing w:after="0" w:line="7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Even if we believe we have achieved positive clinical results, such as superiority or non-inferiority, in certain endpoints, populations or subpopulations, or using certain statistical methods of analysis, the FDA and EMA will each conduct their own benefit-risk analysis and may reach different conclusions, using different statistical methods, different endpoints or definitions thereof, or different patient populations or sub-populations, and regulatory authorities may change their approvability criteria based on their internal analyses and discussions with expert advisors. Regulatory authorities may approve roxadustat for fewer or more limited indications than we request or may grant approval contingent on the performance of costly post-approval clinical trials. While we will present to regulatory authorities certain pre-specified and not pre-specified sub-populations and sub-group analyses (for example, incident dialysis), multiple secondary endpoints, and multiple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such as incident dialysis, estimated glomerular filtration rate, hepcidin, or quality of life measures, regulatory authorities may not include such claims on any approved labeling for roxadustat, which may limit the commercialization or market opportunity for roxadustat. The failure to obtain regulatory approval, or any label, population or other approval limitations in any jurisdiction, may significantly limit our ability to generate revenues, and any failure to obtain such approval for all of the indications and labeling claims we deem desirable could reduce our potential revenue.</w:t>
      </w:r>
    </w:p>
    <w:p>
      <w:pPr>
        <w:spacing w:after="0" w:line="2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With respect to roxadustat, regulatory approvals obtained, could limit the approved indicated uses for which roxadustat may be marketed. For example, our label approved in Japan, includes the following warning: “Serious thromboembolism such as cerebral infarction, myocardial infarction, and pulmonary embolism may occur, possibly resulting in death, during treatment with roxadustat.” Additionally, in the U.S., ESAs have been subject to significant safety warnings, including the “Black Box” warnings on their labels.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or limit the market opportunity or approved indications for roxadustat. These warnings could include warnings against exceeding specified hemoglobin targets and other warnings that derive from the lack of clarity regarding the safety issues associated with ESAs, even if our Phase 3 clinical trials do not themselves raise safety concerns.</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 xml:space="preserve">If roxadustat is approved and launched commercially, competing drugs are expected to include ESAs, particularly in those patient segments where ESAs are used. Currently available ESAs include epoetin alfa (EPOGEN </w:t>
      </w:r>
      <w:r>
        <w:rPr>
          <w:rFonts w:ascii="Arial" w:cs="Arial" w:eastAsia="Arial" w:hAnsi="Arial"/>
          <w:sz w:val="15"/>
          <w:szCs w:val="15"/>
          <w:color w:val="auto"/>
        </w:rPr>
        <w:t>®</w:t>
      </w:r>
      <w:r>
        <w:rPr>
          <w:rFonts w:ascii="Arial" w:cs="Arial" w:eastAsia="Arial" w:hAnsi="Arial"/>
          <w:sz w:val="18"/>
          <w:szCs w:val="18"/>
          <w:color w:val="auto"/>
        </w:rPr>
        <w:t xml:space="preserve">, marketed by Amgen Inc. in the U.S., Procrit </w:t>
      </w:r>
      <w:r>
        <w:rPr>
          <w:rFonts w:ascii="Arial" w:cs="Arial" w:eastAsia="Arial" w:hAnsi="Arial"/>
          <w:sz w:val="15"/>
          <w:szCs w:val="15"/>
          <w:color w:val="auto"/>
        </w:rPr>
        <w:t>®</w:t>
      </w:r>
      <w:r>
        <w:rPr>
          <w:rFonts w:ascii="Arial" w:cs="Arial" w:eastAsia="Arial" w:hAnsi="Arial"/>
          <w:sz w:val="18"/>
          <w:szCs w:val="18"/>
          <w:color w:val="auto"/>
        </w:rPr>
        <w:t xml:space="preserve"> and Erypo </w:t>
      </w:r>
      <w:r>
        <w:rPr>
          <w:rFonts w:ascii="Arial" w:cs="Arial" w:eastAsia="Arial" w:hAnsi="Arial"/>
          <w:sz w:val="15"/>
          <w:szCs w:val="15"/>
          <w:color w:val="auto"/>
        </w:rPr>
        <w:t>®</w:t>
      </w:r>
      <w:r>
        <w:rPr>
          <w:rFonts w:ascii="Arial" w:cs="Arial" w:eastAsia="Arial" w:hAnsi="Arial"/>
          <w:sz w:val="18"/>
          <w:szCs w:val="18"/>
          <w:color w:val="auto"/>
        </w:rPr>
        <w:t xml:space="preserve">/Eprex </w:t>
      </w:r>
      <w:r>
        <w:rPr>
          <w:rFonts w:ascii="Arial" w:cs="Arial" w:eastAsia="Arial" w:hAnsi="Arial"/>
          <w:sz w:val="15"/>
          <w:szCs w:val="15"/>
          <w:color w:val="auto"/>
        </w:rPr>
        <w:t>®</w:t>
      </w:r>
      <w:r>
        <w:rPr>
          <w:rFonts w:ascii="Arial" w:cs="Arial" w:eastAsia="Arial" w:hAnsi="Arial"/>
          <w:sz w:val="18"/>
          <w:szCs w:val="18"/>
          <w:color w:val="auto"/>
        </w:rPr>
        <w:t xml:space="preserve">, marketed by Johnson &amp; Johnson Inc., and Espo </w:t>
      </w:r>
      <w:r>
        <w:rPr>
          <w:rFonts w:ascii="Arial" w:cs="Arial" w:eastAsia="Arial" w:hAnsi="Arial"/>
          <w:sz w:val="15"/>
          <w:szCs w:val="15"/>
          <w:color w:val="auto"/>
        </w:rPr>
        <w:t>®</w:t>
      </w:r>
      <w:r>
        <w:rPr>
          <w:rFonts w:ascii="Arial" w:cs="Arial" w:eastAsia="Arial" w:hAnsi="Arial"/>
          <w:sz w:val="18"/>
          <w:szCs w:val="18"/>
          <w:color w:val="auto"/>
        </w:rPr>
        <w:t xml:space="preserve"> marketed by Kyowa Hakko Kirin in Japan and China), darbepoetin (Amgen/Kyowa Hakko Kirin’s Aranesp </w:t>
      </w:r>
      <w:r>
        <w:rPr>
          <w:rFonts w:ascii="Arial" w:cs="Arial" w:eastAsia="Arial" w:hAnsi="Arial"/>
          <w:sz w:val="15"/>
          <w:szCs w:val="15"/>
          <w:color w:val="auto"/>
        </w:rPr>
        <w:t>®</w:t>
      </w:r>
      <w:r>
        <w:rPr>
          <w:rFonts w:ascii="Arial" w:cs="Arial" w:eastAsia="Arial" w:hAnsi="Arial"/>
          <w:sz w:val="18"/>
          <w:szCs w:val="18"/>
          <w:color w:val="auto"/>
        </w:rPr>
        <w:t xml:space="preserve"> and NESP </w:t>
      </w:r>
      <w:r>
        <w:rPr>
          <w:rFonts w:ascii="Arial" w:cs="Arial" w:eastAsia="Arial" w:hAnsi="Arial"/>
          <w:sz w:val="15"/>
          <w:szCs w:val="15"/>
          <w:color w:val="auto"/>
        </w:rPr>
        <w:t>®</w:t>
      </w:r>
      <w:r>
        <w:rPr>
          <w:rFonts w:ascii="Arial" w:cs="Arial" w:eastAsia="Arial" w:hAnsi="Arial"/>
          <w:sz w:val="18"/>
          <w:szCs w:val="18"/>
          <w:color w:val="auto"/>
        </w:rPr>
        <w:t xml:space="preserve">) and Mircera </w:t>
      </w:r>
      <w:r>
        <w:rPr>
          <w:rFonts w:ascii="Arial" w:cs="Arial" w:eastAsia="Arial" w:hAnsi="Arial"/>
          <w:sz w:val="15"/>
          <w:szCs w:val="15"/>
          <w:color w:val="auto"/>
        </w:rPr>
        <w:t>®</w:t>
      </w:r>
      <w:r>
        <w:rPr>
          <w:rFonts w:ascii="Arial" w:cs="Arial" w:eastAsia="Arial" w:hAnsi="Arial"/>
          <w:sz w:val="18"/>
          <w:szCs w:val="18"/>
          <w:color w:val="auto"/>
        </w:rPr>
        <w:t xml:space="preserve"> marketed by Hoffmann-La Roche (“Roche”) outside of the U.S. and by Vifor Pharma, a Roche licensee, in the U.S. and Puerto Rico, as well as biosimilar versions of these currently marketed ESA products. ESAs have been used in the treatment of anemia in CKD for more than 20 years, serving a significant majority of dialysis CKD patients. While non-dialysis CKD patients who are not under the care of nephrologists, including those with diabetes and hypertension, do not typically receive ESAs and are often left untreated, some patients under nephrology care may be receiving ESA therapy. It may be difficult to encourage healthcare providers and patients to switch to roxadustat from products with which they have become familiar.</w:t>
      </w:r>
    </w:p>
    <w:p>
      <w:pPr>
        <w:spacing w:after="0" w:line="19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may also face competition from potential new anemia therapies currently in clinical development, including in those patient segments not currently addressed by ESAs. Companies that are currently developing hypoxia-inducible factor (“HIF”) prolyl hydroxylase (“HIF-PH”) inhibitors for anemia in CKD indications include GlaxoSmithKline plc (“GSK”), Bayer Corporation (“Bayer”), Akebia Therapeutics, Inc. (“Akebia”), Japan Tobacco, and Zydus Cadila. Akebia is currently conducting Phase 3 studies in CKD patients on dialysis and not on dialysis, as well as a Phase 2 study evaluating pharmacokinetics and pharmacodynamics in dialysis patients with three-times weekly versus once-a-day dosing. Akebia expects to complete these studies by August 2020. In Japan, Mitsubishi Tanabe Pharmaceutical Corporation, Akebia’s collaboration partner, submitted an NDA for treatment of anemia in dialysis and non-dialysis CKD patients in July 2019, and is awaiting an approval decision later in 2020. GSK is also conducting global Phase 3 studies in CKD patients on dialysis and not on dialysis, and expects to complete those studies by March 2022. GSK and Kyowa Hakko Kirin announced in November 2018 that the two companies signed a strategic commercialization deal in Japan for daprodustat. GSK submitted a Japan NDA for treatment of anemia in dialysis and non-dialysis in August 2019 and is awaiting approval later in 2020. Bayer has completed global Phase 2 studies and its HIF-PH inhibitor is now in Phase 3 development in CKD populations on dialysis and not on dialysis in Japan. Japan Tobacco submitted an NDA for treatment of anemia associated with CKD in Japan in November 2019, supported by the six Phase 3 studies conducted in CKD patients on dialysis and not on dialysis in Japan, and its partner JW Pharmaceuticals started a Phase 3 study in dialysis patients in Korea in 2019. Zydus Cadila (India) started Phase 3 studies in dialysis and non-dialysis CKD patients in India in 2019.</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there are other companies developing or that have developed biologic therapies for the treatment of other anemia indications that we may also seek to pursue in the future, including anemia of MDS. For example, Acceleron Pharma, Inc., in partnership with Celgene Corporation, a Bristol-Myers Squibb company (“Celgene”), developed Reblozyl® (luspatercept), a protein therapeutic. Reblozyl was approved for treatment of anemia in adult patients with ß-thalassemia in November 2019, and in April 2020 for treatment of anemia failing an ESA therapy and requiring two or more red blood cell transfusions over eight weeks in adult patients with very low- to intermediate-risk MDS with ring sideroblast or with myelodysplastic or myeloproliferative neoplasm with ring sideroblasts and thrombocytosis. Acceleron expects an EMA decision on the Marketing Authorization Application (“MAA”) in the second half of 2020. In Japan, Celgene started a luspatercept Phase 2 study in May 2019. We may face competition for patient recruitment, enrollment for clinical trials, and potentially in commercial sales. There may also be new therapies for renal-related diseases that could limit the market or level of reimbursement available for roxadustat if and when it is commercialized.</w:t>
      </w:r>
    </w:p>
    <w:p>
      <w:pPr>
        <w:spacing w:after="0" w:line="18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China, locally manufactured epoetin alfa are offered by Chinese pharmaceutical companies such as EPIAO marketed by 3SBio Inc. as well as more than 15 other local manufacturers. We may also face competition by HIF-PH inhibitors from other companies such as Akebia, Bayer, and GSK, which was authorized by the National Medical Products Administration (“NMPA”) to conduct trials in China to support its ex-China regulatory filings. Two domestic companies, Jiangsu Hengrui Medicine Co., Ltd. and Guandong Sunshine Health Investment Co., Ltd, have been permitted by the NMPA to conduct clinical trials for CKD anemia patients both on dialysis and not on dialysis, and 3SBio Inc. has submitted a clinical trial application to the NMPA to initiate trials for their HIF-PH inhibitor. Another domestic company, China Medical System, in-licensed desidustat, a compound that is currently in Phase 3 trials in India, from Zydus Cadila for greater China in January 2020. Akebia announced in December 2015 that it had entered into a development and commercialization partnership with Mitsubishi Tanabe Pharmaceutical Corporation for its HIF-PH inhibitor vadadustat in Japan, Taiwan, South Korea, India and certain other countries in Asia, and announced in April 2017 an expansion of their U.S. collaboration with Otsuka to add markets, including China. 3SBio Inc. announced in 2016 its plan to begin a Phase 1 clinical trial of a HIF-PH inhibitor for the China market.</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first biosimilar ESA, Pfizer’s Retacrit® (epoetin zeta), entered the U.S. market in November 2018. Market penetration of Retacrit and the potential addition of other biosimilar ESAs currently under development may alter the competitive and pricing landscape of anemia therapy in CKD patients on dialysis under the ESRD bundle. The patents for Amgen’s EPOGEN</w:t>
      </w:r>
      <w:r>
        <w:rPr>
          <w:rFonts w:ascii="Arial" w:cs="Arial" w:eastAsia="Arial" w:hAnsi="Arial"/>
          <w:sz w:val="15"/>
          <w:szCs w:val="15"/>
          <w:color w:val="auto"/>
        </w:rPr>
        <w:t>®</w:t>
      </w:r>
      <w:r>
        <w:rPr>
          <w:rFonts w:ascii="Arial" w:cs="Arial" w:eastAsia="Arial" w:hAnsi="Arial"/>
          <w:sz w:val="18"/>
          <w:szCs w:val="18"/>
          <w:color w:val="auto"/>
        </w:rPr>
        <w:t xml:space="preserve"> (epoetin alfa) expired in 2004 in Europe, and the final material patents in the U.S. expired in May 2015. Several biosimilar versions of currently marketed ESAs are available for sale in Europe, China and other territories. In the U.S., a few ESA biosimilars are currently under development. Sandoz, a division of Novartis, markets Binocrit® (epoetin alfa) in Europe and may file a biosimilar BLA in the 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more than 80% of U.S. dialysis patients, and therefore have historically won long-term contracts including rebate terms with Amgen. DaVita has a six-year sourcing and supply agreement with Amgen effective through 2022. Fresenius’ contract with Amgen expired in 2015, following which Fresenius is providing Roche’s ESA Mircera® to a significant portion of its U.S. dialysis patients. Successful penetration in this market may require a significant agreement with Fresenius or DaVita, on favorable terms and on a timely basis.</w:t>
      </w:r>
    </w:p>
    <w:p>
      <w:pPr>
        <w:spacing w:after="0" w:line="19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If approved and launched commercially to treat IPF, pamrevlumab is expected to compete with Roche’s Esbriet® (pirfenidone), and Boehringer Ingelheim’s Ofev® (nintedanib). We believe that if pamrevlumab can be shown to safely stabilize or reverse lung fibrosis, and thus stabilize or improve lung function in IPF patients, it can compete with pirfenidone and nintedanib for market share in IPF. However, it may be difficult to encourage treatment providers and patients to switch to pamrevlumab from a product with which they are already familiar. We may also face competition from potential new IPF therapies in recruitment and enrollment in our clinical trials and potentially in commercialization.</w:t>
      </w:r>
    </w:p>
    <w:p>
      <w:pPr>
        <w:spacing w:after="0" w:line="176"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Pamrevlumab is an injectable protein, which may be more expensive and less convenient than oral small molecules such as nintedanib and pirfenidone. Other potential competitive product candidates in various stages of development for IPF include Galapagos NV’s GLPG1690 and GLPG1205, Kadmon Holdings, Inc.’s KD025, Liminal BioSciences’ PBI-4050, and Roche/Promedior, Inc.’s PRM-151. In particular, GLPG1690 is in a Phase 3 program consisting of two clinical trials with 750 subjects each, intended to support both the U.S. NDA and MAA in Europe.</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pamrevlumab is approved and launched commercially to treat locally advanced pancreatic cancer patients who are not candidates for surgical resection, pamrevlumab may face competition from products currently used, including FOLFRINOX, a combination chemotherapy regimen of folic acid, 5-fluouracil, oxaliplatin and irinotecan, and those agents seeking approval in combination with gemcitibine and nab-paclitaxel from companies such as Rafael Pharma’s defactinib/CPI-613 and Merrimack’s istiratumab. Gemcitabine and/or nab-paclitaxel are the current standard of care in the first-line treatment of metastatic pancreatic cancer.</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Celgene Corporation’s Abraxane</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approved and launched commercially to treat DMD, pamrevlumab is expected to face competition from drugs that have been approved in major markets such as the U.S., EU, and Japan. On September 19, 2016, the FDA approved Sarepta Therapeutics Inc.’s (“Sarepta”) Exondys 51</w:t>
      </w:r>
      <w:r>
        <w:rPr>
          <w:rFonts w:ascii="Arial" w:cs="Arial" w:eastAsia="Arial" w:hAnsi="Arial"/>
          <w:sz w:val="15"/>
          <w:szCs w:val="15"/>
          <w:color w:val="auto"/>
        </w:rPr>
        <w:t>TM</w:t>
      </w:r>
      <w:r>
        <w:rPr>
          <w:rFonts w:ascii="Arial" w:cs="Arial" w:eastAsia="Arial" w:hAnsi="Arial"/>
          <w:sz w:val="18"/>
          <w:szCs w:val="18"/>
          <w:color w:val="auto"/>
        </w:rPr>
        <w:t xml:space="preserve"> (eteplirsen). This was the first drug approved to treat DMD. Exondys 51 is approved to treat patients who have a mutation of the dystrophin gene amenable to exon 51 skipping, representing approximately 13% of patients with DMD. In Europe, Sarepta received a negative opinion for its marketing application for eteplirsen from the EMA in September 2018. Sarepta has reported a full year Exondys 51 revenue of $380 million in 2019. Sarepta’s Vyondys 53</w:t>
      </w:r>
      <w:r>
        <w:rPr>
          <w:rFonts w:ascii="Arial" w:cs="Arial" w:eastAsia="Arial" w:hAnsi="Arial"/>
          <w:sz w:val="15"/>
          <w:szCs w:val="15"/>
          <w:color w:val="auto"/>
        </w:rPr>
        <w:t>TM</w:t>
      </w:r>
      <w:r>
        <w:rPr>
          <w:rFonts w:ascii="Arial" w:cs="Arial" w:eastAsia="Arial" w:hAnsi="Arial"/>
          <w:sz w:val="18"/>
          <w:szCs w:val="18"/>
          <w:color w:val="auto"/>
        </w:rPr>
        <w:t xml:space="preserve"> (golodirsen) was also approved by the FDA in December 2019 for patients with a confirmed genetic mutation that is amenable to exon 53 skipping, which accounts for 8% of the DMD population.</w:t>
      </w:r>
    </w:p>
    <w:p>
      <w:pPr>
        <w:spacing w:after="0" w:line="19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 xml:space="preserve">PTC Therapeutics’ product Translarna </w:t>
      </w:r>
      <w:r>
        <w:rPr>
          <w:rFonts w:ascii="Arial" w:cs="Arial" w:eastAsia="Arial" w:hAnsi="Arial"/>
          <w:sz w:val="15"/>
          <w:szCs w:val="15"/>
          <w:color w:val="auto"/>
        </w:rPr>
        <w:t>TM</w:t>
      </w:r>
      <w:r>
        <w:rPr>
          <w:rFonts w:ascii="Arial" w:cs="Arial" w:eastAsia="Arial" w:hAnsi="Arial"/>
          <w:sz w:val="18"/>
          <w:szCs w:val="18"/>
          <w:color w:val="auto"/>
        </w:rPr>
        <w:t xml:space="preserve"> received a conditional approval in Europe in 2014, which was renewed in November 2016 with a request for a new randomized placebo-controlled 18-month study by the Committee for Medicinal Products for Human Use of the EMA; however, the FDA informed the sponsor in a complete response letter in October 2017, as well as in its response to PTC Therapeutics’ appeal, that the FDA is unable to approve the application in its current form. An additional Phase 3 study is currently ongoing. While Translarna </w:t>
      </w:r>
      <w:r>
        <w:rPr>
          <w:rFonts w:ascii="Arial" w:cs="Arial" w:eastAsia="Arial" w:hAnsi="Arial"/>
          <w:sz w:val="15"/>
          <w:szCs w:val="15"/>
          <w:color w:val="auto"/>
        </w:rPr>
        <w:t>TM</w:t>
      </w:r>
      <w:r>
        <w:rPr>
          <w:rFonts w:ascii="Arial" w:cs="Arial" w:eastAsia="Arial" w:hAnsi="Arial"/>
          <w:sz w:val="18"/>
          <w:szCs w:val="18"/>
          <w:color w:val="auto"/>
        </w:rPr>
        <w:t xml:space="preserve"> targets a different set of DMD patients from those targeted by Sarepta’s Exondys 51®, it is also limited to a subset of patients who carry a specific mutation. Conversely, pamrevlumab is intended to treat DMD patients without limitation to type of mutation.</w:t>
      </w:r>
    </w:p>
    <w:p>
      <w:pPr>
        <w:spacing w:after="0" w:line="19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Pamrevlumab may also face competition from other drugs currently in clinical development in patient recruiting and enrollment in clinical trials, and, if approved, in commercialization. Examples of those compounds currently under clinical development are the drug candidates from Pfizer, Catabasis Pharmaceuticals (“Catabasis”), Santhera Pharmaceuticals (“Santhera”) and Sarepta. Pfizer initiated a Phase 3 study with PF-06939926, its AAV9 mini-dystrophin gene therapy for DMD in February 2020. Catabasis’ edasalonexent was reported to have preserved muscle function and slowed the progression of DMD compared to rates of change in the control period prior to treatment with edasalonexent in a Phase 2 study, and is currently undergoing Phase 3 development. Santhera’s Puldysa® (idebenone) MAA for treatment of DMD was filed with the EMA, and the opinion from the Committee for Medicinal Products for Human Use is expected in the second quarter of 2020. The FDA requested additional clinical data from the idebenone Phase 3 trial currently ongoing in the U.S. and Europe. Santhera offers compassionate use of idebenone in patients with DMD in U.S. and UK. Sarepta’s SRP-9001 is an investigational gene therapy for DMD. Sarepta announced in December 2019 the licensing agreement with Roche that grants Roche the commercial rights to SRP-9001 outside the U.S.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design, including, in order to compare pamrevlumab against another drug, which may be the new standard of care.</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that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scale,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No or limited reimbursement or insurance coverage of our approved products, if any, by third-party payors may render our products less attractive to patients and healthcare providers.</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79"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covered benefit under applicable health plan;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third-party payors may significantly change in a manner that renders our clinical data insufficient for adequate reimbursement or otherwise limits the successful marketing of our products. Even if we obtain coverage for our product candidates, third-party payors may not establish adequate reimbursement amounts, which may reduce the demand for, or the price of, our products. For example, the initial roxadustat reimbursement prices set by the Ministry of Health, Labour and Welfare in Japan in November 2019 did not reflect innovation premium over the current ESA therapy, despite roxadustat’s advantages observed in our clinical programs. We believe the Japanese authority’s decision was primarily based on the comparability of roxadustat shown in the Japan Phase 3 studies that supported the Japan NDA, that was not designed to evaluate the outcome and additional efficacy and safety data observed in the large global Phase 3 programs that included over 8,000 patients. We have no control over whether the agency will revisit the pricing once they review the comprehensive data from the global Phase 3 program including the MACE/MACE+ outcomes. If reimbursement is not available or is available only to limited levels or only in subsets of the dialysis and non-dialysis populations, we may not be able to successfully commercialize certain of our products, or in particular jurisdictions.</w:t>
      </w:r>
    </w:p>
    <w:p>
      <w:pPr>
        <w:spacing w:after="0" w:line="1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Price controls may limit the price at which products such as roxadustat, if approved, are sold. For example, reference pricing is used by various Europe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2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Our business could be adversely affected by the ongoing COVID-19 global pandemic as a result of the current and potential future impacts on our commercialization efforts, supply chain, regulatory and clinical development activities, and other business operations, in addition to the impact of a global economic slowdown.*</w:t>
      </w:r>
    </w:p>
    <w:p>
      <w:pPr>
        <w:spacing w:after="0" w:line="7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business could be adversely affected by the effects of the COVID-19 pandemic, which has resulted in various and evolving government-mandated restrictions in order to reduce the spread of the disease.</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effects of the COVID-19 pandemic, the associated government-mandated restrictions and the other effects on healthcare systems, the economy, and society as a whole, may negatively impact productivity, disrupt our business, and delay our clinical programs and timelines, the magnitude of which will depend, in part, on the progression of the disease, the length and severity of the restrictions, and other impacts and limitations on our ability to conduct our business in the ordinary course. These disruptions in our operations could negatively impact our business, operating results, and financial condition.</w:t>
      </w:r>
    </w:p>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taken measures to minimize the health risks of COVID-19 to our staff, patients, healthcare providers, and their communities, as their safety and well-being are our top priority. Despite these efforts, there is a risk that one or more of our employees, including members of senior management, could contract COVID-19. Our U.S. employees are working remotely when possible, and we may experience reduced productivity due to the remote work environment. In addition, there are increased risks from remote work including but not limited to risks related to reduced oversight of third parties we work with, such as manufacturing and clinical sites. In China, our staff have returned to work in our offices, manufacturing plants, and are performing medical affairs out in the field. We have implemented protocols globally to minimize the risk of illness for our employees who need to work on-site at any of our facilities.</w:t>
      </w:r>
    </w:p>
    <w:p>
      <w:pPr>
        <w:spacing w:after="0" w:line="19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Most of our, and our partners’, commercial launch activities are continuing, and have resumed in China after the government shutdown during February and March. However, sales growth of roxadustat may be slowed due to continued social distancing measures, behaviors, or other restrictions. If there are any further COVID-19 outbreaks, we or our partners may need to re-institute or tighten restrictions on our operations.</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While our clinical trials for MDS, CIA and locally advanced pancreatic cancer continue to enroll, enrollment for IPF has been paused, and we have seen impacts from COVID-19 on all of our clinical trials to varying degrees. There is a risk that any or all of our clinical trials will be delayed due to slowed or paused enrollment or site initiation, and direct COVID-19 impacts to clinical sites and clinical service providers. In addition, while we are trying to mitigate the effect of COVID-19 on existing patients, it is possible that some patients may not be able to continue to comply with protocols, which could further delay our clinical trial progress.</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believe we have sufficient roxadustat and pamrevlumab supplies for our expected commercial and clinical requirements over the next year and we and our manufacturing partners are currently continuing manufacturing operations. However, we only have a limited stockpile of these drug supply products, and therefore, if there is a greater impact from the COVID-19 pandemic than we currently expect, or if manufacturing operations are halted again, we could face shortages in our global supply chains.</w:t>
      </w:r>
    </w:p>
    <w:p>
      <w:pPr>
        <w:spacing w:after="0" w:line="1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Any such supply disruptions could adversely impact our clinical development and ability to generate revenues from our approved products and our business, financial condition, results of operations and growth prospects could be materially adversely affected.</w:t>
      </w:r>
    </w:p>
    <w:p>
      <w:pPr>
        <w:spacing w:after="0" w:line="170"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Due to these and potentially additional business disruptions, there may be delays to any of our business areas including our drug supply chains, problems with our distribution or warehousing vendors, or delays to our (and our partners’) clinical trials or other development efforts, or commercialization and launch activities. The full extent of these effects are unknown, but all of them could have a material impact on our operations and revenue.</w:t>
      </w:r>
    </w:p>
    <w:p>
      <w:pPr>
        <w:spacing w:after="0" w:line="14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and results of operations, it may also have the effect of heightening many of the other risks and uncertainties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If our collaborations with Astellas or AstraZeneca were terminated, if Astellas or AstraZeneca were to prioritize other initiatives over their collaborations with us, whether as a result of a change of control or otherwise, if conflicts arise between us and Astellas or AstraZeneca, or if Astellas or AstraZeneca becomes our competitor in the future, our ability to successfully develop and commercialize our product candidates would suffer.*</w:t>
      </w:r>
    </w:p>
    <w:p>
      <w:pPr>
        <w:spacing w:after="0" w:line="2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collaboration partners also have certain rights to control decisions regarding the development and commercialization of our product candidates with respect to which they are providing funding. If we have a disagreement over strategy and activities with our collaboration partners,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an anemia drug, or novel drug such as roxadustat in the dialysis market. If our collaboration partners are unsuccessful in their commercialization efforts, our results will be affected.</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With respect to our collaboration agreements for roxadustat, there are additional complexities in that we and our collaboration partners, Astellas and AstraZeneca, must reach consensus on our development programs and regulatory activities, including for the NDA in the U.S. and the MAA in Europe.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regulatory approval applications.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spacing w:after="0" w:line="192"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third-party contractors do not properly and successfully perform their obligations under our agreements with them, we may not be able to obtain or may be delayed in receiving regulatory approvals for our product candidates.*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continued development of roxadustat. We compete with many other companies for the resources of these third parties, and large pharmaceutical companies often have significantly more extensive agreements and relationships with such third-party providers, and such third-party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product manufacturing and distribution, and these third parties may not perform satisfactorily.*</w:t>
      </w:r>
    </w:p>
    <w:p>
      <w:pPr>
        <w:spacing w:after="0" w:line="6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do not have operating manufacturing facilities at this time other than our roxadustat manufacturing facility in China, and our current commercial manufacturing facility plans in China are not expected to satisfy the requirements necessary to support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We also rely entirely on third parties for distribution in China. Risks arising from our reliance on third-party manufacturers include:</w:t>
      </w:r>
    </w:p>
    <w:p>
      <w:pPr>
        <w:spacing w:after="0" w:line="68" w:lineRule="exact"/>
        <w:rPr>
          <w:sz w:val="20"/>
          <w:szCs w:val="20"/>
          <w:color w:val="auto"/>
        </w:rPr>
      </w:pPr>
    </w:p>
    <w:p>
      <w:pPr>
        <w:ind w:left="1000" w:right="8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62" w:lineRule="exact"/>
        <w:rPr>
          <w:rFonts w:ascii="Arial" w:cs="Arial" w:eastAsia="Arial" w:hAnsi="Arial"/>
          <w:sz w:val="18"/>
          <w:szCs w:val="18"/>
          <w:color w:val="auto"/>
        </w:rPr>
      </w:pPr>
    </w:p>
    <w:p>
      <w:pPr>
        <w:ind w:left="1000" w:right="300" w:hanging="493"/>
        <w:spacing w:after="0" w:line="308"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distributors or suppliers unrelated to our product, including the merger, acquisition, or bankruptcy of a manufacturer or supplier or a catastrophic event, including disruption resulting from the COVID-19 pandemic, affecting our manufacturers, distributors or suppliers.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7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Other than for Catalent, our commercial third-party supplier of roxadustat drug product in the U.S. and Europe, most of our other third-party manufacturers may terminate their engagement with us at any time and we have not yet entered into any commercial supply agreements for the manufacture of drug substance, API, or drug products. With respect to roxadustat, AstraZeneca and Astellas have certain rights to assume manufacturing of roxadustat and the existence of those rights may limit our ability to enter into favorable long-term supply agreements, if at all, with other third-party manufacturers.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w:t>
      </w:r>
    </w:p>
    <w:p>
      <w:pPr>
        <w:spacing w:after="0" w:line="17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have a letter agreement with IRIX Pharmaceuticals, Inc. (“IRIX”), a third-party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(“Patheon”), acquired IRIX, and in 2017, ThermoFisher Scientific Inc. acquired Patheon.</w:t>
      </w:r>
    </w:p>
    <w:p>
      <w:pPr>
        <w:spacing w:after="0" w:line="16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any third-party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third-party manufacturer we expect to enter into technical transfer agreements and share our know-how with the third-party manufacturer, which can be time-consuming and may result in delays. These delays could result in a suspension or delay of marketing roxadustat.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60"/>
        <w:spacing w:after="0" w:line="340" w:lineRule="auto"/>
        <w:rPr>
          <w:sz w:val="20"/>
          <w:szCs w:val="20"/>
          <w:color w:val="auto"/>
        </w:rPr>
      </w:pPr>
      <w:r>
        <w:rPr>
          <w:rFonts w:ascii="Arial" w:cs="Arial" w:eastAsia="Arial" w:hAnsi="Arial"/>
          <w:sz w:val="15"/>
          <w:szCs w:val="15"/>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2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do not have an alternative supplier of certain components of our product candidates. We may be unable to enter into long-term commercial supply arrangements for some of our products,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API, and drug product to meet our and our collaboration partners’ needs for roxadustat to date, the lead-time and regulatory approvals required to source from and into countries outside of the U.S. increase the risk of delay and potential shortages of supply.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disputes with third parties and competitors may be costly and time consuming, and may negatively affect our competitive position.*</w:t>
      </w:r>
    </w:p>
    <w:p>
      <w:pPr>
        <w:spacing w:after="0" w:line="15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5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8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We intend, if necessary, to vigorously enforce our intellectual property in order to protect the proprietary position of our product candidates, including roxadustat and pamrevlumab. In addition, our collaboration partners who have been granted licenses to our patents may also have rights related to enforcement of those patents. Active efforts to enforce our patents by us or by our partners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For example,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In addition, our partner Astellas initiated </w:t>
      </w:r>
      <w:r>
        <w:rPr>
          <w:rFonts w:ascii="Arial" w:cs="Arial" w:eastAsia="Arial" w:hAnsi="Arial"/>
          <w:sz w:val="16"/>
          <w:szCs w:val="16"/>
          <w:i w:val="1"/>
          <w:iCs w:val="1"/>
          <w:color w:val="auto"/>
        </w:rPr>
        <w:t>quia timet</w:t>
      </w:r>
      <w:r>
        <w:rPr>
          <w:rFonts w:ascii="Arial" w:cs="Arial" w:eastAsia="Arial" w:hAnsi="Arial"/>
          <w:sz w:val="16"/>
          <w:szCs w:val="16"/>
          <w:color w:val="auto"/>
        </w:rPr>
        <w:t xml:space="preserve"> infringement actions against Akebia and GSK based on our specific patents in the United Kingdom in response to actions taken by Akebia and GSK against those patents, as further detailed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Third parties may also challenge our patents and patent applications, through interference,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post-grant review proceedings before the U.S. Patent and Trademark Office (“USPTO”) or through comparable proceedings in other territories. For example, Akebia and others have filed oppositions against certain European patents within our HIF anemia-related technologies patent portfolio. In three of these proceedings, for FibroGen European Patent Nos. 1463823, 1633333, and 2322155, the European Patent Office has handed down decisions unfavorable to FibroGen. In a fourth of these proceedings, the European Patent Office issued a decision favorable to FibroGen, maintaining FibroGen European Patent No. 2322153 in amended form. All of these decisions are currently under appeal, and these four patents are valid and enforceable pending resolution of the appeals. In addition, Akebia has filed oppositions against FibroGen European Patent Nos. 2289531 and 2298301. As mentioned above, Akebia and GSK initiated invalidation actions in the United Kingdom against the United Kingdom counterparts of each of these European patents, and GSK filed for a declaration of non-infringement of certain United Kingdom patents (corresponding to FibroGen European Patent Nos. 2322153 and 2322155) with respect to its daprodustat product. We reached a settlement agreement with GSK to resolve the actions to which GSK was a party, resulting in dismissal of the UK court actions as well as the proceedings filed by GSK against the patents in the EPO. Astellas’ proceedings brought against GSK on a </w:t>
      </w:r>
      <w:r>
        <w:rPr>
          <w:rFonts w:ascii="Arial" w:cs="Arial" w:eastAsia="Arial" w:hAnsi="Arial"/>
          <w:sz w:val="16"/>
          <w:szCs w:val="16"/>
          <w:i w:val="1"/>
          <w:iCs w:val="1"/>
          <w:color w:val="auto"/>
        </w:rPr>
        <w:t>quia timet</w:t>
      </w:r>
      <w:r>
        <w:rPr>
          <w:rFonts w:ascii="Arial" w:cs="Arial" w:eastAsia="Arial" w:hAnsi="Arial"/>
          <w:sz w:val="16"/>
          <w:szCs w:val="16"/>
          <w:color w:val="auto"/>
        </w:rPr>
        <w:t xml:space="preserve"> basis have also been dismissed as a result of the settlement agreement. On April 20, 2020, the UK court handed down a decision invalidating UK designations of European Patent Nos. 1463823, 1633333, 2298301, 2322153, and 2322155. The UK designation to European Patent No. 2289531 was held to be valid in amended form, but not infringed by Akebia. Akebia is also pursuing invalidation actions against corresponding patents in Canada and in Japan. We note that, in each case described above, narrowing or even revocation of any of these patents does not affect our exclusivity for roxadustat or our freedom-to-operate with respect to use of roxadustat for the treatment of anemia.</w:t>
      </w:r>
    </w:p>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Oppositions have also recently been filed against our European Patent No. 2872488, which claims a crystalline form of roxadustat. Final resolution of the opposition proceedings will take considerable time, and we cannot be assured of the breadth of the claims that will remain in the ’488 Patent or that the patent will not be revoked in its entirety.</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9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2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6"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1000" w:right="8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We or any of our licensors or strategic partners might not have been the first to file patent applications covering certain of our inventions.</w:t>
      </w:r>
    </w:p>
    <w:p>
      <w:pPr>
        <w:spacing w:after="0" w:line="140" w:lineRule="exact"/>
        <w:rPr>
          <w:rFonts w:ascii="Arial" w:cs="Arial" w:eastAsia="Arial" w:hAnsi="Arial"/>
          <w:sz w:val="16"/>
          <w:szCs w:val="16"/>
          <w:color w:val="auto"/>
        </w:rPr>
      </w:pPr>
    </w:p>
    <w:p>
      <w:pPr>
        <w:ind w:left="1000" w:right="8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00" w:right="340" w:hanging="493"/>
        <w:spacing w:after="0" w:line="311" w:lineRule="auto"/>
        <w:tabs>
          <w:tab w:leader="none" w:pos="10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regulatory approval process is highly uncertain and we may not obtain regulatory approval for the commercialization of our product candidates.</w:t>
      </w:r>
    </w:p>
    <w:p>
      <w:pPr>
        <w:spacing w:after="0" w:line="1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Except for roxadustat in China for patients on dialysis and not on dialysis, and Japan for patients on dialysis, we have not obtained regulatory approval for any product candidate, and it is possible that neither roxadustat nor pamrevlumab, nor any future product candidates we may discover, in-license or acquire and seek to develop in the future, will obtain regulatory approval in additional countries.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product candidates could fail to receive regulatory approval from the FDA or other regulatory authorities for many reasons, including:</w:t>
      </w:r>
    </w:p>
    <w:p>
      <w:pPr>
        <w:spacing w:after="0" w:line="129" w:lineRule="exact"/>
        <w:rPr>
          <w:sz w:val="20"/>
          <w:szCs w:val="20"/>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FDA or other regulatory authorities may require more information, including additional preclinical or clinical data to support approval, or different analyses,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we obtain approval in the U.S.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79" w:lineRule="exact"/>
        <w:rPr>
          <w:sz w:val="20"/>
          <w:szCs w:val="20"/>
          <w:color w:val="auto"/>
        </w:rPr>
      </w:pPr>
    </w:p>
    <w:p>
      <w:pPr>
        <w:jc w:val="both"/>
        <w:ind w:left="1000" w:right="120" w:hanging="493"/>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jc w:val="both"/>
        <w:ind w:left="1000" w:right="120" w:hanging="493"/>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00" w:right="600" w:hanging="493"/>
        <w:spacing w:after="0" w:line="342"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15" w:lineRule="exact"/>
        <w:rPr>
          <w:rFonts w:ascii="Arial" w:cs="Arial" w:eastAsia="Arial" w:hAnsi="Arial"/>
          <w:sz w:val="16"/>
          <w:szCs w:val="16"/>
          <w:color w:val="auto"/>
        </w:rPr>
      </w:pPr>
    </w:p>
    <w:p>
      <w:pPr>
        <w:ind w:left="1000" w:right="3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00" w:right="60" w:hanging="493"/>
        <w:spacing w:after="0" w:line="279"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Patient Protection and Affordable Care Act (“PPACA”), which requires manufacturers of drugs, devices, biologics, and medical supplies to report annually to the Centers for Medicare and Medicaid Services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00" w:right="100" w:hanging="493"/>
        <w:spacing w:after="0" w:line="291"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58" w:lineRule="exact"/>
        <w:rPr>
          <w:rFonts w:ascii="Arial" w:cs="Arial" w:eastAsia="Arial" w:hAnsi="Arial"/>
          <w:sz w:val="16"/>
          <w:szCs w:val="16"/>
          <w:color w:val="auto"/>
        </w:rPr>
      </w:pPr>
    </w:p>
    <w:p>
      <w:pPr>
        <w:ind w:left="1000" w:right="200" w:hanging="493"/>
        <w:spacing w:after="0" w:line="293"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Trade Agreements Act (“TAA”), which requires that drugs sold to the U.S. Government must be manufactured in the U.S. or in TAA approved and designated countries. Drugs manufactured in countries not approved under the TAA, may not be sold to the U.S. without specific regulatory approval. We have little experience with this regulation and there is a risk that drugs made from Chinese-made API may not be sold to an entity of the U.S.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6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scope of these laws and our lack of experience in establishing the compliance programs necessary to comply with this complex and evolving regulatory environment increases the risks that we may unknowingly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shares.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laws and regulations governing corruption, which will require us to develop, maintain, and implement costly compliance programs.</w:t>
      </w:r>
    </w:p>
    <w:p>
      <w:pPr>
        <w:spacing w:after="0" w:line="1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must comply with a wide range of laws and regulations to prevent corruption, bribery, and other unethical business practices, including the FCPA, anti-bribery and anti-corruption laws in other countries, particularly China. The implementation and maintenance of compliance programs is costly and such programs may be difficult to enforce, particularly where reliance on third parties is required.</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9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4"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affiliates,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7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that could similarly impact the commercial potential for our products.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CMS based on the average cost per treatment, including the cost of ESAs and IV iron doses, typically without adjustment for usage. It is unknown whether roxadustat, if approved in the U.S.,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66" w:lineRule="exact"/>
        <w:rPr>
          <w:sz w:val="20"/>
          <w:szCs w:val="20"/>
          <w:color w:val="auto"/>
        </w:rPr>
      </w:pPr>
    </w:p>
    <w:p>
      <w:pPr>
        <w:ind w:right="140" w:hanging="13"/>
        <w:spacing w:after="0" w:line="287" w:lineRule="auto"/>
        <w:rPr>
          <w:sz w:val="20"/>
          <w:szCs w:val="20"/>
          <w:color w:val="auto"/>
        </w:rPr>
      </w:pPr>
      <w:r>
        <w:rPr>
          <w:rFonts w:ascii="Arial" w:cs="Arial" w:eastAsia="Arial" w:hAnsi="Arial"/>
          <w:sz w:val="16"/>
          <w:szCs w:val="16"/>
          <w:color w:val="auto"/>
        </w:rPr>
        <w:t>In March 2010, the Patient Protection and Affordable Care Act of 2010, as amended by the Health Care and Education Reconciliation Act of 2010, (collectively, the “PPACA”), was passed, which substantially changed the way healthcare is financed by both governmental and private payors in the U.S. There remain judicial and Congressional challenges to certain aspects of the PPACA as well as efforts by the Trump administration to repeal or replace certain aspects of the PPACA. For example, the Tax Cuts and Jobs Act of 2017, (the “Tax Act”), was enacted, which includes a provision that repealed,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eliminates, effective January 1, 2020, the PPACA-mandated “Cadillac” tax on high-cost employer-sponsored health coverage and medical device tax and, effective January 1, 2021, also eliminates the health insurer tax. Additionally, on December 15,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It is unclear how this decision, future decisions, subsequent appeals, and other efforts to repeal and replace the PPACA will impact the PPACA and our business.</w:t>
      </w:r>
    </w:p>
    <w:p>
      <w:pPr>
        <w:spacing w:after="0" w:line="16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Further, in the U.S.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At the federal level, the Trump administration’s budget proposals for fiscal year 2020 contains further drug price control measures that could be enacted during the budget process or in other future legislation. In addition,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has solicited feedback on some of these measures and has implemented others under its existing authority. While some of these measures may require additional authorization to become effective, the U.S. Congress and the Trump administration have indicated that they will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additional U.S. healthcare reform measures will be adopted in the future, any of which could limit the amounts that the U.S. federal government will pay for healthcare products and services, which could result in reduced demand for any future products or additional pricing pressures.</w:t>
      </w:r>
    </w:p>
    <w:p>
      <w:pPr>
        <w:spacing w:after="0" w:line="2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Roxadustat is considered a Class 2 substance on the 2019 World Anti-Doping Agency Prohibited List that could limit sales and increase security and distribution costs for us and our partners, particularly in China.</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Roxadustat is considered a Class 2 substance on the World Anti-Doping Agency (“WADA”)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 This is particularly the case in China where we will not be able to sell roxadustat in private pharmacies due to the WADA classification. While private pharmacies only represent approximately 10% of the market in China, this will negatively affect sales and therefore the profitability of roxadustat and the Company as a whole.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117"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comply with privacy laws protecting personal information;</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report financial information or data accurately;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 disclose unauthorized activities to us.</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3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different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tariffs, trade barriers and regulatory requirements;</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 and foreign taxes, including income, excise, customs, consumption, withholding, and payroll taxes;</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costs and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specific to an international region, including war and terrorism, or natural disasters, including the differing impact of the COVID-19 pandemic on each region.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7"/>
          <w:szCs w:val="17"/>
          <w:i w:val="1"/>
          <w:iCs w:val="1"/>
          <w:color w:val="auto"/>
        </w:rPr>
        <w:t>Business — Government Regulation — Regulation in China</w:t>
      </w:r>
      <w:r>
        <w:rPr>
          <w:rFonts w:ascii="Arial" w:cs="Arial" w:eastAsia="Arial" w:hAnsi="Arial"/>
          <w:sz w:val="17"/>
          <w:szCs w:val="17"/>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For example, the Chinese government has implemented regulations that impact distribution of pharmaceutical products in China. These regulations generally require that at most two invoices may be issued throughout the distribution chain. Failure to comply with the “Two-Invoices” regulations would prevent us from accessing the market in China. As a result of the “Two-Invoices” regulation, we, rather than AstraZeneca, have been directly engaging distributors and a third-party logistics provider, and we are planning on modifying the distribution responsibilities under the China Agreement such that both companies will work together to manage the distribution network. FibroGen China Anemia Holdings, Ltd (“FibroGen China”) has never managed distribution of pharmaceutical products, and this new distribution structure may impose higher costs or limit or delay our ability to sell products to our principal customers, and may limit the near term sales of our products. Any other such changes or amendments may result in increased compliance costs on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292"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We plan to use our own manufacturing facilities in China to produce roxadustat API and roxadustat drug product. As an organization, we have limited experience in the construction, licensure, and operation of a manufacturing plant, and accordingly we cannot assure you we will be able to continually meet regulatory requirements to operate our plant and to sell our products.*</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two manufacturing facilities in China, with one located in Beijing and the other in Cangzhou, Hebei. However, as an organization, we have limited experience licensing and operating commercial manufacturing facilities.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will be obligated to comply with continuing cGMP requirements and there can be no assurance that we will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Manufacturing facilities in China are subject to periodic unannounced inspections by the NMPA and other regulatory authorities. We expect to depend on these facilities for our product candidates and business operations in China. Natural disasters or other unanticipated catastrophic events, including power interruptions, water shortages, storms, fires, pandemics (including the COVID-19 pandemic), earthquakes, terrorist attacks, government appropriation of our facilities, and wars, could significantly impair our ability to operate our manufacturing facilities.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In addition to manufacturing, we are responsible for pharmacovigilance, medical affairs, and management of the third-party distribution logistics for roxadustat in China. We have no experience in these areas as a company, and accordingly we cannot assure you we will be able to meet regulatory requirements or operate in these capacities successfully.</w:t>
      </w:r>
    </w:p>
    <w:p>
      <w:pPr>
        <w:spacing w:after="0" w:line="7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are responsible for commercial manufacturing, pharmacovigilance, medical affairs, and management of the third-party distribution logistics for roxadustat commercial activities in China. While we have been increasing our staffing in these areas, as a company, we have no experience managing or operating these functions for a commercial product and there can be no guarantee that we will do so efficiently or effectively. Mistakes or delays in these areas could limit our ability to successfully commercialize roxadustat in China, could limit our eventual market penetration, sales and profitability, and could subject us to significant liability in China.</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and our collaboration partner in China, AstraZeneca, may experience difficulties in successfully generating sales of roxadustat in China.</w:t>
      </w:r>
    </w:p>
    <w:p>
      <w:pPr>
        <w:spacing w:after="0" w:line="14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and AstraZeneca have a profit sharing arrangement with respect to roxadustat in China and any difficulties we may experience in generating sales will affect our bottom line. Difficulties may be related to our ability to maintain reasonable pricing and reimbursement, obtain hospital listing, or other difficulties related to distribution, marketing, and sales efforts in China. For example, our current National Reimbursement Drug List reimbursement pricing is effective for a standard two-year period (between January 1, 2020 to December 31, 2021), after which time we will have to renegotiate a new price for roxadustat, which may be lower. Sales of roxadustat in China may be limited due to the complex nature of the healthcare system, low average personal income, pricing controls, still developing infrastructure and potentially rapid competition from other products. The hospital listing process is critical to roxadustat’s near-term commercial success in China and may take many years to obtain the majority of hospital listings.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Securities and Exchange Commission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plan to conduct all of our business in China through FibroGen China and FibroGen Beijing. We may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March 31, 2020, approximately $9.2 million of our cash and cash equivalents is held in China.</w:t>
      </w:r>
    </w:p>
    <w:p>
      <w:pPr>
        <w:spacing w:after="0" w:line="2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7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8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operations.</w:t>
      </w:r>
    </w:p>
    <w:p>
      <w:pPr>
        <w:spacing w:after="0" w:line="6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2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relating to the United Kingdom’s referendum vote in favor of leaving the European Union could adversely affect us.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Effective January 31, 2020, the United Kingdom commenced an exit from the European Union, commonly referred to as "Brexit." During a transition period (set to expire on December 31, 2020), the British government will continue to negotiate the terms of the United Kingdom's future relationship with the European Union. The outcome of these negotiations is uncertain, and we do not know to what extent Brexit will ultimately impact the business and regulatory environment in the United Kingdom, the rest of Europe, or other countries. The effects of the United Kingdom’s withdrawal from the European Union,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European Union could also have the effect of disrupting the free movement of goods, services and people between the United Kingdom and Europe and could also lead to legal uncertainty and potentially divergent national laws and regulations as the United Kingdom determines which European laws to replace or replicate, including laws that could impact our ability, or our collaborator’s ability in the case of roxadustat, to obtain approval of our products or sell our products in the United Kingdom. Changes impacting our ability to conduct business in the United Kingdom or other European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us.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Loss of senior management and key personnel could adversely affect our ability to successfully develop our product candidates, conduct our clinical trials and commercialize our product candidates.*</w:t>
      </w:r>
    </w:p>
    <w:p>
      <w:pPr>
        <w:spacing w:after="0" w:line="6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highly dependent on members of our senior management team, including Enrique Conterno, our Chief Executive Officer. The loss of the services of Mr. Conterno or any of our senior management could significantly impact the development and commercialization of our products and product candidates and our ability to successfully implement our business strategy.</w:t>
      </w:r>
    </w:p>
    <w:p>
      <w:pPr>
        <w:spacing w:after="0" w:line="184"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Recruiting and retaining qualified commercial, development, scientific, clinical, and manufacturing personnel are and will continue to be critical to our success, particularly as we expand our commercialization operations.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6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8"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termination of further development of unapproved product candidates or significantly reduced demand for any approved products;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2017,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6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While we have recently upgraded our disaster data recovery program, a successful attack could result in the theft or destruction of intellectual property, data, or other misappropriation of assets, or otherwise compromise our confidential or proprietary information and disrupt our operations. Cyber-attacks are becoming more sophisticated and frequent. We have invested in our systems and the protection and recoverability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costs and expenses, expenses or lost revenues or other adverse consequences, any of which could have a material adverse effect on our business, results of operations, financial condition, prospects and cash flows.</w:t>
      </w:r>
    </w:p>
    <w:p>
      <w:pPr>
        <w:spacing w:after="0" w:line="28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Our headquarters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or otherwise disrupted operations, it may be difficult or, in certain cases, impossible for us to continue our business for a substantial period of time. The disaster recovery and business continuity plans we have in place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fluctuations in the valuation of the biotechnology industry and particular companies perceived by investors to be comparable to us;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activities of the government of China, including those related to the pharmaceutical industry as well as industrial policy generally;</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us or fail to regularly publish reports on us, we could lose visibility in the financial markets, which in turn could cause our stock price or trading volume to decline.</w:t>
      </w:r>
    </w:p>
    <w:p>
      <w:pPr>
        <w:spacing w:after="0" w:line="2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of April 30, 2020, our executive officers, directors and principal stockholders, together with their respective affiliates, owned approximately 40.02%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January 31, 2020.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76" w:lineRule="exact"/>
        <w:rPr>
          <w:sz w:val="20"/>
          <w:szCs w:val="20"/>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6" w:lineRule="exact"/>
        <w:rPr>
          <w:sz w:val="20"/>
          <w:szCs w:val="20"/>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4" w:lineRule="exact"/>
        <w:rPr>
          <w:sz w:val="20"/>
          <w:szCs w:val="20"/>
          <w:color w:val="auto"/>
        </w:rPr>
      </w:pPr>
    </w:p>
    <w:p>
      <w:pPr>
        <w:ind w:left="1000" w:right="38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47"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also subject to non-income taxes, such as payroll, excise, customs and duties, sales, use, value-added, net worth, property, gross receipts, and goods and services taxes in the U.S., state and local, and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our judgment in providing for the possible impact of the Tax Act remains subject to developing interpretations of the provisions of the Tax Act. As regulations and guidance evolve with respect to the Tax Act, we continue to examine the impact to our tax provision or exposure to additional tax liabilities, which could have a material adverse effect on our business, results of operations or financial condition.</w:t>
      </w:r>
    </w:p>
    <w:p>
      <w:pPr>
        <w:spacing w:after="0" w:line="2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Tariffs imposed by the U.S. and those imposed in response by other countries, as well as rapidly changing trade relations, could have a material adverse effect on our business and results of operations.</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3"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920" w:type="dxa"/>
            <w:vAlign w:val="bottom"/>
            <w:gridSpan w:val="15"/>
          </w:tcPr>
          <w:p>
            <w:pPr>
              <w:ind w:left="680"/>
              <w:spacing w:after="0"/>
              <w:rPr>
                <w:sz w:val="20"/>
                <w:szCs w:val="20"/>
                <w:color w:val="auto"/>
              </w:rPr>
            </w:pPr>
            <w:r>
              <w:rPr>
                <w:rFonts w:ascii="Arial" w:cs="Arial" w:eastAsia="Arial" w:hAnsi="Arial"/>
                <w:sz w:val="14"/>
                <w:szCs w:val="14"/>
                <w:b w:val="1"/>
                <w:bCs w:val="1"/>
                <w:color w:val="auto"/>
              </w:rPr>
              <w:t>Exhibit Description</w:t>
            </w:r>
          </w:p>
        </w:tc>
      </w:tr>
      <w:tr>
        <w:trPr>
          <w:trHeight w:val="358"/>
        </w:trPr>
        <w:tc>
          <w:tcPr>
            <w:tcW w:w="1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5260" w:type="dxa"/>
            <w:vAlign w:val="bottom"/>
            <w:tcBorders>
              <w:top w:val="single" w:sz="8" w:color="auto"/>
            </w:tcBorders>
            <w:gridSpan w:val="20"/>
          </w:tcPr>
          <w:p>
            <w:pPr>
              <w:spacing w:after="0"/>
              <w:rPr>
                <w:rFonts w:ascii="Arial" w:cs="Arial" w:eastAsia="Arial" w:hAnsi="Arial"/>
                <w:sz w:val="18"/>
                <w:szCs w:val="18"/>
                <w:color w:val="0000EE"/>
                <w:w w:val="96"/>
              </w:rPr>
            </w:pPr>
            <w:hyperlink r:id="rId93">
              <w:r>
                <w:rPr>
                  <w:rFonts w:ascii="Arial" w:cs="Arial" w:eastAsia="Arial" w:hAnsi="Arial"/>
                  <w:sz w:val="18"/>
                  <w:szCs w:val="18"/>
                  <w:u w:val="single" w:color="auto"/>
                  <w:color w:val="0000EE"/>
                  <w:w w:val="96"/>
                </w:rPr>
                <w:t>Amended and Restated Certificate of Incorporation of FibroGen, Inc</w:t>
              </w:r>
              <w:r>
                <w:rPr>
                  <w:rFonts w:ascii="Arial" w:cs="Arial" w:eastAsia="Arial" w:hAnsi="Arial"/>
                  <w:sz w:val="18"/>
                  <w:szCs w:val="18"/>
                  <w:color w:val="0000EE"/>
                  <w:w w:val="96"/>
                </w:rPr>
                <w:t>.</w:t>
              </w:r>
            </w:hyperlink>
          </w:p>
        </w:tc>
      </w:tr>
      <w:tr>
        <w:trPr>
          <w:trHeight w:val="310"/>
        </w:trPr>
        <w:tc>
          <w:tcPr>
            <w:tcW w:w="102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5260" w:type="dxa"/>
            <w:vAlign w:val="bottom"/>
            <w:gridSpan w:val="20"/>
          </w:tcPr>
          <w:p>
            <w:pPr>
              <w:spacing w:after="0"/>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Amended and Restated Bylaws of FibroGen, Inc.</w:t>
              </w:r>
            </w:hyperlink>
          </w:p>
        </w:tc>
      </w:tr>
      <w:tr>
        <w:trPr>
          <w:trHeight w:val="311"/>
        </w:trPr>
        <w:tc>
          <w:tcPr>
            <w:tcW w:w="10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5260" w:type="dxa"/>
            <w:vAlign w:val="bottom"/>
            <w:gridSpan w:val="20"/>
          </w:tcPr>
          <w:p>
            <w:pPr>
              <w:spacing w:after="0"/>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Form of Common Stock Certificate.</w:t>
              </w:r>
            </w:hyperlink>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5240" w:type="dxa"/>
            <w:vAlign w:val="bottom"/>
            <w:tcBorders>
              <w:bottom w:val="single" w:sz="8" w:color="0000EE"/>
            </w:tcBorders>
            <w:gridSpan w:val="19"/>
          </w:tcPr>
          <w:p>
            <w:pPr>
              <w:spacing w:after="0"/>
              <w:rPr>
                <w:rFonts w:ascii="Arial" w:cs="Arial" w:eastAsia="Arial" w:hAnsi="Arial"/>
                <w:sz w:val="18"/>
                <w:szCs w:val="18"/>
                <w:color w:val="0000EE"/>
                <w:w w:val="89"/>
              </w:rPr>
            </w:pPr>
            <w:hyperlink r:id="rId96">
              <w:r>
                <w:rPr>
                  <w:rFonts w:ascii="Arial" w:cs="Arial" w:eastAsia="Arial" w:hAnsi="Arial"/>
                  <w:sz w:val="18"/>
                  <w:szCs w:val="18"/>
                  <w:color w:val="0000EE"/>
                  <w:w w:val="89"/>
                </w:rPr>
                <w:t>Common Stock Purchase Agreement by and between FibroGen, Inc. and</w:t>
              </w:r>
            </w:hyperlink>
          </w:p>
        </w:tc>
        <w:tc>
          <w:tcPr>
            <w:tcW w:w="20" w:type="dxa"/>
            <w:vAlign w:val="bottom"/>
          </w:tcPr>
          <w:p>
            <w:pPr>
              <w:spacing w:after="0"/>
              <w:rPr>
                <w:sz w:val="23"/>
                <w:szCs w:val="23"/>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r:id="rId96">
              <w:r>
                <w:rPr>
                  <w:rFonts w:ascii="Arial" w:cs="Arial" w:eastAsia="Arial" w:hAnsi="Arial"/>
                  <w:sz w:val="18"/>
                  <w:szCs w:val="18"/>
                  <w:color w:val="0000EE"/>
                  <w:w w:val="89"/>
                </w:rPr>
                <w:t>AstraZeneca AB, dated as of October 20, 2014.</w:t>
              </w:r>
            </w:hyperlink>
          </w:p>
        </w:tc>
        <w:tc>
          <w:tcPr>
            <w:tcW w:w="1840" w:type="dxa"/>
            <w:vAlign w:val="bottom"/>
            <w:gridSpan w:val="12"/>
          </w:tcPr>
          <w:p>
            <w:pPr>
              <w:spacing w:after="0"/>
              <w:rPr>
                <w:sz w:val="17"/>
                <w:szCs w:val="17"/>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5260" w:type="dxa"/>
            <w:vAlign w:val="bottom"/>
            <w:gridSpan w:val="20"/>
          </w:tcPr>
          <w:p>
            <w:pPr>
              <w:spacing w:after="0"/>
              <w:rPr>
                <w:rFonts w:ascii="Arial" w:cs="Arial" w:eastAsia="Arial" w:hAnsi="Arial"/>
                <w:sz w:val="18"/>
                <w:szCs w:val="18"/>
                <w:color w:val="0000EE"/>
              </w:rPr>
            </w:pPr>
            <w:hyperlink r:id="rId97">
              <w:r>
                <w:rPr>
                  <w:rFonts w:ascii="Arial" w:cs="Arial" w:eastAsia="Arial" w:hAnsi="Arial"/>
                  <w:sz w:val="18"/>
                  <w:szCs w:val="18"/>
                  <w:color w:val="0000EE"/>
                </w:rPr>
                <w:t>Shareholders’ Agreement by and among FibroGen International</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60" w:type="dxa"/>
            <w:vAlign w:val="bottom"/>
            <w:gridSpan w:val="20"/>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(Cayman) Limited and certain of its shareholders, dated as of September</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97">
              <w:r>
                <w:rPr>
                  <w:rFonts w:ascii="Arial" w:cs="Arial" w:eastAsia="Arial" w:hAnsi="Arial"/>
                  <w:sz w:val="18"/>
                  <w:szCs w:val="18"/>
                  <w:color w:val="0000EE"/>
                  <w:w w:val="86"/>
                </w:rPr>
                <w:t>8, 2017.</w:t>
              </w:r>
            </w:hyperlink>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66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75">
              <w:r>
                <w:rPr>
                  <w:rFonts w:ascii="Arial" w:cs="Arial" w:eastAsia="Arial" w:hAnsi="Arial"/>
                  <w:sz w:val="18"/>
                  <w:szCs w:val="18"/>
                  <w:color w:val="0000EE"/>
                  <w:w w:val="91"/>
                </w:rPr>
                <w:t>FibroGen, Inc. Non-Employee Director Compensation Policy, as</w:t>
              </w:r>
            </w:hyperlink>
          </w:p>
        </w:tc>
        <w:tc>
          <w:tcPr>
            <w:tcW w:w="600" w:type="dxa"/>
            <w:vAlign w:val="bottom"/>
            <w:gridSpan w:val="10"/>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75">
              <w:r>
                <w:rPr>
                  <w:rFonts w:ascii="Arial" w:cs="Arial" w:eastAsia="Arial" w:hAnsi="Arial"/>
                  <w:sz w:val="18"/>
                  <w:szCs w:val="18"/>
                  <w:color w:val="0000EE"/>
                  <w:w w:val="84"/>
                </w:rPr>
                <w:t>amended.</w:t>
              </w:r>
            </w:hyperlink>
          </w:p>
        </w:tc>
        <w:tc>
          <w:tcPr>
            <w:tcW w:w="4560" w:type="dxa"/>
            <w:vAlign w:val="bottom"/>
            <w:gridSpan w:val="18"/>
          </w:tcPr>
          <w:p>
            <w:pPr>
              <w:spacing w:after="0"/>
              <w:rPr>
                <w:sz w:val="17"/>
                <w:szCs w:val="17"/>
                <w:color w:val="auto"/>
              </w:rPr>
            </w:pP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4880" w:type="dxa"/>
            <w:vAlign w:val="bottom"/>
            <w:tcBorders>
              <w:bottom w:val="single" w:sz="8" w:color="0000EE"/>
            </w:tcBorders>
            <w:gridSpan w:val="14"/>
          </w:tcPr>
          <w:p>
            <w:pPr>
              <w:spacing w:after="0"/>
              <w:rPr>
                <w:rFonts w:ascii="Arial" w:cs="Arial" w:eastAsia="Arial" w:hAnsi="Arial"/>
                <w:sz w:val="18"/>
                <w:szCs w:val="18"/>
                <w:color w:val="0000EE"/>
                <w:w w:val="90"/>
              </w:rPr>
            </w:pPr>
            <w:hyperlink r:id="rId98">
              <w:r>
                <w:rPr>
                  <w:rFonts w:ascii="Arial" w:cs="Arial" w:eastAsia="Arial" w:hAnsi="Arial"/>
                  <w:sz w:val="18"/>
                  <w:szCs w:val="18"/>
                  <w:color w:val="0000EE"/>
                  <w:w w:val="90"/>
                </w:rPr>
                <w:t>Commercial Supply Agreement by and between FibroGen, Inc. and</w:t>
              </w:r>
            </w:hyperlink>
          </w:p>
        </w:tc>
        <w:tc>
          <w:tcPr>
            <w:tcW w:w="380" w:type="dxa"/>
            <w:vAlign w:val="bottom"/>
            <w:gridSpan w:val="6"/>
          </w:tcPr>
          <w:p>
            <w:pPr>
              <w:spacing w:after="0"/>
              <w:rPr>
                <w:sz w:val="24"/>
                <w:szCs w:val="24"/>
                <w:color w:val="auto"/>
              </w:rPr>
            </w:pPr>
          </w:p>
        </w:tc>
      </w:tr>
      <w:tr>
        <w:trPr>
          <w:trHeight w:val="237"/>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gridSpan w:val="20"/>
          </w:tcPr>
          <w:p>
            <w:pPr>
              <w:spacing w:after="0"/>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Catalent Pharma Solutions, LLC, effective as of January 1, 2020.</w:t>
              </w:r>
            </w:hyperlink>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3"/>
                <w:szCs w:val="23"/>
                <w:color w:val="auto"/>
              </w:rPr>
            </w:pPr>
          </w:p>
        </w:tc>
        <w:tc>
          <w:tcPr>
            <w:tcW w:w="4860" w:type="dxa"/>
            <w:vAlign w:val="bottom"/>
            <w:tcBorders>
              <w:bottom w:val="single" w:sz="8" w:color="0000EE"/>
            </w:tcBorders>
            <w:gridSpan w:val="13"/>
          </w:tcPr>
          <w:p>
            <w:pPr>
              <w:spacing w:after="0"/>
              <w:rPr>
                <w:rFonts w:ascii="Arial" w:cs="Arial" w:eastAsia="Arial" w:hAnsi="Arial"/>
                <w:sz w:val="18"/>
                <w:szCs w:val="18"/>
                <w:color w:val="0000EE"/>
                <w:w w:val="90"/>
              </w:rPr>
            </w:pPr>
            <w:hyperlink r:id="rId99">
              <w:r>
                <w:rPr>
                  <w:rFonts w:ascii="Arial" w:cs="Arial" w:eastAsia="Arial" w:hAnsi="Arial"/>
                  <w:sz w:val="18"/>
                  <w:szCs w:val="18"/>
                  <w:color w:val="0000EE"/>
                  <w:w w:val="90"/>
                </w:rPr>
                <w:t>Offer Letter, by and between FibroGen, Inc. and Enrique Conterno,</w:t>
              </w:r>
            </w:hyperlink>
          </w:p>
        </w:tc>
        <w:tc>
          <w:tcPr>
            <w:tcW w:w="400" w:type="dxa"/>
            <w:vAlign w:val="bottom"/>
            <w:gridSpan w:val="7"/>
          </w:tcPr>
          <w:p>
            <w:pPr>
              <w:spacing w:after="0"/>
              <w:rPr>
                <w:sz w:val="23"/>
                <w:szCs w:val="23"/>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r:id="rId99">
              <w:r>
                <w:rPr>
                  <w:rFonts w:ascii="Arial" w:cs="Arial" w:eastAsia="Arial" w:hAnsi="Arial"/>
                  <w:sz w:val="18"/>
                  <w:szCs w:val="18"/>
                  <w:color w:val="0000EE"/>
                  <w:w w:val="87"/>
                </w:rPr>
                <w:t>dated as of December 17, 2019.</w:t>
              </w:r>
            </w:hyperlink>
          </w:p>
        </w:tc>
        <w:tc>
          <w:tcPr>
            <w:tcW w:w="2980" w:type="dxa"/>
            <w:vAlign w:val="bottom"/>
            <w:gridSpan w:val="14"/>
          </w:tcPr>
          <w:p>
            <w:pPr>
              <w:spacing w:after="0"/>
              <w:rPr>
                <w:sz w:val="17"/>
                <w:szCs w:val="17"/>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4820" w:type="dxa"/>
            <w:vAlign w:val="bottom"/>
            <w:tcBorders>
              <w:bottom w:val="single" w:sz="8" w:color="0000EE"/>
            </w:tcBorders>
            <w:gridSpan w:val="11"/>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Master Supply Agreement by and among FibroGen, Inc., Shanghai</w:t>
              </w:r>
            </w:hyperlink>
          </w:p>
        </w:tc>
        <w:tc>
          <w:tcPr>
            <w:tcW w:w="440" w:type="dxa"/>
            <w:vAlign w:val="bottom"/>
            <w:gridSpan w:val="9"/>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SynTheAll Pharmaceutical Co., Ltd. and STA Pharmaceutical Hong</w:t>
              </w:r>
            </w:hyperlink>
          </w:p>
        </w:tc>
        <w:tc>
          <w:tcPr>
            <w:tcW w:w="360" w:type="dxa"/>
            <w:vAlign w:val="bottom"/>
            <w:gridSpan w:val="5"/>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60" w:type="dxa"/>
            <w:vAlign w:val="bottom"/>
            <w:gridSpan w:val="20"/>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Kong Limited, effective as of March 2, 2020.</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20" w:type="dxa"/>
            <w:vAlign w:val="bottom"/>
            <w:gridSpan w:val="2"/>
            <w:shd w:val="clear" w:color="auto" w:fill="0000EE"/>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5260" w:type="dxa"/>
            <w:vAlign w:val="bottom"/>
            <w:gridSpan w:val="20"/>
          </w:tcPr>
          <w:p>
            <w:pPr>
              <w:spacing w:after="0"/>
              <w:rPr>
                <w:rFonts w:ascii="Arial" w:cs="Arial" w:eastAsia="Arial" w:hAnsi="Arial"/>
                <w:sz w:val="18"/>
                <w:szCs w:val="18"/>
                <w:color w:val="0000EE"/>
                <w:w w:val="94"/>
              </w:rPr>
            </w:pPr>
            <w:hyperlink w:anchor="page78">
              <w:r>
                <w:rPr>
                  <w:rFonts w:ascii="Arial" w:cs="Arial" w:eastAsia="Arial" w:hAnsi="Arial"/>
                  <w:sz w:val="18"/>
                  <w:szCs w:val="18"/>
                  <w:color w:val="0000EE"/>
                  <w:w w:val="94"/>
                </w:rPr>
                <w:t>Certification of Chief Executive Officer, as required by Rule 13a-14(a)</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or Rule 15d-14(a).</w:t>
              </w:r>
            </w:hyperlink>
          </w:p>
        </w:tc>
        <w:tc>
          <w:tcPr>
            <w:tcW w:w="3760" w:type="dxa"/>
            <w:vAlign w:val="bottom"/>
            <w:tcBorders>
              <w:top w:val="single" w:sz="8" w:color="0000EE"/>
            </w:tcBorders>
            <w:gridSpan w:val="12"/>
          </w:tcPr>
          <w:p>
            <w:pPr>
              <w:spacing w:after="0"/>
              <w:rPr>
                <w:sz w:val="17"/>
                <w:szCs w:val="17"/>
                <w:color w:val="auto"/>
              </w:rPr>
            </w:pPr>
          </w:p>
        </w:tc>
        <w:tc>
          <w:tcPr>
            <w:tcW w:w="160" w:type="dxa"/>
            <w:vAlign w:val="bottom"/>
            <w:gridSpan w:val="3"/>
          </w:tcPr>
          <w:p>
            <w:pPr>
              <w:spacing w:after="0"/>
              <w:rPr>
                <w:sz w:val="17"/>
                <w:szCs w:val="17"/>
                <w:color w:val="auto"/>
              </w:rPr>
            </w:pPr>
          </w:p>
        </w:tc>
      </w:tr>
      <w:tr>
        <w:trPr>
          <w:trHeight w:val="290"/>
        </w:trPr>
        <w:tc>
          <w:tcPr>
            <w:tcW w:w="10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5260" w:type="dxa"/>
            <w:vAlign w:val="bottom"/>
            <w:gridSpan w:val="20"/>
          </w:tcPr>
          <w:p>
            <w:pPr>
              <w:spacing w:after="0"/>
              <w:rPr>
                <w:rFonts w:ascii="Arial" w:cs="Arial" w:eastAsia="Arial" w:hAnsi="Arial"/>
                <w:sz w:val="18"/>
                <w:szCs w:val="18"/>
                <w:color w:val="0000EE"/>
                <w:w w:val="92"/>
              </w:rPr>
            </w:pPr>
            <w:hyperlink w:anchor="page79">
              <w:r>
                <w:rPr>
                  <w:rFonts w:ascii="Arial" w:cs="Arial" w:eastAsia="Arial" w:hAnsi="Arial"/>
                  <w:sz w:val="18"/>
                  <w:szCs w:val="18"/>
                  <w:color w:val="0000EE"/>
                  <w:w w:val="92"/>
                </w:rPr>
                <w:t>Certification of Chief Financial Officer, as required by Rule 13a-14(a) or</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Rule 15d-14(a).</w:t>
              </w:r>
            </w:hyperlink>
          </w:p>
        </w:tc>
        <w:tc>
          <w:tcPr>
            <w:tcW w:w="4100" w:type="dxa"/>
            <w:vAlign w:val="bottom"/>
            <w:tcBorders>
              <w:top w:val="single" w:sz="8" w:color="0000EE"/>
            </w:tcBorders>
            <w:gridSpan w:val="15"/>
          </w:tcPr>
          <w:p>
            <w:pPr>
              <w:spacing w:after="0"/>
              <w:rPr>
                <w:sz w:val="17"/>
                <w:szCs w:val="17"/>
                <w:color w:val="auto"/>
              </w:rPr>
            </w:pPr>
          </w:p>
        </w:tc>
        <w:tc>
          <w:tcPr>
            <w:tcW w:w="20" w:type="dxa"/>
            <w:vAlign w:val="bottom"/>
          </w:tcPr>
          <w:p>
            <w:pPr>
              <w:spacing w:after="0"/>
              <w:rPr>
                <w:sz w:val="17"/>
                <w:szCs w:val="17"/>
                <w:color w:val="auto"/>
              </w:rPr>
            </w:pPr>
          </w:p>
        </w:tc>
      </w:tr>
      <w:tr>
        <w:trPr>
          <w:trHeight w:val="291"/>
        </w:trPr>
        <w:tc>
          <w:tcPr>
            <w:tcW w:w="10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48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80">
              <w:r>
                <w:rPr>
                  <w:rFonts w:ascii="Arial" w:cs="Arial" w:eastAsia="Arial" w:hAnsi="Arial"/>
                  <w:sz w:val="18"/>
                  <w:szCs w:val="18"/>
                  <w:color w:val="0000EE"/>
                  <w:w w:val="93"/>
                </w:rPr>
                <w:t>Certification of Principal Executive Officer and Principal Financial</w:t>
              </w:r>
            </w:hyperlink>
          </w:p>
        </w:tc>
        <w:tc>
          <w:tcPr>
            <w:tcW w:w="420" w:type="dxa"/>
            <w:vAlign w:val="bottom"/>
            <w:gridSpan w:val="8"/>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60" w:type="dxa"/>
            <w:vAlign w:val="bottom"/>
            <w:gridSpan w:val="20"/>
          </w:tcPr>
          <w:p>
            <w:pPr>
              <w:spacing w:after="0" w:line="196"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Officer, as required by Rule 13a-14(b) or Rule 15d-14(b) and Section</w:t>
              </w:r>
            </w:hyperlink>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8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1350 of Chapter 63 of Title 18 of the United States Code (18 U.S.C.</w:t>
              </w:r>
            </w:hyperlink>
          </w:p>
        </w:tc>
        <w:tc>
          <w:tcPr>
            <w:tcW w:w="28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§1350)(1)).</w:t>
              </w:r>
            </w:hyperlink>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7"/>
        </w:trPr>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260" w:type="dxa"/>
            <w:vAlign w:val="bottom"/>
            <w:gridSpan w:val="20"/>
          </w:tcPr>
          <w:p>
            <w:pPr>
              <w:spacing w:after="0"/>
              <w:rPr>
                <w:sz w:val="20"/>
                <w:szCs w:val="20"/>
                <w:color w:val="auto"/>
              </w:rPr>
            </w:pPr>
            <w:r>
              <w:rPr>
                <w:rFonts w:ascii="Arial" w:cs="Arial" w:eastAsia="Arial" w:hAnsi="Arial"/>
                <w:sz w:val="18"/>
                <w:szCs w:val="18"/>
                <w:color w:val="auto"/>
              </w:rPr>
              <w:t>Inline XBRL Instance Document: the instance document does not</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20"/>
          </w:tcPr>
          <w:p>
            <w:pPr>
              <w:spacing w:after="0"/>
              <w:rPr>
                <w:sz w:val="20"/>
                <w:szCs w:val="20"/>
                <w:color w:val="auto"/>
              </w:rPr>
            </w:pPr>
            <w:r>
              <w:rPr>
                <w:rFonts w:ascii="Arial" w:cs="Arial" w:eastAsia="Arial" w:hAnsi="Arial"/>
                <w:sz w:val="18"/>
                <w:szCs w:val="18"/>
                <w:color w:val="auto"/>
                <w:w w:val="90"/>
              </w:rPr>
              <w:t>appear in the Interactive Data File because its XBRL tags are embedded</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60" w:type="dxa"/>
            <w:vAlign w:val="bottom"/>
            <w:gridSpan w:val="20"/>
          </w:tcPr>
          <w:p>
            <w:pPr>
              <w:spacing w:after="0"/>
              <w:rPr>
                <w:sz w:val="20"/>
                <w:szCs w:val="20"/>
                <w:color w:val="auto"/>
              </w:rPr>
            </w:pPr>
            <w:r>
              <w:rPr>
                <w:rFonts w:ascii="Arial" w:cs="Arial" w:eastAsia="Arial" w:hAnsi="Arial"/>
                <w:sz w:val="18"/>
                <w:szCs w:val="18"/>
                <w:color w:val="auto"/>
              </w:rPr>
              <w:t>within the Inline XBRL document</w:t>
            </w:r>
          </w:p>
        </w:tc>
      </w:tr>
      <w:tr>
        <w:trPr>
          <w:trHeight w:val="310"/>
        </w:trPr>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260" w:type="dxa"/>
            <w:vAlign w:val="bottom"/>
            <w:gridSpan w:val="2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10"/>
        </w:trPr>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260" w:type="dxa"/>
            <w:vAlign w:val="bottom"/>
            <w:gridSpan w:val="20"/>
          </w:tcPr>
          <w:p>
            <w:pPr>
              <w:spacing w:after="0"/>
              <w:rPr>
                <w:sz w:val="20"/>
                <w:szCs w:val="20"/>
                <w:color w:val="auto"/>
              </w:rPr>
            </w:pPr>
            <w:r>
              <w:rPr>
                <w:rFonts w:ascii="Arial" w:cs="Arial" w:eastAsia="Arial" w:hAnsi="Arial"/>
                <w:sz w:val="18"/>
                <w:szCs w:val="18"/>
                <w:color w:val="auto"/>
                <w:w w:val="99"/>
              </w:rPr>
              <w:t>Inline XBRL Taxonomy Extension Calculation Linkbase Document</w:t>
            </w:r>
          </w:p>
        </w:tc>
      </w:tr>
      <w:tr>
        <w:trPr>
          <w:trHeight w:val="310"/>
        </w:trPr>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26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10"/>
        </w:trPr>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26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11"/>
        </w:trPr>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260" w:type="dxa"/>
            <w:vAlign w:val="bottom"/>
            <w:gridSpan w:val="20"/>
          </w:tcPr>
          <w:p>
            <w:pPr>
              <w:spacing w:after="0"/>
              <w:rPr>
                <w:sz w:val="20"/>
                <w:szCs w:val="20"/>
                <w:color w:val="auto"/>
              </w:rPr>
            </w:pPr>
            <w:r>
              <w:rPr>
                <w:rFonts w:ascii="Arial" w:cs="Arial" w:eastAsia="Arial" w:hAnsi="Arial"/>
                <w:sz w:val="18"/>
                <w:szCs w:val="18"/>
                <w:color w:val="auto"/>
                <w:w w:val="97"/>
              </w:rPr>
              <w:t>Inline XBRL Taxonomy Extension Presentation Linkbase Document</w:t>
            </w:r>
          </w:p>
        </w:tc>
      </w:tr>
    </w:tbl>
    <w:p>
      <w:pPr>
        <w:spacing w:after="0" w:line="80" w:lineRule="exact"/>
        <w:rPr>
          <w:sz w:val="20"/>
          <w:szCs w:val="20"/>
          <w:color w:val="auto"/>
        </w:rPr>
      </w:pPr>
    </w:p>
    <w:p>
      <w:pPr>
        <w:ind w:left="1200" w:right="40" w:hanging="1111"/>
        <w:spacing w:after="0" w:line="342" w:lineRule="auto"/>
        <w:tabs>
          <w:tab w:leader="none" w:pos="12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with applicable taxonomy extension information contained in Exhibits 101.*)</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7"/>
          <w:szCs w:val="17"/>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769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3"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Confidential information omitted</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Incorporation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Form</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SEC File No.</w:t>
            </w:r>
          </w:p>
        </w:tc>
        <w:tc>
          <w:tcPr>
            <w:tcW w:w="80" w:type="dxa"/>
            <w:vAlign w:val="bottom"/>
            <w:tcBorders>
              <w:top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Filing Date</w:t>
            </w:r>
          </w:p>
        </w:tc>
      </w:tr>
      <w:tr>
        <w:trPr>
          <w:trHeight w:val="358"/>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310"/>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10/23/2014</w:t>
            </w:r>
          </w:p>
        </w:tc>
      </w:tr>
      <w:tr>
        <w:trPr>
          <w:trHeight w:val="311"/>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11/21/2014</w:t>
            </w:r>
          </w:p>
        </w:tc>
      </w:tr>
      <w:tr>
        <w:trPr>
          <w:trHeight w:val="311"/>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S-1/A</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4.17</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10/24/2014</w:t>
            </w:r>
          </w:p>
        </w:tc>
      </w:tr>
      <w:tr>
        <w:trPr>
          <w:trHeight w:val="526"/>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11/8/2017</w:t>
            </w:r>
          </w:p>
        </w:tc>
      </w:tr>
      <w:tr>
        <w:trPr>
          <w:trHeight w:val="743"/>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7"/>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10.28</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r>
      <w:tr>
        <w:trPr>
          <w:trHeight w:val="527"/>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3"/>
              </w:rPr>
              <w:t>10.34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3/2/2020</w:t>
            </w:r>
          </w:p>
        </w:tc>
      </w:tr>
      <w:tr>
        <w:trPr>
          <w:trHeight w:val="527"/>
        </w:trPr>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3/24/2020</w:t>
            </w:r>
          </w:p>
        </w:tc>
      </w:tr>
      <w:tr>
        <w:trPr>
          <w:trHeight w:val="742"/>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7"/>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27"/>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958"/>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743"/>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0"/>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0"/>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0"/>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1"/>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310"/>
        </w:trPr>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6460" w:space="80"/>
            <w:col w:w="4620"/>
          </w:cols>
          <w:pgMar w:left="320" w:top="125" w:right="41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FibroGen, Inc.</w:t>
            </w:r>
          </w:p>
        </w:tc>
        <w:tc>
          <w:tcPr>
            <w:tcW w:w="4240" w:type="dxa"/>
            <w:vAlign w:val="bottom"/>
          </w:tcPr>
          <w:p>
            <w:pPr>
              <w:spacing w:after="0"/>
              <w:rPr>
                <w:sz w:val="17"/>
                <w:szCs w:val="17"/>
                <w:color w:val="auto"/>
              </w:rPr>
            </w:pPr>
          </w:p>
        </w:tc>
      </w:tr>
      <w:tr>
        <w:trPr>
          <w:trHeight w:val="479"/>
        </w:trPr>
        <w:tc>
          <w:tcPr>
            <w:tcW w:w="3520" w:type="dxa"/>
            <w:vAlign w:val="bottom"/>
          </w:tcPr>
          <w:p>
            <w:pPr>
              <w:spacing w:after="0"/>
              <w:rPr>
                <w:sz w:val="20"/>
                <w:szCs w:val="20"/>
                <w:color w:val="auto"/>
              </w:rPr>
            </w:pPr>
            <w:r>
              <w:rPr>
                <w:rFonts w:ascii="Arial" w:cs="Arial" w:eastAsia="Arial" w:hAnsi="Arial"/>
                <w:sz w:val="18"/>
                <w:szCs w:val="18"/>
                <w:color w:val="auto"/>
              </w:rPr>
              <w:t>Dated: May 7, 2020</w:t>
            </w:r>
          </w:p>
        </w:tc>
        <w:tc>
          <w:tcPr>
            <w:tcW w:w="234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Enrique Conterno</w:t>
            </w:r>
          </w:p>
        </w:tc>
      </w:tr>
      <w:tr>
        <w:trPr>
          <w:trHeight w:val="195"/>
        </w:trPr>
        <w:tc>
          <w:tcPr>
            <w:tcW w:w="35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Enrique Conterno</w:t>
            </w:r>
          </w:p>
        </w:tc>
      </w:tr>
      <w:tr>
        <w:trPr>
          <w:trHeight w:val="216"/>
        </w:trPr>
        <w:tc>
          <w:tcPr>
            <w:tcW w:w="3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Dated: May 7, 2020</w:t>
            </w:r>
          </w:p>
        </w:tc>
        <w:tc>
          <w:tcPr>
            <w:tcW w:w="234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By: /s/ Pat Cotroneo</w:t>
            </w:r>
          </w:p>
        </w:tc>
      </w:tr>
      <w:tr>
        <w:trPr>
          <w:trHeight w:val="195"/>
        </w:trPr>
        <w:tc>
          <w:tcPr>
            <w:tcW w:w="35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4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3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Financial Officer</w:t>
            </w:r>
          </w:p>
        </w:tc>
      </w:tr>
      <w:tr>
        <w:trPr>
          <w:trHeight w:val="230"/>
        </w:trPr>
        <w:tc>
          <w:tcPr>
            <w:tcW w:w="3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864"/>
        </w:trPr>
        <w:tc>
          <w:tcPr>
            <w:tcW w:w="3520" w:type="dxa"/>
            <w:vAlign w:val="bottom"/>
          </w:tcPr>
          <w:p>
            <w:pPr>
              <w:spacing w:after="0"/>
              <w:rPr>
                <w:sz w:val="24"/>
                <w:szCs w:val="24"/>
                <w:color w:val="auto"/>
              </w:rPr>
            </w:pPr>
          </w:p>
        </w:tc>
        <w:tc>
          <w:tcPr>
            <w:tcW w:w="2340" w:type="dxa"/>
            <w:vAlign w:val="bottom"/>
          </w:tcPr>
          <w:p>
            <w:pPr>
              <w:jc w:val="right"/>
              <w:ind w:right="50"/>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FibroGen,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229"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This Non-Employee Director Compensation Policy (the “</w:t>
      </w:r>
      <w:r>
        <w:rPr>
          <w:rFonts w:ascii="Arial" w:cs="Arial" w:eastAsia="Arial" w:hAnsi="Arial"/>
          <w:sz w:val="18"/>
          <w:szCs w:val="18"/>
          <w:b w:val="1"/>
          <w:bCs w:val="1"/>
          <w:i w:val="1"/>
          <w:iCs w:val="1"/>
          <w:color w:val="auto"/>
        </w:rPr>
        <w:t>Policy</w:t>
      </w:r>
      <w:r>
        <w:rPr>
          <w:rFonts w:ascii="Arial" w:cs="Arial" w:eastAsia="Arial" w:hAnsi="Arial"/>
          <w:sz w:val="18"/>
          <w:szCs w:val="18"/>
          <w:color w:val="auto"/>
        </w:rPr>
        <w:t>”) documents the terms and conditions of the cash and equity compensation that non-employee members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FibroGen, Inc. (“</w:t>
      </w:r>
      <w:r>
        <w:rPr>
          <w:rFonts w:ascii="Arial" w:cs="Arial" w:eastAsia="Arial" w:hAnsi="Arial"/>
          <w:sz w:val="18"/>
          <w:szCs w:val="18"/>
          <w:b w:val="1"/>
          <w:bCs w:val="1"/>
          <w:i w:val="1"/>
          <w:iCs w:val="1"/>
          <w:color w:val="auto"/>
        </w:rPr>
        <w:t>FibroGen</w:t>
      </w:r>
      <w:r>
        <w:rPr>
          <w:rFonts w:ascii="Arial" w:cs="Arial" w:eastAsia="Arial" w:hAnsi="Arial"/>
          <w:sz w:val="18"/>
          <w:szCs w:val="18"/>
          <w:color w:val="auto"/>
        </w:rPr>
        <w:t>”) may earn for their service on the Board from and after the initial public offering of the common stock of FibroGen.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Eligible Directors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Only members of the Board who are not concurrently employees of FibroGen are eligible for compensation under this Policy (each such member, a</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Any director may also decline compensation per policy of their affiliated entity or for any other reason prior to the start of the period of service to which the compensation relates.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annual cash compensation set forth below is payable in equal quarterly installments, in arrears, on the last day of each quarter in which the service occurred, pro-rated for any partial quarters of service. All annual cash fees are vested upon payment.</w:t>
      </w:r>
    </w:p>
    <w:p>
      <w:pPr>
        <w:spacing w:after="0" w:line="170" w:lineRule="exact"/>
        <w:rPr>
          <w:sz w:val="20"/>
          <w:szCs w:val="20"/>
          <w:color w:val="auto"/>
        </w:rPr>
      </w:pPr>
    </w:p>
    <w:p>
      <w:pPr>
        <w:ind w:left="860" w:hanging="852"/>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Annual Board Service Retainer</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640" w:hanging="768"/>
        <w:spacing w:after="0"/>
        <w:tabs>
          <w:tab w:leader="none" w:pos="1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Directors: $50,000</w:t>
      </w:r>
    </w:p>
    <w:p>
      <w:pPr>
        <w:spacing w:after="0" w:line="210" w:lineRule="exact"/>
        <w:rPr>
          <w:rFonts w:ascii="Arial" w:cs="Arial" w:eastAsia="Arial" w:hAnsi="Arial"/>
          <w:sz w:val="18"/>
          <w:szCs w:val="18"/>
          <w:color w:val="auto"/>
        </w:rPr>
      </w:pPr>
    </w:p>
    <w:p>
      <w:pPr>
        <w:ind w:left="860" w:hanging="852"/>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Annual Committee Chair Service Fee</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640" w:hanging="768"/>
        <w:spacing w:after="0"/>
        <w:tabs>
          <w:tab w:leader="none" w:pos="1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Chairman of the Audit Committee: $20,000</w:t>
      </w:r>
    </w:p>
    <w:p>
      <w:pPr>
        <w:spacing w:after="0" w:line="9" w:lineRule="exact"/>
        <w:rPr>
          <w:rFonts w:ascii="Arial" w:cs="Arial" w:eastAsia="Arial" w:hAnsi="Arial"/>
          <w:sz w:val="18"/>
          <w:szCs w:val="18"/>
          <w:color w:val="auto"/>
        </w:rPr>
      </w:pPr>
    </w:p>
    <w:p>
      <w:pPr>
        <w:ind w:left="1660" w:hanging="788"/>
        <w:spacing w:after="0"/>
        <w:tabs>
          <w:tab w:leader="none" w:pos="1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Chairman of the Compensation Committee: $17,500</w:t>
      </w:r>
    </w:p>
    <w:p>
      <w:pPr>
        <w:spacing w:after="0" w:line="9" w:lineRule="exact"/>
        <w:rPr>
          <w:rFonts w:ascii="Arial" w:cs="Arial" w:eastAsia="Arial" w:hAnsi="Arial"/>
          <w:sz w:val="18"/>
          <w:szCs w:val="18"/>
          <w:color w:val="auto"/>
        </w:rPr>
      </w:pPr>
    </w:p>
    <w:p>
      <w:pPr>
        <w:ind w:left="1640" w:hanging="768"/>
        <w:spacing w:after="0"/>
        <w:tabs>
          <w:tab w:leader="none" w:pos="1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Chairman of the Nominating and Governance Committee: $10,000</w:t>
      </w:r>
    </w:p>
    <w:p>
      <w:pPr>
        <w:spacing w:after="0" w:line="210" w:lineRule="exact"/>
        <w:rPr>
          <w:rFonts w:ascii="Arial" w:cs="Arial" w:eastAsia="Arial" w:hAnsi="Arial"/>
          <w:sz w:val="18"/>
          <w:szCs w:val="18"/>
          <w:color w:val="auto"/>
        </w:rPr>
      </w:pPr>
    </w:p>
    <w:p>
      <w:pPr>
        <w:ind w:left="860" w:hanging="852"/>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Annual Committee Member (non-Chair) Service Fee</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640" w:hanging="768"/>
        <w:spacing w:after="0"/>
        <w:tabs>
          <w:tab w:leader="none" w:pos="1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Audit Committee: $10,000</w:t>
      </w:r>
    </w:p>
    <w:p>
      <w:pPr>
        <w:spacing w:after="0" w:line="9" w:lineRule="exact"/>
        <w:rPr>
          <w:rFonts w:ascii="Arial" w:cs="Arial" w:eastAsia="Arial" w:hAnsi="Arial"/>
          <w:sz w:val="18"/>
          <w:szCs w:val="18"/>
          <w:color w:val="auto"/>
        </w:rPr>
      </w:pPr>
    </w:p>
    <w:p>
      <w:pPr>
        <w:ind w:left="1660" w:hanging="788"/>
        <w:spacing w:after="0"/>
        <w:tabs>
          <w:tab w:leader="none" w:pos="1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Compensation Committee: $7,500</w:t>
      </w:r>
    </w:p>
    <w:p>
      <w:pPr>
        <w:spacing w:after="0" w:line="9" w:lineRule="exact"/>
        <w:rPr>
          <w:rFonts w:ascii="Arial" w:cs="Arial" w:eastAsia="Arial" w:hAnsi="Arial"/>
          <w:sz w:val="18"/>
          <w:szCs w:val="18"/>
          <w:color w:val="auto"/>
        </w:rPr>
      </w:pPr>
    </w:p>
    <w:p>
      <w:pPr>
        <w:ind w:left="1640" w:hanging="768"/>
        <w:spacing w:after="0"/>
        <w:tabs>
          <w:tab w:leader="none" w:pos="1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Nominating and Governance Committee: $5,000</w:t>
      </w:r>
    </w:p>
    <w:p>
      <w:pPr>
        <w:spacing w:after="0" w:line="210" w:lineRule="exact"/>
        <w:rPr>
          <w:rFonts w:ascii="Arial" w:cs="Arial" w:eastAsia="Arial" w:hAnsi="Arial"/>
          <w:sz w:val="18"/>
          <w:szCs w:val="18"/>
          <w:color w:val="auto"/>
        </w:rPr>
      </w:pPr>
    </w:p>
    <w:p>
      <w:pPr>
        <w:ind w:left="860" w:hanging="852"/>
        <w:spacing w:after="0"/>
        <w:tabs>
          <w:tab w:leader="none" w:pos="8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Annual Non-Executive Chairperson/Lead Independent Director Service Retainer</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640" w:hanging="768"/>
        <w:spacing w:after="0"/>
        <w:tabs>
          <w:tab w:leader="none" w:pos="16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Lead Independent Director: $22,500</w:t>
      </w:r>
    </w:p>
    <w:p>
      <w:pPr>
        <w:spacing w:after="0" w:line="9" w:lineRule="exact"/>
        <w:rPr>
          <w:rFonts w:ascii="Arial" w:cs="Arial" w:eastAsia="Arial" w:hAnsi="Arial"/>
          <w:sz w:val="18"/>
          <w:szCs w:val="18"/>
          <w:color w:val="auto"/>
        </w:rPr>
      </w:pPr>
    </w:p>
    <w:p>
      <w:pPr>
        <w:ind w:left="1660" w:hanging="788"/>
        <w:spacing w:after="0"/>
        <w:tabs>
          <w:tab w:leader="none" w:pos="1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Non-Executive Chairperson: $100,000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Equity awards will be granted under the FibroGen, Inc. 2014 Equity Incentive Plan (or any successor thereto,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All stock options granted under this policy will be non-statutory stock options, with an exercise price per share equal to 100% of the Fair Market Value (as defined in the Plan) of the underlying Company common stock on the date of grant, and a term of ten (10) years from the date of grant (subject to earlier termination in connection with a termination of service or a corporate transaction as provided in the Plan). All equity awards granted under this Policy will be documented on the applicable form of equity award agreement most recently approved for use by the Board (or a duly authorized committee thereof) for Directors. The terms of the equity awards described in this Policy will be automatically adjusted upon any Capitalization Adjustment (as defined and provided for under the Plan).</w:t>
      </w:r>
    </w:p>
    <w:p>
      <w:pPr>
        <w:spacing w:after="0" w:line="195" w:lineRule="exact"/>
        <w:rPr>
          <w:sz w:val="20"/>
          <w:szCs w:val="20"/>
          <w:color w:val="auto"/>
        </w:rPr>
      </w:pPr>
    </w:p>
    <w:p>
      <w:pPr>
        <w:jc w:val="both"/>
        <w:ind w:firstLine="8"/>
        <w:spacing w:after="0" w:line="257" w:lineRule="auto"/>
        <w:tabs>
          <w:tab w:leader="none" w:pos="783"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Initial Grant</w:t>
      </w:r>
      <w:r>
        <w:rPr>
          <w:rFonts w:ascii="Arial" w:cs="Arial" w:eastAsia="Arial" w:hAnsi="Arial"/>
          <w:sz w:val="18"/>
          <w:szCs w:val="18"/>
          <w:color w:val="auto"/>
        </w:rPr>
        <w:t>: On the date of the Director’s initial election or appointment to the Board (or, if such date is not a market trading day, the first market trading day thereafter), the Director will be automatically, and without further action by the Board, granted stock options covering 10,400 shares of FibroGen’s common stock. Such options will vest in equal quarterly installments over three years from the grant date, subject to the Director’s Continuous Service. A Director who, in the one year prior to his or her initial election to serve on the Board as a Director, served as an employee of FibroGen or one of its subsidiaries, will not be eligible for an initial grant.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both"/>
        <w:ind w:firstLine="8"/>
        <w:spacing w:after="0" w:line="257" w:lineRule="auto"/>
        <w:tabs>
          <w:tab w:leader="none" w:pos="78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Annual Grant</w:t>
      </w:r>
      <w:r>
        <w:rPr>
          <w:rFonts w:ascii="Arial" w:cs="Arial" w:eastAsia="Arial" w:hAnsi="Arial"/>
          <w:sz w:val="18"/>
          <w:szCs w:val="18"/>
          <w:color w:val="auto"/>
        </w:rPr>
        <w:t>: On the date of each Company annual stockholder meeting, each person who is elected or appointed as a Director, and each other Director who continues to serve as a Director immediately after such annual stockholder meeting, will be automatically, and without further action by the Board, granted (a) stock options covering 7,800 shares of FibroGen’s common stock, and (b) RSUs covering 4,700 shares of FibroGen common stock. Such options and RSUs will vest upon the earlier of (x) June 6 of the following year and (y) the following year’s annual stockholder meeting, subject to the Director’s Continuous Service.</w:t>
      </w:r>
    </w:p>
    <w:p>
      <w:pPr>
        <w:spacing w:after="0" w:line="187" w:lineRule="exact"/>
        <w:rPr>
          <w:rFonts w:ascii="Arial" w:cs="Arial" w:eastAsia="Arial" w:hAnsi="Arial"/>
          <w:sz w:val="18"/>
          <w:szCs w:val="18"/>
          <w:color w:val="auto"/>
        </w:rPr>
      </w:pPr>
    </w:p>
    <w:p>
      <w:pPr>
        <w:jc w:val="both"/>
        <w:ind w:firstLine="8"/>
        <w:spacing w:after="0" w:line="287" w:lineRule="auto"/>
        <w:tabs>
          <w:tab w:leader="none" w:pos="783"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Prorated Annual Grants</w:t>
      </w:r>
      <w:r>
        <w:rPr>
          <w:rFonts w:ascii="Arial" w:cs="Arial" w:eastAsia="Arial" w:hAnsi="Arial"/>
          <w:sz w:val="16"/>
          <w:szCs w:val="16"/>
          <w:color w:val="auto"/>
        </w:rPr>
        <w:t>. If a Director is elected or appointed to the Board at a time other than at the annual stockholder meeting, then on the date of such election or appointment (or, if such date is not a market trading day, the first market trading day thereafter), the Director will be automatically, and without further action by the Board, granted stock options covering the number of shares of FibroGen’s common stock equal to the product of each of</w:t>
      </w:r>
    </w:p>
    <w:p>
      <w:pPr>
        <w:spacing w:after="0" w:line="2" w:lineRule="exact"/>
        <w:rPr>
          <w:rFonts w:ascii="Arial" w:cs="Arial" w:eastAsia="Arial" w:hAnsi="Arial"/>
          <w:sz w:val="16"/>
          <w:szCs w:val="16"/>
          <w:color w:val="auto"/>
        </w:rPr>
      </w:pPr>
    </w:p>
    <w:p>
      <w:pPr>
        <w:jc w:val="both"/>
        <w:spacing w:after="0" w:line="253" w:lineRule="auto"/>
        <w:rPr>
          <w:rFonts w:ascii="Arial" w:cs="Arial" w:eastAsia="Arial" w:hAnsi="Arial"/>
          <w:sz w:val="16"/>
          <w:szCs w:val="16"/>
          <w:color w:val="auto"/>
        </w:rPr>
      </w:pPr>
      <w:r>
        <w:rPr>
          <w:rFonts w:ascii="Arial" w:cs="Arial" w:eastAsia="Arial" w:hAnsi="Arial"/>
          <w:sz w:val="18"/>
          <w:szCs w:val="18"/>
          <w:color w:val="auto"/>
        </w:rPr>
        <w:t>(x) 7,800 shares and (y) 4,700 RSUs, by (z) the Applicable Fraction (a “</w:t>
      </w:r>
      <w:r>
        <w:rPr>
          <w:rFonts w:ascii="Arial" w:cs="Arial" w:eastAsia="Arial" w:hAnsi="Arial"/>
          <w:sz w:val="18"/>
          <w:szCs w:val="18"/>
          <w:b w:val="1"/>
          <w:bCs w:val="1"/>
          <w:i w:val="1"/>
          <w:iCs w:val="1"/>
          <w:color w:val="auto"/>
        </w:rPr>
        <w:t>Prorated Annual Grant</w:t>
      </w:r>
      <w:r>
        <w:rPr>
          <w:rFonts w:ascii="Arial" w:cs="Arial" w:eastAsia="Arial" w:hAnsi="Arial"/>
          <w:sz w:val="18"/>
          <w:szCs w:val="18"/>
          <w:color w:val="auto"/>
        </w:rPr>
        <w:t>”). The Applicable Fraction means a fraction with (a) a numerator equal to the number of days between the date of the Director’s initial election or appointment to the Board and the date which is the first anniversary of the date of the most recent annual stockholder meeting occurring before the Director is elected or appointed to the Board, and (b) a denominator equal to 365.</w:t>
      </w:r>
    </w:p>
    <w:p>
      <w:pPr>
        <w:spacing w:after="0" w:line="192" w:lineRule="exact"/>
        <w:rPr>
          <w:rFonts w:ascii="Arial" w:cs="Arial" w:eastAsia="Arial" w:hAnsi="Arial"/>
          <w:sz w:val="16"/>
          <w:szCs w:val="16"/>
          <w:color w:val="auto"/>
        </w:rPr>
      </w:pPr>
    </w:p>
    <w:p>
      <w:pPr>
        <w:jc w:val="both"/>
        <w:ind w:firstLine="8"/>
        <w:spacing w:after="0" w:line="259" w:lineRule="auto"/>
        <w:tabs>
          <w:tab w:leader="none" w:pos="78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Vesting of awards granted under this Policy will cease if the Director resigns from the Board or otherwise ceases to serve as a Director, unless the Board determines that the circumstances warrant continuation of vesting. All equity awards granted under this Policy will vest in full immediately prior to a Change in Control (as defined in the Plan), subject to the Director’s Continuous Service (as defined in the Plan) as of the day prior to the closing of the Change in Control.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reimburse Directors for ordinary, necessary and reasonable out-of-pocket travel expenses to cover in-person attendance at and participation in Board meetings, and other activities performed in the course of their service on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Philosophy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Policy is designed to attract and retain experienced, talented individuals to serve on the Board. The Board anticipates that the Board, or a duly authorized committee thereof, will generally review Director compensation on an annual basis following the initial public offering. The Policy, as amended from time to time, may take into account the time commitment expected of Directors, best practices and market rates in Director compensation, the economic position of FibroGen, broader economic conditions, historical compensation structure, the advice of the compensation consultant that the Compensation Committee or the Board may retain from time to time, and the potential dilutive effect of equity awards on our stockholders.</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this Policy, Directors receive cash compensation in the form of retainers to recognize their day to day contributions, the level of responsibility as well as the necessary time commitment involved in serving in a leadership role and/or on committees. Directors also receive equity compensation because we believe that stock ownership provides an incentive to act in ways that maximize long-term stockholder value. Further, we believe that stock-based awards are essential to attracting and retaining talented Board members. When options are granted, these options have an exercise price equal to not less than the fair market value of FibroGen’s Common Stock on the date of grant, so that options provide a return only if the fair market value appreciates over the period in which the option vests and remains exercisable. We believe that the vesting acceleration provided in the case of a change in control is consistent with market practices and is critical to attracting and retaining high quality Directors.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Adopted: September 17, 2014</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Amended: March 4, 2015</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6"/>
          <w:szCs w:val="16"/>
          <w:b w:val="1"/>
          <w:bCs w:val="1"/>
          <w:color w:val="auto"/>
        </w:rPr>
        <w:t>Amended: February 23, 2016, Effective as of the 2016 Annual Meeting of Stockholders</w:t>
      </w:r>
    </w:p>
    <w:p>
      <w:pPr>
        <w:spacing w:after="0" w:line="3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Amended: June 5, 2018</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Amended: June 5, 2019</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Amended: February 10, 2020</w:t>
      </w:r>
    </w:p>
    <w:p>
      <w:pPr>
        <w:spacing w:after="0" w:line="200" w:lineRule="exact"/>
        <w:rPr>
          <w:sz w:val="20"/>
          <w:szCs w:val="20"/>
          <w:color w:val="auto"/>
        </w:rPr>
      </w:pPr>
    </w:p>
    <w:p>
      <w:pPr>
        <w:spacing w:after="0" w:line="21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20"/>
          </w:cols>
          <w:pgMar w:left="1440" w:top="33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Enrique Conterno, certify that;</w:t>
      </w:r>
    </w:p>
    <w:p>
      <w:pPr>
        <w:spacing w:after="0" w:line="117"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8"/>
        <w:spacing w:after="0" w:line="263" w:lineRule="auto"/>
        <w:tabs>
          <w:tab w:leader="none" w:pos="7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00" w:firstLine="518"/>
        <w:spacing w:after="0" w:line="342" w:lineRule="auto"/>
        <w:tabs>
          <w:tab w:leader="none" w:pos="755"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60" w:firstLine="518"/>
        <w:spacing w:after="0" w:line="263" w:lineRule="auto"/>
        <w:tabs>
          <w:tab w:leader="none" w:pos="765"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8"/>
        <w:spacing w:after="0" w:line="277" w:lineRule="auto"/>
        <w:tabs>
          <w:tab w:leader="none" w:pos="76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7,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Enrique Conterno</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Enrique Conterno</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117"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Form 10-Q of FibroGen, Inc.;</w:t>
      </w:r>
    </w:p>
    <w:p>
      <w:pPr>
        <w:spacing w:after="0" w:line="117"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260" w:firstLine="518"/>
        <w:spacing w:after="0" w:line="263" w:lineRule="auto"/>
        <w:tabs>
          <w:tab w:leader="none" w:pos="7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518"/>
        <w:spacing w:after="0" w:line="263" w:lineRule="auto"/>
        <w:tabs>
          <w:tab w:leader="none" w:pos="764"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800" w:firstLine="518"/>
        <w:spacing w:after="0" w:line="342" w:lineRule="auto"/>
        <w:tabs>
          <w:tab w:leader="none" w:pos="755"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right="260" w:firstLine="518"/>
        <w:spacing w:after="0" w:line="263" w:lineRule="auto"/>
        <w:tabs>
          <w:tab w:leader="none" w:pos="765"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300" w:firstLine="8"/>
        <w:spacing w:after="0" w:line="308" w:lineRule="auto"/>
        <w:tabs>
          <w:tab w:leader="none" w:pos="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180" w:firstLine="518"/>
        <w:spacing w:after="0" w:line="277" w:lineRule="auto"/>
        <w:tabs>
          <w:tab w:leader="none" w:pos="7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140" w:firstLine="518"/>
        <w:spacing w:after="0" w:line="277" w:lineRule="auto"/>
        <w:tabs>
          <w:tab w:leader="none" w:pos="76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May 7, 2020</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r>
      <w:tr>
        <w:trPr>
          <w:trHeight w:val="209"/>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Pat Cotroneo</w:t>
            </w:r>
          </w:p>
        </w:tc>
      </w:tr>
      <w:tr>
        <w:trPr>
          <w:trHeight w:val="216"/>
        </w:trPr>
        <w:tc>
          <w:tcPr>
            <w:tcW w:w="67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w w:val="96"/>
              </w:rPr>
              <w:t>Senior Vice President, Finance and 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(“Exchange Act”), and Section 1350 of Chapter 63 of Title 18 of the United States Code (18 U.S.C. §1350), Enrique Conterno, Chief Executive Officer of FibroGen, Inc. (“the Company”), and Pat Cotroneo, Chief Financial Officer of the Company, each hereby certifies that, to the best of his knowledge:</w:t>
      </w:r>
    </w:p>
    <w:p>
      <w:pPr>
        <w:spacing w:after="0" w:line="165" w:lineRule="exact"/>
        <w:rPr>
          <w:sz w:val="20"/>
          <w:szCs w:val="20"/>
          <w:color w:val="auto"/>
        </w:rPr>
      </w:pPr>
    </w:p>
    <w:p>
      <w:pPr>
        <w:ind w:left="500" w:right="64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2020, to which this Certification is attached as Exhibit 32.1 (“Periodic Report”)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00" w:right="420" w:hanging="492"/>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7,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undersigned have set their hands hereto as of the 7</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/s/ Enrique Conterno</w:t>
            </w:r>
          </w:p>
        </w:tc>
        <w:tc>
          <w:tcPr>
            <w:tcW w:w="504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5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Enrique Conterno</w:t>
            </w:r>
          </w:p>
        </w:tc>
        <w:tc>
          <w:tcPr>
            <w:tcW w:w="112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5040" w:type="dxa"/>
            <w:vAlign w:val="bottom"/>
          </w:tcPr>
          <w:p>
            <w:pPr>
              <w:spacing w:after="0"/>
              <w:rPr>
                <w:sz w:val="20"/>
                <w:szCs w:val="20"/>
                <w:color w:val="auto"/>
              </w:rPr>
            </w:pPr>
            <w:r>
              <w:rPr>
                <w:rFonts w:ascii="Arial" w:cs="Arial" w:eastAsia="Arial" w:hAnsi="Arial"/>
                <w:sz w:val="18"/>
                <w:szCs w:val="18"/>
                <w:color w:val="auto"/>
              </w:rPr>
              <w:t>Senior Vice President, Finance and</w:t>
            </w:r>
          </w:p>
        </w:tc>
      </w:tr>
      <w:tr>
        <w:trPr>
          <w:trHeight w:val="230"/>
        </w:trPr>
        <w:tc>
          <w:tcPr>
            <w:tcW w:w="5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both"/>
        <w:ind w:right="56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lowerRoman"/>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3"/>
    </w:lvl>
  </w:abstractNum>
  <w:abstractNum w:abstractNumId="7">
    <w:nsid w:val="6CEAF087"/>
    <w:multiLevelType w:val="hybridMultilevel"/>
    <w:lvl w:ilvl="0">
      <w:lvlJc w:val="left"/>
      <w:lvlText w:val="%1."/>
      <w:numFmt w:val="decimal"/>
      <w:start w:val="4"/>
    </w:lvl>
  </w:abstractNum>
  <w:abstractNum w:abstractNumId="8">
    <w:nsid w:val="22221A70"/>
    <w:multiLevelType w:val="hybridMultilevel"/>
    <w:lvl w:ilvl="0">
      <w:lvlJc w:val="left"/>
      <w:lvlText w:val="%1."/>
      <w:numFmt w:val="decimal"/>
      <w:start w:val="6"/>
    </w:lvl>
  </w:abstractNum>
  <w:abstractNum w:abstractNumId="9">
    <w:nsid w:val="4516DDE9"/>
    <w:multiLevelType w:val="hybridMultilevel"/>
    <w:lvl w:ilvl="0">
      <w:lvlJc w:val="left"/>
      <w:lvlText w:val="%1."/>
      <w:numFmt w:val="decimal"/>
      <w:start w:val="7"/>
    </w:lvl>
  </w:abstractNum>
  <w:abstractNum w:abstractNumId="10">
    <w:nsid w:val="3006C83E"/>
    <w:multiLevelType w:val="hybridMultilevel"/>
    <w:lvl w:ilvl="0">
      <w:lvlJc w:val="left"/>
      <w:lvlText w:val="%1."/>
      <w:numFmt w:val="decimal"/>
      <w:start w:val="8"/>
    </w:lvl>
  </w:abstractNum>
  <w:abstractNum w:abstractNumId="11">
    <w:nsid w:val="614FD4A1"/>
    <w:multiLevelType w:val="hybridMultilevel"/>
    <w:lvl w:ilvl="0">
      <w:lvlJc w:val="left"/>
      <w:lvlText w:val="%1."/>
      <w:numFmt w:val="decimal"/>
      <w:start w:val="9"/>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
      <w:numFmt w:val="bullet"/>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lvl w:ilvl="1">
      <w:lvlJc w:val="left"/>
      <w:lvlText w:val="%2"/>
      <w:numFmt w:val="decimal"/>
      <w:start w:val="104"/>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decimal"/>
      <w:start w:val="1"/>
    </w:lvl>
    <w:lvl w:ilvl="1">
      <w:lvlJc w:val="left"/>
      <w:lvlText w:val="%2."/>
      <w:numFmt w:val="lowerLetter"/>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2"/>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1" Type="http://schemas.openxmlformats.org/officeDocument/2006/relationships/image" Target="media/image86.png"/><Relationship Id="rId102" Type="http://schemas.openxmlformats.org/officeDocument/2006/relationships/image" Target="media/image87.png"/><Relationship Id="rId103" Type="http://schemas.openxmlformats.org/officeDocument/2006/relationships/image" Target="media/image88.png"/><Relationship Id="rId104" Type="http://schemas.openxmlformats.org/officeDocument/2006/relationships/image" Target="media/image89.png"/><Relationship Id="rId93" Type="http://schemas.openxmlformats.org/officeDocument/2006/relationships/hyperlink" Target="http://www.sec.gov/Archives/edgar/data/921299/000119312514420380/d824859dex31.htm" TargetMode="External"/><Relationship Id="rId94" Type="http://schemas.openxmlformats.org/officeDocument/2006/relationships/hyperlink" Target="http://www.sec.gov/Archives/edgar/data/921299/000119312514380087/d720189dex34.htm" TargetMode="External"/><Relationship Id="rId95" Type="http://schemas.openxmlformats.org/officeDocument/2006/relationships/hyperlink" Target="http://www.sec.gov/Archives/edgar/data/921299/000119312514420380/d824859dex41.htm" TargetMode="External"/><Relationship Id="rId96" Type="http://schemas.openxmlformats.org/officeDocument/2006/relationships/hyperlink" Target="http://www.sec.gov/Archives/edgar/data/921299/000119312514381669/d720189dex417.htm" TargetMode="External"/><Relationship Id="rId97" Type="http://schemas.openxmlformats.org/officeDocument/2006/relationships/hyperlink" Target="http://www.sec.gov/Archives/edgar/data/921299/000156459017022738/fgen-ex46_97.htm" TargetMode="External"/><Relationship Id="rId98" Type="http://schemas.openxmlformats.org/officeDocument/2006/relationships/hyperlink" Target="http://www.sec.gov/Archives/edgar/data/0000921299/000156459020008161/fgen-ex1028_711.htm" TargetMode="External"/><Relationship Id="rId99" Type="http://schemas.openxmlformats.org/officeDocument/2006/relationships/hyperlink" Target="http://www.sec.gov/Archives/edgar/data/0000921299/000156459020008161/fgen-ex1034_242.htm" TargetMode="External"/><Relationship Id="rId100" Type="http://schemas.openxmlformats.org/officeDocument/2006/relationships/hyperlink" Target="http://www.sec.gov/Archives/edgar/data/0000921299/000156459020012585/fgen-ex99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2020-05-07T15:39:22Z</dcterms:created>
  <dcterms:modified xsi:type="dcterms:W3CDTF">2020-05-07T15:39:22Z</dcterms:modified>
</cp:coreProperties>
</file>