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172720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50800</wp:posOffset>
            </wp:positionV>
            <wp:extent cx="1446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7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-126365</wp:posOffset>
            </wp:positionV>
            <wp:extent cx="1446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2"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520" w:hanging="514"/>
        <w:spacing w:after="0"/>
        <w:tabs>
          <w:tab w:leader="none" w:pos="52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75" w:lineRule="exact"/>
        <w:rPr>
          <w:sz w:val="24"/>
          <w:szCs w:val="24"/>
          <w:color w:val="auto"/>
        </w:rPr>
      </w:pPr>
    </w:p>
    <w:p>
      <w:pPr>
        <w:ind w:left="3980"/>
        <w:spacing w:after="0"/>
        <w:tabs>
          <w:tab w:leader="none" w:pos="67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3997960</wp:posOffset>
            </wp:positionH>
            <wp:positionV relativeFrom="paragraph">
              <wp:posOffset>-8890</wp:posOffset>
            </wp:positionV>
            <wp:extent cx="709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66675</wp:posOffset>
            </wp:positionV>
            <wp:extent cx="1446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FIBROGEN,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52705</wp:posOffset>
            </wp:positionV>
            <wp:extent cx="1446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122" w:lineRule="exact"/>
        <w:rPr>
          <w:sz w:val="24"/>
          <w:szCs w:val="24"/>
          <w:color w:val="auto"/>
        </w:rPr>
      </w:pPr>
    </w:p>
    <w:tbl>
      <w:tblPr>
        <w:tblLayout w:type="fixed"/>
        <w:tblInd w:w="980" w:type="dxa"/>
        <w:tblCellMar>
          <w:top w:w="0" w:type="dxa"/>
          <w:left w:w="0" w:type="dxa"/>
          <w:bottom w:w="0" w:type="dxa"/>
          <w:right w:w="0" w:type="dxa"/>
        </w:tblCellMar>
      </w:tblPr>
      <w:tr>
        <w:trPr>
          <w:trHeight w:val="208"/>
        </w:trPr>
        <w:tc>
          <w:tcPr>
            <w:tcW w:w="5100" w:type="dxa"/>
            <w:vAlign w:val="bottom"/>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620" w:type="dxa"/>
            <w:vAlign w:val="bottom"/>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86"/>
        </w:trPr>
        <w:tc>
          <w:tcPr>
            <w:tcW w:w="5100" w:type="dxa"/>
            <w:vAlign w:val="bottom"/>
          </w:tcPr>
          <w:p>
            <w:pPr>
              <w:jc w:val="center"/>
              <w:ind w:right="137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620" w:type="dxa"/>
            <w:vAlign w:val="bottom"/>
          </w:tcPr>
          <w:p>
            <w:pPr>
              <w:jc w:val="center"/>
              <w:ind w:left="1381"/>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55"/>
        </w:trPr>
        <w:tc>
          <w:tcPr>
            <w:tcW w:w="5100" w:type="dxa"/>
            <w:vAlign w:val="bottom"/>
          </w:tcPr>
          <w:p>
            <w:pPr>
              <w:jc w:val="center"/>
              <w:ind w:right="1379"/>
              <w:spacing w:after="0"/>
              <w:rPr>
                <w:sz w:val="20"/>
                <w:szCs w:val="20"/>
                <w:color w:val="auto"/>
              </w:rPr>
            </w:pPr>
            <w:r>
              <w:rPr>
                <w:rFonts w:ascii="Times New Roman" w:cs="Times New Roman" w:eastAsia="Times New Roman" w:hAnsi="Times New Roman"/>
                <w:sz w:val="18"/>
                <w:szCs w:val="18"/>
                <w:b w:val="1"/>
                <w:bCs w:val="1"/>
                <w:color w:val="auto"/>
                <w:w w:val="97"/>
              </w:rPr>
              <w:t>409 Illinois Street</w:t>
            </w:r>
          </w:p>
        </w:tc>
        <w:tc>
          <w:tcPr>
            <w:tcW w:w="3620" w:type="dxa"/>
            <w:vAlign w:val="bottom"/>
          </w:tcPr>
          <w:p>
            <w:pPr>
              <w:spacing w:after="0"/>
              <w:rPr>
                <w:sz w:val="22"/>
                <w:szCs w:val="22"/>
                <w:color w:val="auto"/>
              </w:rPr>
            </w:pPr>
          </w:p>
        </w:tc>
      </w:tr>
      <w:tr>
        <w:trPr>
          <w:trHeight w:val="208"/>
        </w:trPr>
        <w:tc>
          <w:tcPr>
            <w:tcW w:w="5100" w:type="dxa"/>
            <w:vAlign w:val="bottom"/>
          </w:tcPr>
          <w:p>
            <w:pPr>
              <w:jc w:val="center"/>
              <w:ind w:right="1359"/>
              <w:spacing w:after="0"/>
              <w:rPr>
                <w:sz w:val="20"/>
                <w:szCs w:val="20"/>
                <w:color w:val="auto"/>
              </w:rPr>
            </w:pPr>
            <w:r>
              <w:rPr>
                <w:rFonts w:ascii="Times New Roman" w:cs="Times New Roman" w:eastAsia="Times New Roman" w:hAnsi="Times New Roman"/>
                <w:sz w:val="18"/>
                <w:szCs w:val="18"/>
                <w:b w:val="1"/>
                <w:bCs w:val="1"/>
                <w:color w:val="auto"/>
                <w:w w:val="98"/>
              </w:rPr>
              <w:t>San Francisco, CA</w:t>
            </w:r>
          </w:p>
        </w:tc>
        <w:tc>
          <w:tcPr>
            <w:tcW w:w="3620" w:type="dxa"/>
            <w:vAlign w:val="bottom"/>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94158</w:t>
            </w:r>
          </w:p>
        </w:tc>
      </w:tr>
      <w:tr>
        <w:trPr>
          <w:trHeight w:val="186"/>
        </w:trPr>
        <w:tc>
          <w:tcPr>
            <w:tcW w:w="5100" w:type="dxa"/>
            <w:vAlign w:val="bottom"/>
          </w:tcPr>
          <w:p>
            <w:pPr>
              <w:jc w:val="center"/>
              <w:ind w:right="13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20" w:type="dxa"/>
            <w:vAlign w:val="bottom"/>
          </w:tcPr>
          <w:p>
            <w:pPr>
              <w:jc w:val="center"/>
              <w:ind w:left="14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(415) 978-1200</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172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b w:val="1"/>
                <w:bCs w:val="1"/>
                <w:color w:val="auto"/>
                <w:w w:val="87"/>
              </w:rPr>
              <w:t>Common</w:t>
            </w:r>
          </w:p>
        </w:tc>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3820" w:type="dxa"/>
            <w:vAlign w:val="bottom"/>
            <w:gridSpan w:val="3"/>
          </w:tcPr>
          <w:p>
            <w:pPr>
              <w:spacing w:after="0"/>
              <w:rPr>
                <w:sz w:val="13"/>
                <w:szCs w:val="13"/>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0"/>
        </w:trPr>
        <w:tc>
          <w:tcPr>
            <w:tcW w:w="1720" w:type="dxa"/>
            <w:vAlign w:val="bottom"/>
            <w:vMerge w:val="continu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720" w:type="dxa"/>
            <w:vAlign w:val="bottom"/>
            <w:vMerge w:val="continue"/>
          </w:tcPr>
          <w:p>
            <w:pPr>
              <w:spacing w:after="0"/>
              <w:rPr>
                <w:sz w:val="19"/>
                <w:szCs w:val="19"/>
                <w:color w:val="auto"/>
              </w:rPr>
            </w:pPr>
          </w:p>
        </w:tc>
        <w:tc>
          <w:tcPr>
            <w:tcW w:w="49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Stock, $0.01 par value</w:t>
            </w: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Global Select Market</w:t>
            </w: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60" w:type="dxa"/>
            <w:vAlign w:val="bottom"/>
            <w:gridSpan w:val="5"/>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rPr>
              <w:t xml:space="preserve">Securities </w:t>
            </w:r>
            <w:r>
              <w:rPr>
                <w:rFonts w:ascii="Times New Roman" w:cs="Times New Roman" w:eastAsia="Times New Roman" w:hAnsi="Times New Roman"/>
                <w:sz w:val="17"/>
                <w:szCs w:val="17"/>
                <w:b w:val="1"/>
                <w:bCs w:val="1"/>
                <w:color w:val="auto"/>
              </w:rPr>
              <w:t>registered pursuant to Section 12(g) of the Act:</w:t>
            </w: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17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gridSpan w:val="2"/>
            <w:vMerge w:val="restart"/>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160" w:type="dxa"/>
            <w:vAlign w:val="bottom"/>
            <w:gridSpan w:val="2"/>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7"/>
        </w:trPr>
        <w:tc>
          <w:tcPr>
            <w:tcW w:w="66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40" w:type="dxa"/>
            <w:vAlign w:val="bottom"/>
            <w:gridSpan w:val="2"/>
            <w:vMerge w:val="continue"/>
          </w:tcPr>
          <w:p>
            <w:pPr>
              <w:spacing w:after="0"/>
              <w:rPr>
                <w:sz w:val="20"/>
                <w:szCs w:val="20"/>
                <w:color w:val="auto"/>
              </w:rPr>
            </w:pPr>
          </w:p>
        </w:tc>
        <w:tc>
          <w:tcPr>
            <w:tcW w:w="2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2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2160" w:type="dxa"/>
            <w:vAlign w:val="bottom"/>
            <w:gridSpan w:val="2"/>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2" w:lineRule="exact"/>
        <w:rPr>
          <w:sz w:val="24"/>
          <w:szCs w:val="24"/>
          <w:color w:val="auto"/>
        </w:rPr>
      </w:pPr>
    </w:p>
    <w:p>
      <w:pPr>
        <w:ind w:right="20" w:firstLine="518"/>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 w:lineRule="exact"/>
        <w:rPr>
          <w:sz w:val="24"/>
          <w:szCs w:val="24"/>
          <w:color w:val="auto"/>
        </w:rPr>
      </w:pPr>
    </w:p>
    <w:p>
      <w:pPr>
        <w:ind w:right="400" w:firstLine="518"/>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 w:lineRule="exact"/>
        <w:rPr>
          <w:sz w:val="24"/>
          <w:szCs w:val="24"/>
          <w:color w:val="auto"/>
        </w:rPr>
      </w:pPr>
    </w:p>
    <w:p>
      <w:pPr>
        <w:ind w:right="320" w:firstLine="518"/>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3" w:lineRule="exact"/>
        <w:rPr>
          <w:sz w:val="24"/>
          <w:szCs w:val="24"/>
          <w:color w:val="auto"/>
        </w:rPr>
      </w:pPr>
    </w:p>
    <w:p>
      <w:pPr>
        <w:ind w:right="280" w:firstLine="518"/>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9"/>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4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65" w:lineRule="exact"/>
        <w:rPr>
          <w:sz w:val="24"/>
          <w:szCs w:val="24"/>
          <w:color w:val="auto"/>
        </w:rPr>
      </w:pPr>
    </w:p>
    <w:p>
      <w:pPr>
        <w:ind w:right="420" w:firstLine="518"/>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520"/>
        <w:spacing w:after="0" w:line="161" w:lineRule="exact"/>
        <w:tabs>
          <w:tab w:leader="none" w:pos="6700" w:val="left"/>
          <w:tab w:leader="none" w:pos="72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Exchange Act Rule 12b-2).</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ind w:right="220" w:firstLine="518"/>
        <w:spacing w:after="0" w:line="23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computed by reference to the closing price as of the last business day of the registrant’s most recently completed second fiscal quarter, June 30, 2018, was approximately $3,548.1 million. Shares of Common Stock held by each executive officer and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1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number of shares of common stock outstanding as of January 31, 2019 was 85,562,391.</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0" w:lineRule="exact"/>
        <w:rPr>
          <w:sz w:val="24"/>
          <w:szCs w:val="24"/>
          <w:color w:val="auto"/>
        </w:rPr>
      </w:pPr>
    </w:p>
    <w:p>
      <w:pPr>
        <w:ind w:firstLine="518"/>
        <w:spacing w:after="0" w:line="236" w:lineRule="auto"/>
        <w:rPr>
          <w:sz w:val="20"/>
          <w:szCs w:val="20"/>
          <w:color w:val="auto"/>
        </w:rPr>
      </w:pPr>
      <w:r>
        <w:rPr>
          <w:rFonts w:ascii="Times New Roman" w:cs="Times New Roman" w:eastAsia="Times New Roman" w:hAnsi="Times New Roman"/>
          <w:sz w:val="14"/>
          <w:szCs w:val="14"/>
          <w:color w:val="auto"/>
        </w:rPr>
        <w:t>Items 10, 11, 12, 13 and 14 of Part III of this Annual Report on Form 10-K incorporate information by reference from the definitive proxy statement for the registrant’s 2019 Annual Meeting of Stockholders to be filed with the Securities and Exchange Commission pursuant to Regulation 14A not later than after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288925</wp:posOffset>
            </wp:positionV>
            <wp:extent cx="7291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71"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2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580" w:type="dxa"/>
            <w:vAlign w:val="bottom"/>
            <w:vMerge w:val="restart"/>
          </w:tcPr>
          <w:p>
            <w:pPr>
              <w:spacing w:after="0"/>
              <w:rPr>
                <w:rFonts w:ascii="Times New Roman" w:cs="Times New Roman" w:eastAsia="Times New Roman" w:hAnsi="Times New Roman"/>
                <w:sz w:val="18"/>
                <w:szCs w:val="18"/>
                <w:b w:val="1"/>
                <w:bCs w:val="1"/>
                <w:color w:val="0000EE"/>
                <w:w w:val="92"/>
              </w:rPr>
            </w:pPr>
            <w:hyperlink w:anchor="page4">
              <w:r>
                <w:rPr>
                  <w:rFonts w:ascii="Times New Roman" w:cs="Times New Roman" w:eastAsia="Times New Roman" w:hAnsi="Times New Roman"/>
                  <w:sz w:val="18"/>
                  <w:szCs w:val="18"/>
                  <w:b w:val="1"/>
                  <w:bCs w:val="1"/>
                  <w:color w:val="0000EE"/>
                  <w:w w:val="92"/>
                </w:rPr>
                <w:t>PART I</w:t>
              </w:r>
            </w:hyperlink>
          </w:p>
        </w:tc>
        <w:tc>
          <w:tcPr>
            <w:tcW w:w="46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0"/>
        </w:trPr>
        <w:tc>
          <w:tcPr>
            <w:tcW w:w="580" w:type="dxa"/>
            <w:vAlign w:val="bottom"/>
            <w:tcBorders>
              <w:bottom w:val="single" w:sz="8" w:color="0000EE"/>
            </w:tcBorders>
            <w:vMerge w:val="continue"/>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9820" w:type="dxa"/>
            <w:vAlign w:val="bottom"/>
            <w:gridSpan w:val="20"/>
          </w:tcPr>
          <w:p>
            <w:pPr>
              <w:spacing w:after="0" w:line="205"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Risk Factors</w:t>
              </w:r>
            </w:hyperlink>
          </w:p>
        </w:tc>
        <w:tc>
          <w:tcPr>
            <w:tcW w:w="5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9820" w:type="dxa"/>
            <w:vAlign w:val="bottom"/>
            <w:gridSpan w:val="20"/>
          </w:tcPr>
          <w:p>
            <w:pPr>
              <w:spacing w:after="0" w:line="205"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Unresolved Staff Comments</w:t>
              </w:r>
            </w:hyperlink>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2"/>
          </w:tcPr>
          <w:p>
            <w:pPr>
              <w:spacing w:after="0" w:line="205" w:lineRule="exact"/>
              <w:rPr>
                <w:rFonts w:ascii="Times New Roman" w:cs="Times New Roman" w:eastAsia="Times New Roman" w:hAnsi="Times New Roman"/>
                <w:sz w:val="18"/>
                <w:szCs w:val="18"/>
                <w:color w:val="0000EE"/>
                <w:w w:val="95"/>
              </w:rPr>
            </w:pPr>
            <w:hyperlink w:anchor="page102">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7"/>
          </w:tcPr>
          <w:p>
            <w:pPr>
              <w:spacing w:after="0"/>
              <w:rPr>
                <w:sz w:val="17"/>
                <w:szCs w:val="17"/>
                <w:color w:val="auto"/>
              </w:rPr>
            </w:pPr>
          </w:p>
        </w:tc>
        <w:tc>
          <w:tcPr>
            <w:tcW w:w="7820" w:type="dxa"/>
            <w:vAlign w:val="bottom"/>
            <w:gridSpan w:val="11"/>
          </w:tcPr>
          <w:p>
            <w:pPr>
              <w:spacing w:after="0"/>
              <w:rPr>
                <w:sz w:val="17"/>
                <w:szCs w:val="17"/>
                <w:color w:val="auto"/>
              </w:rPr>
            </w:pPr>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20"/>
          </w:tcPr>
          <w:p>
            <w:pPr>
              <w:spacing w:after="0" w:line="205"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Legal Proceedings</w:t>
              </w:r>
            </w:hyperlink>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9820" w:type="dxa"/>
            <w:vAlign w:val="bottom"/>
            <w:gridSpan w:val="20"/>
          </w:tcPr>
          <w:p>
            <w:pPr>
              <w:spacing w:after="0" w:line="205"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Mine Safety Disclosures</w:t>
              </w:r>
            </w:hyperlink>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38"/>
        </w:trPr>
        <w:tc>
          <w:tcPr>
            <w:tcW w:w="1040" w:type="dxa"/>
            <w:vAlign w:val="bottom"/>
            <w:gridSpan w:val="5"/>
          </w:tcPr>
          <w:p>
            <w:pPr>
              <w:spacing w:after="0"/>
              <w:rPr>
                <w:rFonts w:ascii="Times New Roman" w:cs="Times New Roman" w:eastAsia="Times New Roman" w:hAnsi="Times New Roman"/>
                <w:sz w:val="18"/>
                <w:szCs w:val="18"/>
                <w:b w:val="1"/>
                <w:bCs w:val="1"/>
                <w:color w:val="0000EE"/>
              </w:rPr>
            </w:pPr>
            <w:hyperlink w:anchor="page103">
              <w:r>
                <w:rPr>
                  <w:rFonts w:ascii="Times New Roman" w:cs="Times New Roman" w:eastAsia="Times New Roman" w:hAnsi="Times New Roman"/>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311"/>
        </w:trPr>
        <w:tc>
          <w:tcPr>
            <w:tcW w:w="6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00" w:type="dxa"/>
            <w:vAlign w:val="bottom"/>
            <w:gridSpan w:val="3"/>
          </w:tcPr>
          <w:p>
            <w:pPr>
              <w:spacing w:after="0"/>
              <w:rPr>
                <w:sz w:val="24"/>
                <w:szCs w:val="24"/>
                <w:color w:val="auto"/>
              </w:rPr>
            </w:pPr>
          </w:p>
        </w:tc>
        <w:tc>
          <w:tcPr>
            <w:tcW w:w="9820" w:type="dxa"/>
            <w:vAlign w:val="bottom"/>
            <w:gridSpan w:val="20"/>
          </w:tcPr>
          <w:p>
            <w:pPr>
              <w:spacing w:after="0"/>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6"/>
          </w:tcPr>
          <w:p>
            <w:pPr>
              <w:spacing w:after="0" w:line="205" w:lineRule="exact"/>
              <w:rPr>
                <w:rFonts w:ascii="Times New Roman" w:cs="Times New Roman" w:eastAsia="Times New Roman" w:hAnsi="Times New Roman"/>
                <w:sz w:val="18"/>
                <w:szCs w:val="18"/>
                <w:color w:val="0000EE"/>
                <w:w w:val="97"/>
              </w:rPr>
            </w:pPr>
            <w:hyperlink w:anchor="page105">
              <w:r>
                <w:rPr>
                  <w:rFonts w:ascii="Times New Roman" w:cs="Times New Roman" w:eastAsia="Times New Roman" w:hAnsi="Times New Roman"/>
                  <w:sz w:val="18"/>
                  <w:szCs w:val="18"/>
                  <w:color w:val="0000EE"/>
                  <w:w w:val="97"/>
                </w:rPr>
                <w:t>Selected Financial Data</w:t>
              </w:r>
            </w:hyperlink>
          </w:p>
        </w:tc>
        <w:tc>
          <w:tcPr>
            <w:tcW w:w="6040" w:type="dxa"/>
            <w:vAlign w:val="bottom"/>
            <w:tcBorders>
              <w:top w:val="single" w:sz="8" w:color="0000EE"/>
            </w:tcBorders>
            <w:gridSpan w:val="13"/>
          </w:tcPr>
          <w:p>
            <w:pPr>
              <w:spacing w:after="0"/>
              <w:rPr>
                <w:sz w:val="17"/>
                <w:szCs w:val="17"/>
                <w:color w:val="auto"/>
              </w:rPr>
            </w:pPr>
          </w:p>
        </w:tc>
        <w:tc>
          <w:tcPr>
            <w:tcW w:w="2100" w:type="dxa"/>
            <w:vAlign w:val="bottom"/>
          </w:tcPr>
          <w:p>
            <w:pPr>
              <w:spacing w:after="0"/>
              <w:rPr>
                <w:sz w:val="17"/>
                <w:szCs w:val="17"/>
                <w:color w:val="auto"/>
              </w:rPr>
            </w:pPr>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6340" w:type="dxa"/>
            <w:vAlign w:val="bottom"/>
            <w:tcBorders>
              <w:bottom w:val="single" w:sz="8" w:color="0000EE"/>
            </w:tcBorders>
            <w:gridSpan w:val="16"/>
          </w:tcPr>
          <w:p>
            <w:pPr>
              <w:spacing w:after="0" w:line="205" w:lineRule="exact"/>
              <w:rPr>
                <w:rFonts w:ascii="Times New Roman" w:cs="Times New Roman" w:eastAsia="Times New Roman" w:hAnsi="Times New Roman"/>
                <w:sz w:val="18"/>
                <w:szCs w:val="18"/>
                <w:color w:val="0000EE"/>
                <w:w w:val="97"/>
              </w:rPr>
            </w:pPr>
            <w:hyperlink w:anchor="page107">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480" w:type="dxa"/>
            <w:vAlign w:val="bottom"/>
            <w:gridSpan w:val="4"/>
          </w:tcPr>
          <w:p>
            <w:pPr>
              <w:spacing w:after="0"/>
              <w:rPr>
                <w:sz w:val="17"/>
                <w:szCs w:val="17"/>
                <w:color w:val="auto"/>
              </w:rPr>
            </w:pPr>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7A.</w:t>
            </w:r>
          </w:p>
        </w:tc>
        <w:tc>
          <w:tcPr>
            <w:tcW w:w="9820" w:type="dxa"/>
            <w:vAlign w:val="bottom"/>
            <w:gridSpan w:val="20"/>
          </w:tcPr>
          <w:p>
            <w:pPr>
              <w:spacing w:after="0" w:line="205"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Quantitative and Qualitative Disclosure About Market Risk</w:t>
              </w:r>
            </w:hyperlink>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4240" w:type="dxa"/>
            <w:vAlign w:val="bottom"/>
            <w:tcBorders>
              <w:bottom w:val="single" w:sz="8" w:color="0000EE"/>
            </w:tcBorders>
            <w:gridSpan w:val="14"/>
          </w:tcPr>
          <w:p>
            <w:pPr>
              <w:spacing w:after="0" w:line="205" w:lineRule="exact"/>
              <w:rPr>
                <w:rFonts w:ascii="Times New Roman" w:cs="Times New Roman" w:eastAsia="Times New Roman" w:hAnsi="Times New Roman"/>
                <w:sz w:val="18"/>
                <w:szCs w:val="18"/>
                <w:color w:val="0000EE"/>
                <w:w w:val="97"/>
              </w:rPr>
            </w:pPr>
            <w:hyperlink w:anchor="page129">
              <w:r>
                <w:rPr>
                  <w:rFonts w:ascii="Times New Roman" w:cs="Times New Roman" w:eastAsia="Times New Roman" w:hAnsi="Times New Roman"/>
                  <w:sz w:val="18"/>
                  <w:szCs w:val="18"/>
                  <w:color w:val="0000EE"/>
                  <w:w w:val="97"/>
                </w:rPr>
                <w:t>Consolidated Financial Statements and Supplementary Data</w:t>
              </w:r>
            </w:hyperlink>
          </w:p>
        </w:tc>
        <w:tc>
          <w:tcPr>
            <w:tcW w:w="5580" w:type="dxa"/>
            <w:vAlign w:val="bottom"/>
            <w:gridSpan w:val="6"/>
          </w:tcPr>
          <w:p>
            <w:pPr>
              <w:spacing w:after="0"/>
              <w:rPr>
                <w:sz w:val="17"/>
                <w:szCs w:val="17"/>
                <w:color w:val="auto"/>
              </w:rPr>
            </w:pPr>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9.</w:t>
            </w:r>
          </w:p>
        </w:tc>
        <w:tc>
          <w:tcPr>
            <w:tcW w:w="9820" w:type="dxa"/>
            <w:vAlign w:val="bottom"/>
            <w:gridSpan w:val="20"/>
          </w:tcPr>
          <w:p>
            <w:pPr>
              <w:spacing w:after="0" w:line="205" w:lineRule="exact"/>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Changes in and Disagreements with Accountants on Accounting and Financial Disclosures</w:t>
              </w:r>
            </w:hyperlink>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top w:val="single" w:sz="8" w:color="0000EE"/>
              <w:bottom w:val="single" w:sz="8" w:color="0000EE"/>
            </w:tcBorders>
            <w:gridSpan w:val="7"/>
          </w:tcPr>
          <w:p>
            <w:pPr>
              <w:spacing w:after="0" w:line="205" w:lineRule="exact"/>
              <w:rPr>
                <w:rFonts w:ascii="Times New Roman" w:cs="Times New Roman" w:eastAsia="Times New Roman" w:hAnsi="Times New Roman"/>
                <w:sz w:val="18"/>
                <w:szCs w:val="18"/>
                <w:color w:val="0000EE"/>
                <w:w w:val="97"/>
              </w:rPr>
            </w:pPr>
            <w:hyperlink w:anchor="page168">
              <w:r>
                <w:rPr>
                  <w:rFonts w:ascii="Times New Roman" w:cs="Times New Roman" w:eastAsia="Times New Roman" w:hAnsi="Times New Roman"/>
                  <w:sz w:val="18"/>
                  <w:szCs w:val="18"/>
                  <w:color w:val="0000EE"/>
                  <w:w w:val="97"/>
                </w:rPr>
                <w:t>Controls and Procedures</w:t>
              </w:r>
            </w:hyperlink>
          </w:p>
        </w:tc>
        <w:tc>
          <w:tcPr>
            <w:tcW w:w="4680" w:type="dxa"/>
            <w:vAlign w:val="bottom"/>
            <w:tcBorders>
              <w:top w:val="single" w:sz="8" w:color="0000EE"/>
            </w:tcBorders>
            <w:gridSpan w:val="10"/>
          </w:tcPr>
          <w:p>
            <w:pPr>
              <w:spacing w:after="0"/>
              <w:rPr>
                <w:sz w:val="17"/>
                <w:szCs w:val="17"/>
                <w:color w:val="auto"/>
              </w:rPr>
            </w:pPr>
          </w:p>
        </w:tc>
        <w:tc>
          <w:tcPr>
            <w:tcW w:w="3400" w:type="dxa"/>
            <w:vAlign w:val="bottom"/>
            <w:gridSpan w:val="3"/>
          </w:tcPr>
          <w:p>
            <w:pPr>
              <w:spacing w:after="0"/>
              <w:rPr>
                <w:sz w:val="17"/>
                <w:szCs w:val="17"/>
                <w:color w:val="auto"/>
              </w:rPr>
            </w:pPr>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9B.</w:t>
            </w:r>
          </w:p>
        </w:tc>
        <w:tc>
          <w:tcPr>
            <w:tcW w:w="9820" w:type="dxa"/>
            <w:vAlign w:val="bottom"/>
            <w:gridSpan w:val="20"/>
          </w:tcPr>
          <w:p>
            <w:pPr>
              <w:spacing w:after="0" w:line="205" w:lineRule="exact"/>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Other Information</w:t>
              </w:r>
            </w:hyperlink>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324"/>
        </w:trPr>
        <w:tc>
          <w:tcPr>
            <w:tcW w:w="72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3"/>
              </w:rPr>
            </w:pPr>
            <w:hyperlink w:anchor="page169">
              <w:r>
                <w:rPr>
                  <w:rFonts w:ascii="Times New Roman" w:cs="Times New Roman" w:eastAsia="Times New Roman" w:hAnsi="Times New Roman"/>
                  <w:sz w:val="18"/>
                  <w:szCs w:val="18"/>
                  <w:b w:val="1"/>
                  <w:bCs w:val="1"/>
                  <w:color w:val="0000EE"/>
                  <w:w w:val="93"/>
                </w:rPr>
                <w:t>PART III</w:t>
              </w:r>
            </w:hyperlink>
          </w:p>
        </w:tc>
        <w:tc>
          <w:tcPr>
            <w:tcW w:w="3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338"/>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4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169">
              <w:r>
                <w:rPr>
                  <w:rFonts w:ascii="Times New Roman" w:cs="Times New Roman" w:eastAsia="Times New Roman" w:hAnsi="Times New Roman"/>
                  <w:sz w:val="18"/>
                  <w:szCs w:val="18"/>
                  <w:color w:val="0000EE"/>
                  <w:w w:val="97"/>
                </w:rPr>
                <w:t>Directors, Executive Officers and Corporate Governance</w:t>
              </w:r>
            </w:hyperlink>
          </w:p>
        </w:tc>
        <w:tc>
          <w:tcPr>
            <w:tcW w:w="5800" w:type="dxa"/>
            <w:vAlign w:val="bottom"/>
            <w:gridSpan w:val="8"/>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9820" w:type="dxa"/>
            <w:vAlign w:val="bottom"/>
            <w:gridSpan w:val="20"/>
          </w:tcPr>
          <w:p>
            <w:pPr>
              <w:spacing w:after="0" w:line="205" w:lineRule="exact"/>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Executive Compensation</w:t>
              </w:r>
            </w:hyperlink>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10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Item 12.</w:t>
            </w: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gridSpan w:val="5"/>
            <w:vMerge w:val="continue"/>
          </w:tcPr>
          <w:p>
            <w:pPr>
              <w:spacing w:after="0"/>
              <w:rPr>
                <w:sz w:val="17"/>
                <w:szCs w:val="17"/>
                <w:color w:val="auto"/>
              </w:rPr>
            </w:pPr>
          </w:p>
        </w:tc>
        <w:tc>
          <w:tcPr>
            <w:tcW w:w="7160" w:type="dxa"/>
            <w:vAlign w:val="bottom"/>
            <w:tcBorders>
              <w:bottom w:val="single" w:sz="8" w:color="0000EE"/>
            </w:tcBorders>
            <w:gridSpan w:val="18"/>
          </w:tcPr>
          <w:p>
            <w:pPr>
              <w:spacing w:after="0" w:line="205" w:lineRule="exact"/>
              <w:rPr>
                <w:rFonts w:ascii="Times New Roman" w:cs="Times New Roman" w:eastAsia="Times New Roman" w:hAnsi="Times New Roman"/>
                <w:sz w:val="18"/>
                <w:szCs w:val="18"/>
                <w:color w:val="0000EE"/>
                <w:w w:val="97"/>
              </w:rPr>
            </w:pPr>
            <w:hyperlink w:anchor="page169">
              <w:r>
                <w:rPr>
                  <w:rFonts w:ascii="Times New Roman" w:cs="Times New Roman" w:eastAsia="Times New Roman" w:hAnsi="Times New Roman"/>
                  <w:sz w:val="18"/>
                  <w:szCs w:val="18"/>
                  <w:color w:val="0000EE"/>
                  <w:w w:val="97"/>
                </w:rPr>
                <w:t>Security Ownership of Certain Beneficial Owners and Management and Related Stockholder Matters</w:t>
              </w:r>
            </w:hyperlink>
          </w:p>
        </w:tc>
        <w:tc>
          <w:tcPr>
            <w:tcW w:w="2660" w:type="dxa"/>
            <w:vAlign w:val="bottom"/>
            <w:gridSpan w:val="2"/>
          </w:tcPr>
          <w:p>
            <w:pPr>
              <w:spacing w:after="0"/>
              <w:rPr>
                <w:sz w:val="17"/>
                <w:szCs w:val="17"/>
                <w:color w:val="auto"/>
              </w:rPr>
            </w:pPr>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13.</w:t>
            </w:r>
          </w:p>
        </w:tc>
        <w:tc>
          <w:tcPr>
            <w:tcW w:w="9820" w:type="dxa"/>
            <w:vAlign w:val="bottom"/>
            <w:gridSpan w:val="20"/>
          </w:tcPr>
          <w:p>
            <w:pPr>
              <w:spacing w:after="0" w:line="205" w:lineRule="exact"/>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Certain Relationships and Related Transactions, and Director Independence</w:t>
              </w:r>
            </w:hyperlink>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5"/>
        </w:trPr>
        <w:tc>
          <w:tcPr>
            <w:tcW w:w="104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14.</w:t>
            </w:r>
          </w:p>
        </w:tc>
        <w:tc>
          <w:tcPr>
            <w:tcW w:w="5340" w:type="dxa"/>
            <w:vAlign w:val="bottom"/>
            <w:tcBorders>
              <w:top w:val="single" w:sz="8" w:color="0000EE"/>
            </w:tcBorders>
            <w:gridSpan w:val="15"/>
          </w:tcPr>
          <w:p>
            <w:pPr>
              <w:spacing w:after="0" w:line="205" w:lineRule="exact"/>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Principal Accounting Fees and Services</w:t>
              </w:r>
            </w:hyperlink>
          </w:p>
        </w:tc>
        <w:tc>
          <w:tcPr>
            <w:tcW w:w="4480" w:type="dxa"/>
            <w:vAlign w:val="bottom"/>
            <w:gridSpan w:val="5"/>
          </w:tcPr>
          <w:p>
            <w:pPr>
              <w:spacing w:after="0"/>
              <w:rPr>
                <w:sz w:val="17"/>
                <w:szCs w:val="17"/>
                <w:color w:val="auto"/>
              </w:rPr>
            </w:pPr>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338"/>
        </w:trPr>
        <w:tc>
          <w:tcPr>
            <w:tcW w:w="1040" w:type="dxa"/>
            <w:vAlign w:val="bottom"/>
            <w:gridSpan w:val="5"/>
          </w:tcPr>
          <w:p>
            <w:pPr>
              <w:spacing w:after="0"/>
              <w:rPr>
                <w:rFonts w:ascii="Times New Roman" w:cs="Times New Roman" w:eastAsia="Times New Roman" w:hAnsi="Times New Roman"/>
                <w:sz w:val="18"/>
                <w:szCs w:val="18"/>
                <w:b w:val="1"/>
                <w:bCs w:val="1"/>
                <w:color w:val="0000EE"/>
              </w:rPr>
            </w:pPr>
            <w:hyperlink w:anchor="page170">
              <w:r>
                <w:rPr>
                  <w:rFonts w:ascii="Times New Roman" w:cs="Times New Roman" w:eastAsia="Times New Roman" w:hAnsi="Times New Roman"/>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338"/>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340" w:type="dxa"/>
            <w:vAlign w:val="bottom"/>
            <w:gridSpan w:val="2"/>
          </w:tcPr>
          <w:p>
            <w:pPr>
              <w:spacing w:after="0"/>
              <w:rPr>
                <w:sz w:val="24"/>
                <w:szCs w:val="24"/>
                <w:color w:val="auto"/>
              </w:rPr>
            </w:pPr>
          </w:p>
        </w:tc>
        <w:tc>
          <w:tcPr>
            <w:tcW w:w="3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170">
              <w:r>
                <w:rPr>
                  <w:rFonts w:ascii="Times New Roman" w:cs="Times New Roman" w:eastAsia="Times New Roman" w:hAnsi="Times New Roman"/>
                  <w:sz w:val="18"/>
                  <w:szCs w:val="18"/>
                  <w:color w:val="0000EE"/>
                  <w:w w:val="97"/>
                </w:rPr>
                <w:t>Exhibits and Financial Statement Schedules</w:t>
              </w:r>
            </w:hyperlink>
          </w:p>
        </w:tc>
        <w:tc>
          <w:tcPr>
            <w:tcW w:w="672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20" w:type="dxa"/>
            <w:vAlign w:val="bottom"/>
            <w:gridSpan w:val="20"/>
          </w:tcPr>
          <w:p>
            <w:pPr>
              <w:spacing w:after="0" w:line="205" w:lineRule="exact"/>
              <w:rPr>
                <w:rFonts w:ascii="Times New Roman" w:cs="Times New Roman" w:eastAsia="Times New Roman" w:hAnsi="Times New Roman"/>
                <w:sz w:val="18"/>
                <w:szCs w:val="18"/>
                <w:color w:val="0000EE"/>
              </w:rPr>
            </w:pPr>
            <w:hyperlink w:anchor="page178">
              <w:r>
                <w:rPr>
                  <w:rFonts w:ascii="Times New Roman" w:cs="Times New Roman" w:eastAsia="Times New Roman" w:hAnsi="Times New Roman"/>
                  <w:sz w:val="18"/>
                  <w:szCs w:val="18"/>
                  <w:color w:val="0000EE"/>
                </w:rPr>
                <w:t>Signatures</w:t>
              </w:r>
            </w:hyperlink>
          </w:p>
        </w:tc>
        <w:tc>
          <w:tcPr>
            <w:tcW w:w="5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656"/>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4600" w:type="dxa"/>
            <w:vAlign w:val="bottom"/>
            <w:gridSpan w:val="1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This Annual Report filed on Form 10-K and the information incorporated herein by reference, particularly in the sections captioned “Risk Factors,” “Management’s Discussion and Analysis of Financial Condition and Results of Operations” and “Business,” contains forward-looking statements, which involve substantial risks and uncertainties. In this Annual Report, all statements other than statements of historical or present facts contained in this Annual Report, including statements regarding our future financial condition, business strategy and plans and objectives of management for future operations, are forward-looking statements. In some cases, you can identify forward-looking statements by terminology such as “believe,” “will,” “may,” “estimate,” “continue,” “anticipate,” “contemplate,” “intend,” “target,” “project,” “should,” “plan,” “expect,” “predict,” “could,” “potentially” or the negative of these terms or other similar terms or expressions that concern our expectations, strategy, plans or intentions. Forward-looking statements appear in a number of places throughout this Annual Report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roxadustat, pamrevlumab and our other product candidates, our intellectual property position, the potential safety, efficacy, reimbursement, convenience clinical and pharmaco-economic benefits of our product candidates, the potential markets for any of our product candidates, our ability to develop commercial functions, our ability to operate in China, expectations regarding clinical trial data, our results of operations, cash needs, spending of the proceeds from our initial public offering and the concurrent private placement, financial condition, liquidity, prospects, growth and strategies, the industry in which we operate and the trends that may affect the industry or us.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described in the section of this Annual Report captioned “Risk Factors” and elsewhere in this Annual Report.</w:t>
      </w:r>
    </w:p>
    <w:p>
      <w:pPr>
        <w:spacing w:after="0" w:line="1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These risks are not exhaustive. Other sections of this Annual Report may include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i w:val="1"/>
          <w:iCs w:val="1"/>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 forward-looking statements made in this Annual Report are based on circumstances as of the date on which the statements are made. Except as required by law, we undertake no obligation to update publicly any forward-looking statements for any reason after the date of this Annual Report or to conform these statements to actual results or to changes in our expectations.</w:t>
      </w:r>
    </w:p>
    <w:p>
      <w:pPr>
        <w:spacing w:after="0" w:line="16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also contains market data, research, industry forecasts and other similar information obtained from or based on industry reports and publications, including information concerning our industry, our business, and the potential markets for our product candidates, including data regarding the estimated size and patient populations of those and related markets, their projected growth rates and the incidence of certain medical conditions, as well as physician and patient practices within the related markets. Such data and information involve a number of assumptions and limitations, and you are cautioned not to give undue weight to such estimates.</w:t>
      </w:r>
    </w:p>
    <w:p>
      <w:pPr>
        <w:spacing w:after="0" w:line="180"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8"/>
          <w:szCs w:val="18"/>
          <w:i w:val="1"/>
          <w:iCs w:val="1"/>
          <w:color w:val="auto"/>
        </w:rPr>
        <w:t>You should read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8"/>
          <w:szCs w:val="18"/>
          <w:color w:val="auto"/>
        </w:rPr>
        <w:t>We are a leading biopharmaceutical company discovering and developing a pipeline of first-in-class therapeutics. We have applied our pioneering expertise in hypoxia-inducible factor (“HIF”) and connective tissue growth factor (“CTGF”) biology to develop innovative medicines for the treatment of anemia, fibrotic disease, and cancer.</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Roxadustat, our most advanced product candidate, is an oral small molecule inhibitor of HIF prolyl hydroxylase (“HIF-PH”) activity that has received New Drug Application (“NDA”) approval in anemia associated with chronic kidney disease (“CKD”) in dialysis-dependent (“DD”) patients from the National Medical Products Administration (“NMPA”) (previously known as the China Food and Drug Administration) of the People’s Republic of China (“China”).</w:t>
      </w:r>
    </w:p>
    <w:p>
      <w:pPr>
        <w:spacing w:after="0" w:line="17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conjunction with our collaboration partners, AstraZeneca AB (“AstraZeneca”) and Astellas Pharma Inc. (“Astellas”), we have completed the Phase 3 trials of roxadustat intended to support our NDA in the United States (“U.S.”) and Marketing Authorization Application (“MAA”) in the European Union (“EU”) for the treatment of anemia in CKD. We and our partners are in the process of preparing an NDA for submission to the U.S. Food and Drug Administration (“FDA”) and an MAA for submission to the European Medicines Agency (“EMA”) this year, both of which would cover anemia patients with dialysis-dependent CKD and non-dialysis-dependent CKD.</w:t>
      </w:r>
    </w:p>
    <w:p>
      <w:pPr>
        <w:spacing w:after="0" w:line="185" w:lineRule="exact"/>
        <w:rPr>
          <w:sz w:val="20"/>
          <w:szCs w:val="20"/>
          <w:color w:val="auto"/>
        </w:rPr>
      </w:pPr>
    </w:p>
    <w:p>
      <w:pPr>
        <w:ind w:right="620"/>
        <w:spacing w:after="0" w:line="304" w:lineRule="auto"/>
        <w:rPr>
          <w:sz w:val="20"/>
          <w:szCs w:val="20"/>
          <w:color w:val="auto"/>
        </w:rPr>
      </w:pPr>
      <w:r>
        <w:rPr>
          <w:rFonts w:ascii="Times New Roman" w:cs="Times New Roman" w:eastAsia="Times New Roman" w:hAnsi="Times New Roman"/>
          <w:sz w:val="17"/>
          <w:szCs w:val="17"/>
          <w:color w:val="auto"/>
        </w:rPr>
        <w:t>In Japan, Astellas submitted an NDA for the treatment of anemia in CKD patients on dialysis in September 2018, which is currently under review by the Pharmaceuticals and Medical Devices Agency (“PMDA”). We expect an approval decision on the Japan dialysis NDA in the second half of 2019.</w:t>
      </w:r>
    </w:p>
    <w:p>
      <w:pPr>
        <w:spacing w:after="0" w:line="14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Beyond anemia in CKD, roxadustat is in Phase 3 clinical development in the U.S. and Europe and in Phase 2/3 development in China for anemia associated with myelodysplastic syndromes (“MDS”).</w:t>
      </w:r>
    </w:p>
    <w:p>
      <w:pPr>
        <w:spacing w:after="0" w:line="16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Pamrevlumab, a human monoclonal antibody that inhibits the activity of CTGF, is advancing toward Phase 3 clinical development for the treatment of idiopathic pulmonary fibrosis (“IPF”) and pancreatic cancer, and is currently in a Phase 2 trial for Duchenne muscular dystrophy (“DMD”).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Applying our internally developed proprietary technology in recombinant human collagen, FibroGen is also developing a biosynthetic corneal implant in China.</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FOR THE TREATMENT OF ANEMIA IN CHRONIC KIDNEY DISEASE</w:t>
      </w:r>
    </w:p>
    <w:p>
      <w:pPr>
        <w:spacing w:after="0" w:line="113"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Roxadustat is an internally discovered HIF-PH inhibitor that acts by stimulating the body’s natural pathway of erythropoiesis, or red blood cell production, to treat anemia.</w:t>
      </w:r>
    </w:p>
    <w:p>
      <w:pPr>
        <w:spacing w:after="0" w:line="16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The topline results from our Phase 3 study used to support the China NDA in dialysis, as well as the Phase 3 study in non-dialysis, are described in the section below captioned “</w:t>
      </w:r>
      <w:r>
        <w:rPr>
          <w:rFonts w:ascii="Times New Roman" w:cs="Times New Roman" w:eastAsia="Times New Roman" w:hAnsi="Times New Roman"/>
          <w:sz w:val="18"/>
          <w:szCs w:val="18"/>
          <w:i w:val="1"/>
          <w:iCs w:val="1"/>
          <w:color w:val="auto"/>
        </w:rPr>
        <w:t>Roxadustat for the Treatment of Anemia in Chronic Kidney Disease in China.</w:t>
      </w:r>
      <w:r>
        <w:rPr>
          <w:rFonts w:ascii="Times New Roman" w:cs="Times New Roman" w:eastAsia="Times New Roman" w:hAnsi="Times New Roman"/>
          <w:sz w:val="18"/>
          <w:szCs w:val="18"/>
          <w:color w:val="auto"/>
        </w:rPr>
        <w:t>” We expect CKD non-dialysis patients to be added to the roxadustat label once regulatory inspections of the Phase 3 non-dialysis clinical trial sites are performed by the NMPA.</w:t>
      </w:r>
    </w:p>
    <w:p>
      <w:pPr>
        <w:spacing w:after="0" w:line="177"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8"/>
          <w:szCs w:val="18"/>
          <w:color w:val="auto"/>
        </w:rPr>
        <w:t>Globally, the Phase 3 CKD-anemia program encompasses 15 Phase 3 studies of roxadustat in both non-dialysis-dependent (“NDD”) and dialysis-dependent CKD patients designed to support independent regulatory approvals in the U.S., Europe, Japan, and China.</w:t>
      </w:r>
    </w:p>
    <w:p>
      <w:pPr>
        <w:spacing w:after="0" w:line="16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We, and our partners Astellas and AstraZeneca, each announced topline Phase 3 results for roxadustat in 2018 which we plan to include in support of regulatory submissions in the U.S. and Europe in 2019. These results are described in the following section. The pooled safety analyses for the U.S. (both for NDD-CKD and DD-CKD), including the major adverse cardiovascular event (“MACE”) endpoint, a composite endpoint of death, myocardial infarction and stroke, are anticipated to be completed in the second quarter of 2019, and we intend to submit a U.S. NDA in the third quarter of 2019. We expect Astellas to submit an MAA to the EMA shortly thereafter. Both the U.S. NDA and European MAA for roxadustat are expected to cover anemia associated with dialysis dependent CKD and non-dialysis-dependent CKD.</w:t>
      </w:r>
    </w:p>
    <w:p>
      <w:pPr>
        <w:spacing w:after="0" w:line="18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Our partner Astellas has filed its NDA for roxadustat for the treatment of anemia in dialysis patients with the PMDA, and the Phase 3 results used to support the Japan NDA are described in the section below captioned “</w:t>
      </w:r>
      <w:r>
        <w:rPr>
          <w:rFonts w:ascii="Times New Roman" w:cs="Times New Roman" w:eastAsia="Times New Roman" w:hAnsi="Times New Roman"/>
          <w:sz w:val="18"/>
          <w:szCs w:val="18"/>
          <w:i w:val="1"/>
          <w:iCs w:val="1"/>
          <w:color w:val="auto"/>
        </w:rPr>
        <w:t>Roxadustat for the Treatment of Anemia in</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4" w:name="page5"/>
    <w:bookmarkEnd w:id="4"/>
    <w:p>
      <w:pPr>
        <w:ind w:right="28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Chronic Kidney Disease in Japan. </w:t>
      </w:r>
      <w:r>
        <w:rPr>
          <w:rFonts w:ascii="Times New Roman" w:cs="Times New Roman" w:eastAsia="Times New Roman" w:hAnsi="Times New Roman"/>
          <w:sz w:val="18"/>
          <w:szCs w:val="18"/>
          <w:color w:val="auto"/>
        </w:rPr>
        <w:t>Astellas has completed one of the two Phase 3 studies in non-dialysis CKD expected to serve as a basis for a supplemental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NDA in Japan for the treatment of anemia in non-dialysis CKD patients.</w:t>
      </w:r>
    </w:p>
    <w:p>
      <w:pPr>
        <w:spacing w:after="0" w:line="162"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color w:val="auto"/>
        </w:rPr>
        <w:t>CKD affects 10-12% of the adult population globally. While anemia is common in patients at advanced stages of CKD who face increased risks of health consequences, many of those patients are left untreated or are sub-optimally treated for anemia due to safety concerns and limited access to the currently available therapies such as erythropoiesis stimulating agents (“ESAs”). Even in major markets such as the U.S., the use of ESAs to treat anemia in CKD has largely been limited to the dialysis-dependent CKD population in recent years. We and our partners believe that, as an oral agent with an acceptable safety profile, roxadustat could increase treatment access to patients and expand the non-dialysis anemia market.</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auto"/>
        </w:rPr>
        <w:t>In the longer term, we believe roxadustat has the potential to address anemia markets beyond CKD, including chemotherapy-induced anemia (“CIA”), anemia related to inflammation (such as inflammatory bowel disease, lupus, and rheumatoid arthritis), MDS, and in surgical procedures requiring red blood cell transfusions. Roxadustat is in ongoing clinical trials in MDS, and we plan to initiate a Phase 2 clinical trial of roxadustat in the U.S. in CIA in 2019.</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Completed Phase 3 Clinical Trials of Roxadustat in CKD Anemia for U.S. and European Regulatory Submissions</w:t>
      </w:r>
    </w:p>
    <w:p>
      <w:pPr>
        <w:spacing w:after="0" w:line="113"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18"/>
          <w:szCs w:val="18"/>
          <w:color w:val="auto"/>
        </w:rPr>
        <w:t>We recently announced that roxadustat met all pre-specified primary efficacy endpoints in the three U.S. and Europe Phase 3 trials conducted by us, which we have named ANDES in non-dialysis-dependent CKD, HIMALAYAS in incident (newly initiated) dialysis patients, and SIERRAS in dialysis-dependent CKD patients. These results are detailed below and analysis of secondary endpoints is ongoing.</w:t>
      </w:r>
    </w:p>
    <w:p>
      <w:pPr>
        <w:spacing w:after="0" w:line="17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AstraZeneca has also announced positive topline results from each of its roxadustat Phase 3 trials (named OLYMPUS in non-dialysis CKD and ROCKIES in dialysis-dependent CKD). AstraZeneca and FibroGen are collaborating on the development and commercialization of roxadustat for the treatment of anemia in the U.S., China, and other markets in the Americas and in Australia/New Zealand, as well as Southeast Asia.</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Astellas has also announced positive topline results from their trial named ALPS, a roxadustat Phase 3 trial in non-dialysis patients, and PYRENEES, a roxadustat Phase 3 trial in dialysis patients. Astellas and FibroGen are collaborating on the development and commercialization of roxadustat for the treatment of anemia in territories including Japan, Europe, the Commonwealth of Independent States, the Middle East, and South Africa.</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3"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The table below is a summary of our Phase 3 CKD anemia trials by regulatory approval region.</w:t>
      </w:r>
    </w:p>
    <w:p>
      <w:pPr>
        <w:sectPr>
          <w:pgSz w:w="11900" w:h="16838" w:orient="portrait"/>
          <w:cols w:equalWidth="0" w:num="1">
            <w:col w:w="11320"/>
          </w:cols>
          <w:pgMar w:left="240" w:top="5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60"/>
        <w:spacing w:after="0" w:line="285" w:lineRule="auto"/>
        <w:rPr>
          <w:sz w:val="20"/>
          <w:szCs w:val="20"/>
          <w:color w:val="auto"/>
        </w:rPr>
      </w:pPr>
      <w:r>
        <w:rPr>
          <w:rFonts w:ascii="Times New Roman" w:cs="Times New Roman" w:eastAsia="Times New Roman" w:hAnsi="Times New Roman"/>
          <w:sz w:val="18"/>
          <w:szCs w:val="18"/>
          <w:b w:val="1"/>
          <w:bCs w:val="1"/>
          <w:color w:val="auto"/>
        </w:rPr>
        <w:t>Study Sponsor, Number Non-Dialysis</w:t>
      </w:r>
    </w:p>
    <w:p>
      <w:pPr>
        <w:spacing w:after="0" w:line="264" w:lineRule="auto"/>
        <w:rPr>
          <w:sz w:val="20"/>
          <w:szCs w:val="20"/>
          <w:color w:val="auto"/>
        </w:rPr>
      </w:pPr>
      <w:r>
        <w:rPr>
          <w:rFonts w:ascii="Times New Roman" w:cs="Times New Roman" w:eastAsia="Times New Roman" w:hAnsi="Times New Roman"/>
          <w:sz w:val="18"/>
          <w:szCs w:val="18"/>
          <w:color w:val="auto"/>
        </w:rPr>
        <w:t>FibroGen - FGCL-4592-060 (ANDES) Astellas - 1517-CL-0608 (ALPS) AstraZeneca - D5740C00001 (OLYMPUS)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5780" w:type="dxa"/>
            <w:vAlign w:val="bottom"/>
            <w:gridSpan w:val="8"/>
          </w:tcPr>
          <w:p>
            <w:pPr>
              <w:ind w:left="960"/>
              <w:spacing w:after="0"/>
              <w:rPr>
                <w:sz w:val="20"/>
                <w:szCs w:val="20"/>
                <w:color w:val="auto"/>
              </w:rPr>
            </w:pPr>
            <w:r>
              <w:rPr>
                <w:rFonts w:ascii="Times New Roman" w:cs="Times New Roman" w:eastAsia="Times New Roman" w:hAnsi="Times New Roman"/>
                <w:sz w:val="18"/>
                <w:szCs w:val="18"/>
                <w:b w:val="1"/>
                <w:bCs w:val="1"/>
                <w:color w:val="auto"/>
              </w:rPr>
              <w:t>Roxadustat Phase 3 CKD Anemia Clinical Trials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Estimated or Completed # of Patients Enrolled</w:t>
            </w: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center"/>
              <w:ind w:right="140"/>
              <w:spacing w:after="0" w:line="185" w:lineRule="exact"/>
              <w:rPr>
                <w:sz w:val="20"/>
                <w:szCs w:val="20"/>
                <w:color w:val="auto"/>
              </w:rPr>
            </w:pPr>
            <w:r>
              <w:rPr>
                <w:rFonts w:ascii="Times New Roman" w:cs="Times New Roman" w:eastAsia="Times New Roman" w:hAnsi="Times New Roman"/>
                <w:sz w:val="18"/>
                <w:szCs w:val="18"/>
                <w:b w:val="1"/>
                <w:bCs w:val="1"/>
                <w:color w:val="auto"/>
                <w:w w:val="97"/>
              </w:rPr>
              <w:t>China</w:t>
            </w: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DD-CKD NDA</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Approved</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0" w:type="dxa"/>
            <w:vAlign w:val="bottom"/>
          </w:tcPr>
          <w:p>
            <w:pPr>
              <w:spacing w:after="0"/>
              <w:rPr>
                <w:sz w:val="1"/>
                <w:szCs w:val="1"/>
                <w:color w:val="auto"/>
              </w:rPr>
            </w:pPr>
          </w:p>
        </w:tc>
      </w:tr>
      <w:tr>
        <w:trPr>
          <w:trHeight w:val="212"/>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NDD-CKD NDA</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DD-CKD</w:t>
            </w:r>
          </w:p>
        </w:tc>
        <w:tc>
          <w:tcPr>
            <w:tcW w:w="0" w:type="dxa"/>
            <w:vAlign w:val="bottom"/>
          </w:tcPr>
          <w:p>
            <w:pPr>
              <w:spacing w:after="0"/>
              <w:rPr>
                <w:sz w:val="1"/>
                <w:szCs w:val="1"/>
                <w:color w:val="auto"/>
              </w:rPr>
            </w:pPr>
          </w:p>
        </w:tc>
      </w:tr>
      <w:tr>
        <w:trPr>
          <w:trHeight w:val="212"/>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reviewed by NMPA,</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NDA</w:t>
            </w:r>
          </w:p>
        </w:tc>
        <w:tc>
          <w:tcPr>
            <w:tcW w:w="0" w:type="dxa"/>
            <w:vAlign w:val="bottom"/>
          </w:tcPr>
          <w:p>
            <w:pPr>
              <w:spacing w:after="0"/>
              <w:rPr>
                <w:sz w:val="1"/>
                <w:szCs w:val="1"/>
                <w:color w:val="auto"/>
              </w:rPr>
            </w:pPr>
          </w:p>
        </w:tc>
      </w:tr>
      <w:tr>
        <w:trPr>
          <w:trHeight w:val="232"/>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Comparator</w:t>
            </w:r>
          </w:p>
        </w:tc>
        <w:tc>
          <w:tcPr>
            <w:tcW w:w="80" w:type="dxa"/>
            <w:vAlign w:val="bottom"/>
          </w:tcPr>
          <w:p>
            <w:pPr>
              <w:spacing w:after="0"/>
              <w:rPr>
                <w:sz w:val="20"/>
                <w:szCs w:val="20"/>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34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awaiting inspection</w:t>
            </w:r>
          </w:p>
        </w:tc>
        <w:tc>
          <w:tcPr>
            <w:tcW w:w="140" w:type="dxa"/>
            <w:vAlign w:val="bottom"/>
          </w:tcPr>
          <w:p>
            <w:pPr>
              <w:spacing w:after="0"/>
              <w:rPr>
                <w:sz w:val="20"/>
                <w:szCs w:val="20"/>
                <w:color w:val="auto"/>
              </w:rPr>
            </w:pPr>
          </w:p>
        </w:tc>
        <w:tc>
          <w:tcPr>
            <w:tcW w:w="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458"/>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Placebo</w:t>
            </w:r>
          </w:p>
        </w:tc>
        <w:tc>
          <w:tcPr>
            <w:tcW w:w="2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-------- 922 --------</w:t>
            </w: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Placebo</w:t>
            </w:r>
          </w:p>
        </w:tc>
        <w:tc>
          <w:tcPr>
            <w:tcW w:w="2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-------- 597 --------</w:t>
            </w: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Placebo</w:t>
            </w: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17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-1849755</wp:posOffset>
            </wp:positionH>
            <wp:positionV relativeFrom="paragraph">
              <wp:posOffset>-353060</wp:posOffset>
            </wp:positionV>
            <wp:extent cx="6139180" cy="15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9180" cy="151130"/>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-1480185</wp:posOffset>
            </wp:positionV>
            <wp:extent cx="6139180" cy="975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39180" cy="97536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2760" w:space="160"/>
            <w:col w:w="8400"/>
          </w:cols>
          <w:pgMar w:left="240" w:top="545"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Astellas - 1517-CL-0610</w:t>
            </w: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Darbepoetin alfa</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FibroGen - FGCL-4592-808</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Placebo</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Astellas - 1517-CL-0310</w:t>
            </w: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Darbepoetin alfa</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FF0FC"/>
          </w:tcPr>
          <w:p>
            <w:pPr>
              <w:spacing w:after="0"/>
              <w:rPr>
                <w:sz w:val="20"/>
                <w:szCs w:val="20"/>
                <w:color w:val="auto"/>
              </w:rPr>
            </w:pPr>
          </w:p>
        </w:tc>
      </w:tr>
      <w:tr>
        <w:trPr>
          <w:trHeight w:val="238"/>
        </w:trPr>
        <w:tc>
          <w:tcPr>
            <w:tcW w:w="2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Astellas - 1517-CL-0314</w:t>
            </w:r>
          </w:p>
        </w:tc>
        <w:tc>
          <w:tcPr>
            <w:tcW w:w="184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tcPr>
          <w:p>
            <w:pPr>
              <w:spacing w:after="0"/>
              <w:rPr>
                <w:sz w:val="20"/>
                <w:szCs w:val="20"/>
                <w:color w:val="auto"/>
              </w:rPr>
            </w:pPr>
          </w:p>
        </w:tc>
      </w:tr>
      <w:tr>
        <w:trPr>
          <w:trHeight w:val="232"/>
        </w:trPr>
        <w:tc>
          <w:tcPr>
            <w:tcW w:w="2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NDD-CKD Subtotal by Region</w:t>
            </w:r>
          </w:p>
        </w:tc>
        <w:tc>
          <w:tcPr>
            <w:tcW w:w="184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8"/>
                <w:szCs w:val="18"/>
                <w:color w:val="auto"/>
              </w:rPr>
              <w:t>4,300</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2,135</w:t>
            </w:r>
          </w:p>
        </w:tc>
        <w:tc>
          <w:tcPr>
            <w:tcW w:w="3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6139180" cy="15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9180" cy="15113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-159385</wp:posOffset>
            </wp:positionV>
            <wp:extent cx="673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-159385</wp:posOffset>
            </wp:positionV>
            <wp:extent cx="927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710" cy="825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-159385</wp:posOffset>
            </wp:positionV>
            <wp:extent cx="2101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018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-159385</wp:posOffset>
            </wp:positionV>
            <wp:extent cx="1174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-310515</wp:posOffset>
            </wp:positionV>
            <wp:extent cx="2960370" cy="160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60370" cy="160020"/>
                    </a:xfrm>
                    <a:prstGeom prst="rect">
                      <a:avLst/>
                    </a:prstGeom>
                    <a:noFill/>
                  </pic:spPr>
                </pic:pic>
              </a:graphicData>
            </a:graphic>
          </wp:anchor>
        </w:drawing>
      </w:r>
    </w:p>
    <w:p>
      <w:pPr>
        <w:sectPr>
          <w:pgSz w:w="11900" w:h="16838" w:orient="portrait"/>
          <w:cols w:equalWidth="0" w:num="1">
            <w:col w:w="11320"/>
          </w:cols>
          <w:pgMar w:left="240" w:top="545" w:right="339" w:bottom="1440" w:gutter="0" w:footer="0" w:header="0"/>
          <w:type w:val="continuous"/>
        </w:sectPr>
      </w:pPr>
    </w:p>
    <w:p>
      <w:pPr>
        <w:spacing w:after="0" w:line="245"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Incident Dialysis </w:t>
      </w:r>
      <w:r>
        <w:rPr>
          <w:rFonts w:ascii="Times New Roman" w:cs="Times New Roman" w:eastAsia="Times New Roman" w:hAnsi="Times New Roman"/>
          <w:sz w:val="18"/>
          <w:szCs w:val="18"/>
          <w:color w:val="auto"/>
        </w:rPr>
        <w:t>FibroGen - FGCL-4592-063 (HIMALAYAS)</w:t>
      </w:r>
    </w:p>
    <w:p>
      <w:pPr>
        <w:spacing w:after="0" w:line="228" w:lineRule="exact"/>
        <w:rPr>
          <w:sz w:val="20"/>
          <w:szCs w:val="20"/>
          <w:color w:val="auto"/>
        </w:rPr>
      </w:pPr>
    </w:p>
    <w:p>
      <w:pPr>
        <w:jc w:val="both"/>
        <w:ind w:right="7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Stable and Incident Dialysis </w:t>
      </w:r>
      <w:r>
        <w:rPr>
          <w:rFonts w:ascii="Times New Roman" w:cs="Times New Roman" w:eastAsia="Times New Roman" w:hAnsi="Times New Roman"/>
          <w:sz w:val="18"/>
          <w:szCs w:val="18"/>
          <w:color w:val="auto"/>
        </w:rPr>
        <w:t>AstraZeneca - D5740C00002 (ROCKIES)</w:t>
      </w:r>
    </w:p>
    <w:p>
      <w:pPr>
        <w:spacing w:after="0" w:line="228"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Stable Dialysis </w:t>
      </w:r>
      <w:r>
        <w:rPr>
          <w:rFonts w:ascii="Times New Roman" w:cs="Times New Roman" w:eastAsia="Times New Roman" w:hAnsi="Times New Roman"/>
          <w:sz w:val="18"/>
          <w:szCs w:val="18"/>
          <w:color w:val="auto"/>
        </w:rPr>
        <w:t>FibroGen - FGCL-4592-064 (SIERRAS)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Astellas - 1517-CL-0613 (PYRENEES)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160"/>
        <w:spacing w:after="0"/>
        <w:tabs>
          <w:tab w:leader="none" w:pos="1780" w:val="left"/>
        </w:tabs>
        <w:rPr>
          <w:sz w:val="20"/>
          <w:szCs w:val="20"/>
          <w:color w:val="auto"/>
        </w:rPr>
      </w:pPr>
      <w:r>
        <w:rPr>
          <w:rFonts w:ascii="Times New Roman" w:cs="Times New Roman" w:eastAsia="Times New Roman" w:hAnsi="Times New Roman"/>
          <w:sz w:val="18"/>
          <w:szCs w:val="18"/>
          <w:color w:val="auto"/>
        </w:rPr>
        <w:t>Epoetin alfa</w:t>
      </w:r>
      <w:r>
        <w:rPr>
          <w:sz w:val="20"/>
          <w:szCs w:val="20"/>
          <w:color w:val="auto"/>
        </w:rPr>
        <w:tab/>
      </w:r>
      <w:r>
        <w:rPr>
          <w:rFonts w:ascii="Times New Roman" w:cs="Times New Roman" w:eastAsia="Times New Roman" w:hAnsi="Times New Roman"/>
          <w:sz w:val="17"/>
          <w:szCs w:val="17"/>
          <w:color w:val="auto"/>
        </w:rPr>
        <w:t>-------- 1,043 --------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81915</wp:posOffset>
            </wp:positionV>
            <wp:extent cx="6139180" cy="15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180" cy="1511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60"/>
        <w:spacing w:after="0"/>
        <w:tabs>
          <w:tab w:leader="none" w:pos="1860" w:val="left"/>
        </w:tabs>
        <w:rPr>
          <w:sz w:val="20"/>
          <w:szCs w:val="20"/>
          <w:color w:val="auto"/>
        </w:rPr>
      </w:pPr>
      <w:r>
        <w:rPr>
          <w:rFonts w:ascii="Times New Roman" w:cs="Times New Roman" w:eastAsia="Times New Roman" w:hAnsi="Times New Roman"/>
          <w:sz w:val="18"/>
          <w:szCs w:val="18"/>
          <w:color w:val="auto"/>
        </w:rPr>
        <w:t>Epoetin alfa</w:t>
      </w:r>
      <w:r>
        <w:rPr>
          <w:sz w:val="20"/>
          <w:szCs w:val="20"/>
          <w:color w:val="auto"/>
        </w:rPr>
        <w:tab/>
      </w:r>
      <w:r>
        <w:rPr>
          <w:rFonts w:ascii="Times New Roman" w:cs="Times New Roman" w:eastAsia="Times New Roman" w:hAnsi="Times New Roman"/>
          <w:sz w:val="25"/>
          <w:szCs w:val="25"/>
          <w:color w:val="auto"/>
          <w:vertAlign w:val="superscript"/>
        </w:rPr>
        <w:t>2,133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-170180</wp:posOffset>
            </wp:positionV>
            <wp:extent cx="6139180" cy="269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180" cy="26924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249555</wp:posOffset>
            </wp:positionV>
            <wp:extent cx="6139180" cy="15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180"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spacing w:after="0"/>
        <w:tabs>
          <w:tab w:leader="none" w:pos="1840" w:val="left"/>
        </w:tabs>
        <w:rPr>
          <w:sz w:val="20"/>
          <w:szCs w:val="20"/>
          <w:color w:val="auto"/>
        </w:rPr>
      </w:pPr>
      <w:r>
        <w:rPr>
          <w:rFonts w:ascii="Times New Roman" w:cs="Times New Roman" w:eastAsia="Times New Roman" w:hAnsi="Times New Roman"/>
          <w:sz w:val="18"/>
          <w:szCs w:val="18"/>
          <w:color w:val="auto"/>
        </w:rPr>
        <w:t>Epoetin alfa</w:t>
      </w:r>
      <w:r>
        <w:rPr>
          <w:sz w:val="20"/>
          <w:szCs w:val="20"/>
          <w:color w:val="auto"/>
        </w:rPr>
        <w:tab/>
      </w:r>
      <w:r>
        <w:rPr>
          <w:rFonts w:ascii="Times New Roman" w:cs="Times New Roman" w:eastAsia="Times New Roman" w:hAnsi="Times New Roman"/>
          <w:sz w:val="17"/>
          <w:szCs w:val="17"/>
          <w:color w:val="auto"/>
        </w:rPr>
        <w:t>-------- 741 --------</w:t>
      </w:r>
    </w:p>
    <w:p>
      <w:pPr>
        <w:ind w:left="60"/>
        <w:spacing w:after="0"/>
        <w:tabs>
          <w:tab w:leader="none" w:pos="1840" w:val="left"/>
        </w:tabs>
        <w:rPr>
          <w:sz w:val="20"/>
          <w:szCs w:val="20"/>
          <w:color w:val="auto"/>
        </w:rPr>
      </w:pPr>
      <w:r>
        <w:rPr>
          <w:rFonts w:ascii="Times New Roman" w:cs="Times New Roman" w:eastAsia="Times New Roman" w:hAnsi="Times New Roman"/>
          <w:sz w:val="35"/>
          <w:szCs w:val="35"/>
          <w:color w:val="auto"/>
          <w:vertAlign w:val="superscript"/>
        </w:rPr>
        <w:t>Epoetin alfa or</w:t>
      </w:r>
      <w:r>
        <w:rPr>
          <w:sz w:val="20"/>
          <w:szCs w:val="20"/>
          <w:color w:val="auto"/>
        </w:rPr>
        <w:tab/>
      </w:r>
      <w:r>
        <w:rPr>
          <w:rFonts w:ascii="Times New Roman" w:cs="Times New Roman" w:eastAsia="Times New Roman" w:hAnsi="Times New Roman"/>
          <w:sz w:val="17"/>
          <w:szCs w:val="17"/>
          <w:color w:val="auto"/>
        </w:rPr>
        <w:t>-------- 838 --------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-142875</wp:posOffset>
            </wp:positionV>
            <wp:extent cx="6139180" cy="285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180" cy="2857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Darbepoetin alfa</w:t>
      </w:r>
    </w:p>
    <w:p>
      <w:pPr>
        <w:spacing w:after="0" w:line="4" w:lineRule="exact"/>
        <w:rPr>
          <w:sz w:val="20"/>
          <w:szCs w:val="20"/>
          <w:color w:val="auto"/>
        </w:rPr>
      </w:pPr>
    </w:p>
    <w:p>
      <w:pPr>
        <w:sectPr>
          <w:pgSz w:w="11900" w:h="16838" w:orient="portrait"/>
          <w:cols w:equalWidth="0" w:num="2">
            <w:col w:w="2820" w:space="340"/>
            <w:col w:w="8160"/>
          </w:cols>
          <w:pgMar w:left="240" w:top="545"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FibroGen - FGCL-4592-806</w:t>
            </w:r>
          </w:p>
        </w:tc>
        <w:tc>
          <w:tcPr>
            <w:tcW w:w="1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Epoetin alfa</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Astellas - 1517-CL-0302</w:t>
            </w:r>
          </w:p>
        </w:tc>
        <w:tc>
          <w:tcPr>
            <w:tcW w:w="1700" w:type="dxa"/>
            <w:vAlign w:val="bottom"/>
            <w:shd w:val="clear" w:color="auto" w:fill="CFF0FC"/>
          </w:tcPr>
          <w:p>
            <w:pPr>
              <w:jc w:val="center"/>
              <w:ind w:right="32"/>
              <w:spacing w:after="0"/>
              <w:rPr>
                <w:sz w:val="20"/>
                <w:szCs w:val="20"/>
                <w:color w:val="auto"/>
              </w:rPr>
            </w:pPr>
            <w:r>
              <w:rPr>
                <w:rFonts w:ascii="Times New Roman" w:cs="Times New Roman" w:eastAsia="Times New Roman" w:hAnsi="Times New Roman"/>
                <w:sz w:val="18"/>
                <w:szCs w:val="18"/>
                <w:color w:val="auto"/>
                <w:w w:val="97"/>
              </w:rPr>
              <w:t>None</w:t>
            </w: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Astellas - 1517-CL-0307</w:t>
            </w:r>
          </w:p>
        </w:tc>
        <w:tc>
          <w:tcPr>
            <w:tcW w:w="1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Darbepoetin alfa</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Astellas - 1517-CL-0308</w:t>
            </w:r>
          </w:p>
        </w:tc>
        <w:tc>
          <w:tcPr>
            <w:tcW w:w="1700" w:type="dxa"/>
            <w:vAlign w:val="bottom"/>
            <w:shd w:val="clear" w:color="auto" w:fill="CFF0FC"/>
          </w:tcPr>
          <w:p>
            <w:pPr>
              <w:jc w:val="center"/>
              <w:ind w:right="32"/>
              <w:spacing w:after="0"/>
              <w:rPr>
                <w:sz w:val="20"/>
                <w:szCs w:val="20"/>
                <w:color w:val="auto"/>
              </w:rPr>
            </w:pPr>
            <w:r>
              <w:rPr>
                <w:rFonts w:ascii="Times New Roman" w:cs="Times New Roman" w:eastAsia="Times New Roman" w:hAnsi="Times New Roman"/>
                <w:sz w:val="18"/>
                <w:szCs w:val="18"/>
                <w:color w:val="auto"/>
                <w:w w:val="97"/>
              </w:rPr>
              <w:t>None</w:t>
            </w: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Astellas - 1517-CL-0312</w:t>
            </w:r>
          </w:p>
        </w:tc>
        <w:tc>
          <w:tcPr>
            <w:tcW w:w="1700" w:type="dxa"/>
            <w:vAlign w:val="bottom"/>
            <w:tcBorders>
              <w:bottom w:val="single" w:sz="8" w:color="CFF0FC"/>
            </w:tcBorders>
          </w:tcPr>
          <w:p>
            <w:pPr>
              <w:jc w:val="center"/>
              <w:ind w:right="32"/>
              <w:spacing w:after="0"/>
              <w:rPr>
                <w:sz w:val="20"/>
                <w:szCs w:val="20"/>
                <w:color w:val="auto"/>
              </w:rPr>
            </w:pPr>
            <w:r>
              <w:rPr>
                <w:rFonts w:ascii="Times New Roman" w:cs="Times New Roman" w:eastAsia="Times New Roman" w:hAnsi="Times New Roman"/>
                <w:sz w:val="18"/>
                <w:szCs w:val="18"/>
                <w:color w:val="auto"/>
                <w:w w:val="97"/>
              </w:rPr>
              <w:t>None</w:t>
            </w: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DD-CKD Subtotal by Region</w:t>
            </w:r>
          </w:p>
        </w:tc>
        <w:tc>
          <w:tcPr>
            <w:tcW w:w="170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24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2,622</w:t>
            </w:r>
          </w:p>
        </w:tc>
        <w:tc>
          <w:tcPr>
            <w:tcW w:w="340" w:type="dxa"/>
            <w:vAlign w:val="bottom"/>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452"/>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shd w:val="clear" w:color="auto" w:fill="CFF0FC"/>
          </w:tcPr>
          <w:p>
            <w:pPr>
              <w:spacing w:after="0"/>
              <w:rPr>
                <w:sz w:val="20"/>
                <w:szCs w:val="20"/>
                <w:color w:val="auto"/>
              </w:rPr>
            </w:pPr>
          </w:p>
        </w:tc>
        <w:tc>
          <w:tcPr>
            <w:tcW w:w="880" w:type="dxa"/>
            <w:vAlign w:val="bottom"/>
            <w:tcBorders>
              <w:bottom w:val="single" w:sz="8" w:color="auto"/>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96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Total by Regulatory Approval</w:t>
            </w:r>
          </w:p>
        </w:tc>
        <w:tc>
          <w:tcPr>
            <w:tcW w:w="17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9,055</w:t>
            </w:r>
          </w:p>
        </w:tc>
        <w:tc>
          <w:tcPr>
            <w:tcW w:w="1260" w:type="dxa"/>
            <w:vAlign w:val="bottom"/>
            <w:gridSpan w:val="3"/>
            <w:shd w:val="clear" w:color="auto" w:fill="CFF0FC"/>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4,757</w:t>
            </w:r>
          </w:p>
        </w:tc>
        <w:tc>
          <w:tcPr>
            <w:tcW w:w="3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552"/>
              <w:spacing w:after="0" w:line="192" w:lineRule="exact"/>
              <w:rPr>
                <w:sz w:val="20"/>
                <w:szCs w:val="20"/>
                <w:color w:val="auto"/>
              </w:rPr>
            </w:pPr>
            <w:r>
              <w:rPr>
                <w:rFonts w:ascii="Times New Roman" w:cs="Times New Roman" w:eastAsia="Times New Roman" w:hAnsi="Times New Roman"/>
                <w:sz w:val="18"/>
                <w:szCs w:val="18"/>
                <w:b w:val="1"/>
                <w:bCs w:val="1"/>
                <w:color w:val="auto"/>
              </w:rPr>
              <w:t>455</w:t>
            </w:r>
          </w:p>
        </w:tc>
        <w:tc>
          <w:tcPr>
            <w:tcW w:w="140" w:type="dxa"/>
            <w:vAlign w:val="bottom"/>
            <w:shd w:val="clear" w:color="auto" w:fill="CFF0FC"/>
          </w:tcPr>
          <w:p>
            <w:pPr>
              <w:spacing w:after="0"/>
              <w:rPr>
                <w:sz w:val="16"/>
                <w:szCs w:val="16"/>
                <w:color w:val="auto"/>
              </w:rPr>
            </w:pPr>
          </w:p>
        </w:tc>
        <w:tc>
          <w:tcPr>
            <w:tcW w:w="880" w:type="dxa"/>
            <w:vAlign w:val="bottom"/>
            <w:tcBorders>
              <w:right w:val="single" w:sz="8" w:color="CFF0FC"/>
            </w:tcBorders>
            <w:shd w:val="clear" w:color="auto" w:fill="CFF0FC"/>
          </w:tcPr>
          <w:p>
            <w:pPr>
              <w:jc w:val="right"/>
              <w:ind w:right="152"/>
              <w:spacing w:after="0" w:line="192" w:lineRule="exact"/>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7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right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Combined Total to Support U.S. and</w:t>
            </w:r>
          </w:p>
        </w:tc>
        <w:tc>
          <w:tcPr>
            <w:tcW w:w="1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3"/>
          </w:tcPr>
          <w:p>
            <w:pPr>
              <w:jc w:val="right"/>
              <w:ind w:right="712"/>
              <w:spacing w:after="0" w:line="171" w:lineRule="exact"/>
              <w:rPr>
                <w:sz w:val="20"/>
                <w:szCs w:val="20"/>
                <w:color w:val="auto"/>
              </w:rPr>
            </w:pPr>
            <w:r>
              <w:rPr>
                <w:rFonts w:ascii="Times New Roman" w:cs="Times New Roman" w:eastAsia="Times New Roman" w:hAnsi="Times New Roman"/>
                <w:sz w:val="18"/>
                <w:szCs w:val="18"/>
                <w:b w:val="1"/>
                <w:bCs w:val="1"/>
                <w:color w:val="auto"/>
              </w:rPr>
              <w:t>9,671</w:t>
            </w:r>
          </w:p>
        </w:tc>
        <w:tc>
          <w:tcPr>
            <w:tcW w:w="34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 Approvals</w:t>
            </w: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-294640</wp:posOffset>
            </wp:positionV>
            <wp:extent cx="1263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365" cy="8255"/>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-277495</wp:posOffset>
            </wp:positionV>
            <wp:extent cx="1263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6365" cy="825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-294640</wp:posOffset>
            </wp:positionV>
            <wp:extent cx="59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-294640</wp:posOffset>
            </wp:positionV>
            <wp:extent cx="2101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18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-294640</wp:posOffset>
            </wp:positionV>
            <wp:extent cx="1174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-277495</wp:posOffset>
            </wp:positionV>
            <wp:extent cx="1174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-294640</wp:posOffset>
            </wp:positionV>
            <wp:extent cx="2960370" cy="294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0370" cy="29464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-883285</wp:posOffset>
            </wp:positionV>
            <wp:extent cx="673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-883285</wp:posOffset>
            </wp:positionV>
            <wp:extent cx="927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2710" cy="825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-883285</wp:posOffset>
            </wp:positionV>
            <wp:extent cx="2101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0185"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-883285</wp:posOffset>
            </wp:positionV>
            <wp:extent cx="1174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-1034415</wp:posOffset>
            </wp:positionV>
            <wp:extent cx="2960370" cy="160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60370" cy="16002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Non-Dialysis CKD Patients (ANDES) – FibroGen</w:t>
      </w:r>
    </w:p>
    <w:p>
      <w:pPr>
        <w:spacing w:after="0" w:line="1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ANDES is a 922-patient Phase 3, randomized, double-blinded, placebo-controlled trial designed to evaluate the efficacy and safety of roxadustat vs. placebo for the treatment of anemia in patients with later stage CKD (stages 3, 4 or 5) who are not dialysis dependent. This study was conducted in the U.S. and 14 other countries. Treatment duration was up to 4.5 years, with average duration of 1.7 years. Baseline hemoglobin levels averaged 9.1 g/dL in both the roxadustat (N=616) and the placebo (N=306) arms.</w:t>
      </w:r>
    </w:p>
    <w:p>
      <w:pPr>
        <w:spacing w:after="0" w:line="74" w:lineRule="exact"/>
        <w:rPr>
          <w:sz w:val="20"/>
          <w:szCs w:val="20"/>
          <w:color w:val="auto"/>
        </w:rPr>
      </w:pPr>
    </w:p>
    <w:p>
      <w:pPr>
        <w:ind w:left="740" w:right="260" w:hanging="363"/>
        <w:spacing w:after="0" w:line="273"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primary efficacy endpoint: roxadustat was superior to placebo in mean hemoglobin change from baseline to the average over Weeks 28 to 52 (2.00 vs. 0.16 g/dL, respectively, p&lt;0.0001).</w:t>
      </w:r>
    </w:p>
    <w:p>
      <w:pPr>
        <w:spacing w:after="0" w:line="58" w:lineRule="exact"/>
        <w:rPr>
          <w:rFonts w:ascii="Times New Roman" w:cs="Times New Roman" w:eastAsia="Times New Roman" w:hAnsi="Times New Roman"/>
          <w:sz w:val="18"/>
          <w:szCs w:val="18"/>
          <w:color w:val="auto"/>
        </w:rPr>
      </w:pPr>
    </w:p>
    <w:p>
      <w:pPr>
        <w:ind w:left="740" w:right="80" w:hanging="363"/>
        <w:spacing w:after="0" w:line="304" w:lineRule="auto"/>
        <w:tabs>
          <w:tab w:leader="none" w:pos="7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 primary efficacy endpoint: a higher proportion of roxadustat-treated patients (86.0%) achieved a hemoglobin response in the first 24 weeks (defined as achieving a hemoglobin level of at least 11 g/dL and a hemoglobin increase of at least 1 g/dL) as compared to placebo (6.6%), p=0.0007.</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20"/>
          </w:cols>
          <w:pgMar w:left="240" w:top="545" w:right="339" w:bottom="1440" w:gutter="0" w:footer="0" w:header="0"/>
          <w:type w:val="continuous"/>
        </w:sectPr>
      </w:pPr>
    </w:p>
    <w:bookmarkStart w:id="6" w:name="page7"/>
    <w:bookmarkEnd w:id="6"/>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In a pre-specified secondary efficacy analysis, roxadustat reduced the risk of rescue therapy by 81% (hazard ratio (HR)=0.19) defined as the time to first use of blood transfusion, administration of an ESA or intravenous (“IV”) iron in the first 52 weeks of treatment, p&lt;0.0001. In addition, roxadustat reduced the risk of blood transfusion by 74% (HR=0.26) in the time to first blood transfusion during the first 52 weeks of treatment, p&lt;0.0001.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Incident Dialysis CKD Patients Study (HIMALAYAS) – FibroGen</w:t>
      </w:r>
    </w:p>
    <w:p>
      <w:pPr>
        <w:spacing w:after="0" w:line="11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HIMALAYAS is a 1,043-patient Phase 3 randomized, open-label, active-controlled trial to assess the efficacy and safety of roxadustat compared to epoetin alfa, an ESA, for the treatment of anemia in CKD patients who have newly initiated dialysis treatment for end-stage renal disease (“ESRD”) and have had minimal or no exposure to an ESA prior to study participation. This study was conducted in the U.S. and 17 other countries. Treatment duration was up to 4.4 years, with mean duration of 1.8 years. Mean baseline hemoglobin was 8.43 g/dL in the roxadustat arm (N=522) and 8.46 g/dL in the epoetin alfa arm (N=521).</w:t>
      </w:r>
    </w:p>
    <w:p>
      <w:pPr>
        <w:spacing w:after="0" w:line="61" w:lineRule="exact"/>
        <w:rPr>
          <w:sz w:val="20"/>
          <w:szCs w:val="20"/>
          <w:color w:val="auto"/>
        </w:rPr>
      </w:pPr>
    </w:p>
    <w:p>
      <w:pPr>
        <w:ind w:left="740" w:right="140" w:hanging="363"/>
        <w:spacing w:after="0" w:line="255"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primary efficacy endpoint: the mean hemoglobin change from baseline to the average over Weeks 28 to 52 was 2.57 g/dL (roxadustat) vs. 2.36 g/dL (epoetin alfa), a least squares mean difference of 0.18 g/dL, with the 95% confidence interval (“CI”) of (0.08, 0.29). The non-inferiority criteria was met as the lower bound of the 95% CI was well above the non-inferiority margin of -0.75 g/dL, and superiority over epoetin alfa was also achieved, p=0.0005.</w:t>
      </w:r>
    </w:p>
    <w:p>
      <w:pPr>
        <w:spacing w:after="0" w:line="73" w:lineRule="exact"/>
        <w:rPr>
          <w:rFonts w:ascii="Times New Roman" w:cs="Times New Roman" w:eastAsia="Times New Roman" w:hAnsi="Times New Roman"/>
          <w:sz w:val="18"/>
          <w:szCs w:val="18"/>
          <w:color w:val="auto"/>
        </w:rPr>
      </w:pPr>
    </w:p>
    <w:p>
      <w:pPr>
        <w:ind w:left="740" w:hanging="363"/>
        <w:spacing w:after="0" w:line="255"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primary efficacy endpoint: roxadustat met the non-inferiority criteria compared to epoetin alfa: 88.2% of the roxadustat-treated patients achieved a hemoglobin response in the first 24 weeks (defined as achieving a hemoglobin level of at least 11 g/dL and a hemoglobin increase of at least 1 g/dL) compared to an 84.5% responder rate in the epoetin alfa arm; lower bound of the 95% CI (-0.9%, 7.6%) of the treatment difference in responder rate is well above the non-inferiority margin of -15%.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Roxadustat-treated patients had a statistically significant reduction in hepcidin, a key regulator of iron metabolism, as compared to ESA-treated patients.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Roxadustat was shown to increase hemoglobin regardless of baseline inflammation status.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Stable Dialysis CKD Patients Study (SIERRAS) – FibroGen</w:t>
      </w:r>
    </w:p>
    <w:p>
      <w:pPr>
        <w:spacing w:after="0" w:line="1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SIERRAS is a 741-patient U.S. Phase 3, randomized, open-label, active-controlled trial to assess the efficacy and safety of roxadustat compared to epoetin alfa for the treatment of anemia (in maintaining hemoglobin level) in dialysis CKD patients who were receiving stable doses of ESA prior to study participation. Treatment duration was up to 3.5 years, with a mean duration of 1.9 years. Mean baseline hemoglobin levels were 10.3 g/dL in both roxadustat and epoetin alfa arms.</w:t>
      </w:r>
    </w:p>
    <w:p>
      <w:pPr>
        <w:spacing w:after="0" w:line="74" w:lineRule="exact"/>
        <w:rPr>
          <w:sz w:val="20"/>
          <w:szCs w:val="20"/>
          <w:color w:val="auto"/>
        </w:rPr>
      </w:pPr>
    </w:p>
    <w:p>
      <w:pPr>
        <w:ind w:left="740" w:right="160" w:hanging="363"/>
        <w:spacing w:after="0" w:line="225" w:lineRule="exact"/>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primary efficacy endpoint: the mean hemoglobin change from baseline to the average over Weeks 28 to 52 was 0.39 g/dL (roxadustat) vs. -0.09 g/dL (epoetin alfa), a least squares mean treatment difference of 0.48 g/dL (95% CI 0.37, 0.59). Roxadustat met the non-inferiority criteria as the lower bound of 95% CI was well above the non-inferiority margin 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0.75 g/dL. Roxadustat also achieved superiority, p&lt;0.0001.</w:t>
      </w:r>
    </w:p>
    <w:p>
      <w:pPr>
        <w:spacing w:after="0" w:line="68" w:lineRule="exact"/>
        <w:rPr>
          <w:rFonts w:ascii="Times New Roman" w:cs="Times New Roman" w:eastAsia="Times New Roman" w:hAnsi="Times New Roman"/>
          <w:sz w:val="18"/>
          <w:szCs w:val="18"/>
          <w:color w:val="auto"/>
        </w:rPr>
      </w:pPr>
    </w:p>
    <w:p>
      <w:pPr>
        <w:ind w:left="740" w:right="200" w:hanging="363"/>
        <w:spacing w:after="0" w:line="255"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primary efficacy endpoint: the mean hemoglobin change from baseline to the average over Weeks 28 to 36 was 0.54 g/dL (roxadustat) vs. -0.02 g/dL (epoetin alfa), a least squares mean treatment difference of 0.53 g/dL with a 95% CI (0.39, 0.67). Roxadustat met the non-inferiority criteria as the lower bound of the 95% CI was well above the non-inferiority margin of -0.75 g/dL. Roxadustat also achieved superiority over epoetin alfa, p&lt;0.0001.</w:t>
      </w:r>
    </w:p>
    <w:p>
      <w:pPr>
        <w:spacing w:after="0" w:line="180" w:lineRule="exact"/>
        <w:rPr>
          <w:sz w:val="20"/>
          <w:szCs w:val="20"/>
          <w:color w:val="auto"/>
        </w:rPr>
      </w:pPr>
    </w:p>
    <w:p>
      <w:pPr>
        <w:ind w:right="500"/>
        <w:spacing w:after="0" w:line="259" w:lineRule="auto"/>
        <w:rPr>
          <w:sz w:val="20"/>
          <w:szCs w:val="20"/>
          <w:color w:val="auto"/>
        </w:rPr>
      </w:pPr>
      <w:r>
        <w:rPr>
          <w:rFonts w:ascii="Times New Roman" w:cs="Times New Roman" w:eastAsia="Times New Roman" w:hAnsi="Times New Roman"/>
          <w:sz w:val="18"/>
          <w:szCs w:val="18"/>
          <w:color w:val="auto"/>
        </w:rPr>
        <w:t>Roxadustat-treated patients had a statistically significant reduction in hepcidin as compared to ESA-treated patients. Roxadustat was shown to increase hemoglobin regardless of baseline inflammation status. In addition, in the pre-specified secondary efficacy analysis, roxadustat-treated patients had a 33% reduction in the risk of blood transfusion compared to epoetin alfa (HR=0.67) in the time to first blood transfusion during treatment, p=0.0337.</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 ANDES, HIMALAYAS, and SIERRAS</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preliminary safety analyses of each of these three studies show an overall safety profile consistent with the results observed in prior roxadustat studies. The adverse events reported are consistent with those expected in these study populations with similar background diseases. Fully adjudicated MACE results from the pooled safety analyses both for non-dialysis and dialysis CKD populations for the U.S. and EU, are anticipated to be completed in the second quarter of 2019, and we intend to submit a U.S. NDA in the third quarter of 2019. We expect Astellas to submit an MAA to the EMA shortly thereafter. Both the U.S. NDA and European MAA for roxadustat are expected to cover anemia associated with dialysis dependent CKD and non-dialysis-dependent CKD.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Non-Dialysis CKD Patients (OLYMPUS) – AstraZeneca</w:t>
      </w:r>
    </w:p>
    <w:p>
      <w:pPr>
        <w:spacing w:after="0" w:line="21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OLYMPUS is AstraZeneca’s Phase 3, randomized, double-blinded, placebo-controlled trial designed to evaluate the efficacy and safety of roxadustat vs. placebo for the treatment of patients with anemia in CKD stages 3, 4 or 5 whose disease progression is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7" w:name="page8"/>
    <w:bookmarkEnd w:id="7"/>
    <w:p>
      <w:pPr>
        <w:ind w:right="80"/>
        <w:spacing w:after="0" w:line="259" w:lineRule="auto"/>
        <w:rPr>
          <w:sz w:val="20"/>
          <w:szCs w:val="20"/>
          <w:color w:val="auto"/>
        </w:rPr>
      </w:pPr>
      <w:r>
        <w:rPr>
          <w:rFonts w:ascii="Times New Roman" w:cs="Times New Roman" w:eastAsia="Times New Roman" w:hAnsi="Times New Roman"/>
          <w:sz w:val="18"/>
          <w:szCs w:val="18"/>
          <w:color w:val="auto"/>
        </w:rPr>
        <w:t>moderate to severe and who are non-dialysis dependent. The trial met its primary efficacy endpoint by demonstrating a statistically-significant and clinically-meaningful improvement in mean change from baseline in hemoglobin levels averaged over Weeks 28 to 52 vs. placebo. The trial evaluated 2,781 patients in 26 countries.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Non-Dialysis CKD Patients (ALPS) – Astellas</w:t>
      </w:r>
    </w:p>
    <w:p>
      <w:pPr>
        <w:spacing w:after="0" w:line="11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ALPS is Astellas’ Phase 3, randomized, double-blind, placebo-controlled study of the efficacy and safety of roxadustat for the treatment of anemia in CKD patients not on dialysis. The trial met its primary endpoints by demonstrating superiority in efficacy vs. placebo in terms of both hemoglobin response rate in the first 24 weeks and hemoglobin change from baseline at Weeks 28 to 52. The preliminary safety analysis for this trial shows an overall event profile consistent with the results seen in previous roxadustat studies in CKD patients with anemia.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Stable Dialysis CKD Patients (ROCKIES) – AstraZeneca</w:t>
      </w:r>
    </w:p>
    <w:p>
      <w:pPr>
        <w:spacing w:after="0" w:line="11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ROCKIES is AstraZeneca’s Phase 3, randomized, open-label, active-controlled trial designed to assess the efficacy and safety of roxadustat vs. epoetin alfa, for the treatment of anemia in patients with CKD who are dialysis dependent. The trial met its primary efficacy endpoint by demonstrating a statistically-significant improvement in mean change from baseline in hemoglobin levels averaged over Weeks 28 to 52 vs. epoetin alfa. The trial evaluated 2,133 patients in 18 countries.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Stable Dialysis CKD Patients (PYRENEES) – Astellas</w:t>
      </w:r>
    </w:p>
    <w:p>
      <w:pPr>
        <w:spacing w:after="0" w:line="11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PYRENEES is Astellas’ Phase 3, randomized, active-controlled trial designed to assess the efficacy and safety of roxadustat vs. epoetin alfa or darbepoetin alfa, for the treatment of anemia in patients with CKD who are dialysis dependent. The trial, in 838 patients, met its primary efficacy endpoint.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Glomerular Filtration Rate Attenuation</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believe there could be significant clinical benefit of roxadustat treatment in the non-dialysis-dependent CKD patients if we are able to show the attenuation of renal disease progression. The estimated glomerular filtration rate (“eGFR”) is a measure of the filtration function of the kidney and renal disease progression. In the preliminary analysis of our pooled Phase 3 non-dialysis studies (ANDES, ALPS, and OLYMPUS) of patients with eGFR 15 or higher (CKD stages 3 and 4), the one-year decline in eGFR in roxadustat treated patients was shown to be significantly less than that in placebo treated patients.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Anemia in CKD</w:t>
      </w:r>
    </w:p>
    <w:p>
      <w:pPr>
        <w:spacing w:after="0" w:line="11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Anemia can be a serious medical condition in which patients have insufficient red blood cells and low levels of hemoglobin (“Hb”), a protein in red blood cells that carries oxygen to cells throughout the body.</w:t>
      </w:r>
    </w:p>
    <w:p>
      <w:pPr>
        <w:spacing w:after="0" w:line="16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Anemia in CKD is associated with increased risk of hospitalization, cardiovascular complications, and death. In addition, anemia frequently causes significant fatigue, cognitive dysfunction, and reduced quality of life. Severe anemia is common in patients with CKD, cancer, MDS, inflammatory diseases, and other serious illnesses.</w:t>
      </w:r>
    </w:p>
    <w:p>
      <w:pPr>
        <w:spacing w:after="0" w:line="17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Anemia is particularly prevalent in patients with CKD. The prevalence of CKD in the adult population is estimated at 10-12% globally, and is generally a progressive disease characterized by gradual loss of kidney function that may eventually lead to kidney failure or ESRD requiring dialysis or a kidney transplant to survive. Blood transfusion is used for treating life-threatening severe anemia. However, blood transfusions reduce the patient’s opportunity for a kidney transplant, increase risk of infections and the risk of complications such as heart failure and allergic reactions.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five stages of CKD that are primarily defined by the Glomerular Filtration Rate (“GFR”).</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Stages of CKD and Prevalence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217805</wp:posOffset>
            </wp:positionV>
            <wp:extent cx="5727065" cy="1959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27065" cy="195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0" w:hanging="554"/>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prevalence is estimated for adults 20 years of age or older</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GFR: Glomerular Filtration Rate (ml/min/1.73 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Sources: The prevalence of stage 1 through stage 4 CKD was calculated based on 2016 estimates by the United States Renal Data System (“USRDS”) presented in the 2018 USRDS annual data report: Epidemiology of kidney disease in the United States (“2018 USRDS ADR”), using data from the National Health and Nutrition Examination Survey (“NHANES”) 2013-2016 and 2016 data from the U.S. Census Bureau. The prevalence of stage 5 CKD was calculated based on 2016 data from the 2018 USRDS ADR using data from the U.S. National ESRD database, NHANES 2013-2016 and 2016 data from the U.S. Census Bureau.</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prevalence rate of anemia in patients with Hb&lt;12 g/dL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157480</wp:posOffset>
            </wp:positionV>
            <wp:extent cx="4230370" cy="18503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30370" cy="185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Sources: The prevalence of anemia in stage 1 through stage 4 CKD and stage 5 NDD-CKD was derived from Stauffer and Fan, Prevalence of Anemia in Chronic Kidney Disease in the United States, PLoS ONE (2014). The prevalence of anemia in patients undergoing dialysis was derived from Goodkin et al., Naturally Occurring Higher Hemoglobin Concentration Does Not Increase Mortality among Hemodialysis Patients, J Am Soc Nephrol (2011).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9" w:name="page10"/>
    <w:bookmarkEnd w:id="9"/>
    <w:p>
      <w:pPr>
        <w:ind w:right="40"/>
        <w:spacing w:after="0" w:line="251" w:lineRule="auto"/>
        <w:rPr>
          <w:sz w:val="20"/>
          <w:szCs w:val="20"/>
          <w:color w:val="auto"/>
        </w:rPr>
      </w:pPr>
      <w:r>
        <w:rPr>
          <w:rFonts w:ascii="Times New Roman" w:cs="Times New Roman" w:eastAsia="Times New Roman" w:hAnsi="Times New Roman"/>
          <w:sz w:val="18"/>
          <w:szCs w:val="18"/>
          <w:color w:val="auto"/>
        </w:rPr>
        <w:t>In the U.S., according to the USRDS, a majority of dialysis-eligible CKD patients are currently on dialysis. Of the approximately 509,000 patients receiving dialysis in the U.S., approximately 78% are being treated with ESAs for anemia. Despite the presence of anemia in stages 3 and 4 CKD patients in clinical practice, patients typically do not receive ESA treatment for their anemia until they initiate dialysis. As of 2016, approximately 13% of U.S. NDD-CKD patients were being treated with ESAs prior to initiation of dialysis (2018 USRDS ADR). In many CKD patients, the disease progresses gradually over decades and patients can spend years suffering from the symptoms and negative health effects of anemia before they receive treatment. Many of these patients die from cardiovascular events before they initiate dialysis.</w:t>
      </w:r>
    </w:p>
    <w:p>
      <w:pPr>
        <w:spacing w:after="0" w:line="184"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color w:val="auto"/>
        </w:rPr>
        <w:t>According to IQVIA (formerly Quintiles and IMS Health) MIDAS™ reports, for the twelve months ending September 2018, global ESA sales in all anemia indications totaled $7.6 billion, including $3.5 billion in the U.S.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 A Novel, Orally Administered Treatment for Anemia</w:t>
      </w:r>
    </w:p>
    <w:p>
      <w:pPr>
        <w:spacing w:after="0" w:line="11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Roxadustat is an orally administered small molecule that corrects anemia by a mechanism of action that is different from that of ESAs. As a HIF-PH inhibitor, roxadustat activates a response that is naturally activated when the body responds to reduced oxygen levels in the blood, such as when a person adapts to high altitude. The response activated by roxadustat involves the regulation of multiple, complementary processes to promote erythropoiesis and increase the blood’s oxygen carrying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133985</wp:posOffset>
            </wp:positionV>
            <wp:extent cx="5239385" cy="34397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39385" cy="343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Coordinated erythropoiesis includes both the stimulation of red blood cell progenitors, by increasing the body’s production of erythropoietin (“EPO”), and an increase in iron availability for hemoglobin synthesis. Patients taking roxadustat typically have a transient increase in circulating endogenous EPO levels at peak concentration within or near the physiologic range naturally experienced by humans adapting to hypoxic conditions such as at high altitude, following blood donation or impaired lung function, such as pulmonary edema. By contrast, ESAs act only to stimulate red blood cell progenitors without a corresponding increase in iron availability, and are typically dosed at well above the natural physiologic range of EPO. The sudden demand for iron stimulated by ESA-induced erythropoiesis can lead to functional or absolute iron deficiency. We believe these high doses of ESAs are a main cause of the significant safety issues that have been attributed to this class of drugs. In contrast, the differentiated mechanism of action of roxadustat, which involves induction of the body’s own natural pathways to achieve a more complete erythropoiesis, has the potential to provide a safer and more effective treatment of anemia, including in the presence of inflammation, which normally limits iron availability.</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545"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We believe that roxadustat has the potential to offer safety, efficacy, reimbursement, and convenience advantages over ESAs.</w:t>
      </w:r>
    </w:p>
    <w:p>
      <w:pPr>
        <w:spacing w:after="0" w:line="2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Our clinical trials to date have shown that roxadustat can correct and maintain hemoglobin levels of anemic CKD patients with lower circulating EPO levels than what has historically been reported with treatment by ESAs to minimize red blood cell transfusion risks, even in the presence of inflammation, and without routine IV iron supplementation, thereby offering potential safety and efficacy benefits over ESAs.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for Reduced Hepcidin Levels and Anemia Correction Without Routine IV Iron Supplementation</w:t>
      </w:r>
    </w:p>
    <w:p>
      <w:pPr>
        <w:spacing w:after="0" w:line="11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An important differentiator of roxadustat from ESAs is that roxadustat also mobilizes iron from the body’s iron stores. It has been consistently shown to correct anemia in CKD regardless of iron-repletion status, whereas iron repletion is required as a condition for treatment under ESA labels. Furthermore, roxadustat can correct and maintain hemoglobin without routine IV iron supplementation.</w:t>
      </w:r>
    </w:p>
    <w:p>
      <w:pPr>
        <w:spacing w:after="0" w:line="17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IV iron supplementation is routinely used to support anemia correction in a majority of hemodialysis patients treated with ESAs in the U.S. Many CKD patients have deficient iron stores, or absolute iron deficiency, and cannot absorb enough iron from diet or oral iron supplements to correct this deficiency. Physicians administer IV iron to ensure these patients are iron replete prior to initiating ESA treatment and continue to receive IV iron to mitigate iron depletion caused by ESA-mediated erythropoiesis. Additionally, many CKD patients who have adequate iron stores suffer from functional iron deficiency.</w:t>
      </w:r>
    </w:p>
    <w:p>
      <w:pPr>
        <w:spacing w:after="0" w:line="180"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8"/>
          <w:szCs w:val="18"/>
          <w:color w:val="auto"/>
        </w:rPr>
        <w:t>While IV iron can help correct anemia when used in combination with ESAs, published studies have suggested both acute and chronic risk of morbidity and mortality associated with the use of IV iron. Increased use of IV iron has been associated with increased risk of hospitalization and death.</w:t>
      </w:r>
    </w:p>
    <w:p>
      <w:pPr>
        <w:spacing w:after="0" w:line="1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believe that elevated levels of hepcidin, the major hormone that regulates iron metabolism, contributes to both absolute and functional iron deficiency. However, our clinical trials have not only consistently shown roxadustat’s ability to correct anemia without use of routine IV iron supplementation, but they have also shown a reduction in hepcidin levels with roxadustat treatment.</w:t>
      </w:r>
    </w:p>
    <w:p>
      <w:pPr>
        <w:spacing w:after="0" w:line="1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Minimizing IV iron use helps to avoid the safety risks associated with IV, and, because the cost of oral iron is significantly less than the cost of IV iron, treatment with roxadustat could also potentially confer significant costs savings from not requiring routine IV iron supplementation.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for Anemia Correction for Patient Populations Who are Hyporesponsive to ESAs</w:t>
      </w:r>
    </w:p>
    <w:p>
      <w:pPr>
        <w:spacing w:after="0" w:line="11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Incident dialysis patients and patients who have chronic inflammation are often hyporesponsive to ESAs, which necessitates the use of higher doses of ESAs to increase hemoglobin levels, thus increasing both safety risk and treatment cost. In contrast, roxadustat has been shown to be similarly effective in patients with inflammation as those without inflammation without increasing dose. Roxadustat’s ability to overcome the suppressive effects of inflammation on erythropoiesis also may enable patients to safely achieve higher hemoglobin levels, which may reduce red blood cell transfusions (as reported in the U.S. Phase 3 study in dialysis patients (SIERRAS) earlier in this section). We believe roxadustat’s consistent treatment effect on CKD anemia regardless of inflammation status may confer clinical safety and efficacy benefits.</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While we have not finished analyzing our U.S. and Europe Phase 3 trial data, our China Phase 3 trials showed that roxadustat was able, in these smaller studies, to increase hemoglobin regardless of baseline inflammation status: both in dialysis-dependent CKD patients and non-dialysis-dependent CKD patients (as described in the section below captioned “</w:t>
      </w:r>
      <w:r>
        <w:rPr>
          <w:rFonts w:ascii="Times New Roman" w:cs="Times New Roman" w:eastAsia="Times New Roman" w:hAnsi="Times New Roman"/>
          <w:sz w:val="18"/>
          <w:szCs w:val="18"/>
          <w:i w:val="1"/>
          <w:iCs w:val="1"/>
          <w:color w:val="auto"/>
        </w:rPr>
        <w:t>Roxadustat for the Treatment of Anemia in Chronic Kidney Disease in China.</w:t>
      </w:r>
      <w:r>
        <w:rPr>
          <w:rFonts w:ascii="Times New Roman" w:cs="Times New Roman" w:eastAsia="Times New Roman" w:hAnsi="Times New Roman"/>
          <w:sz w:val="18"/>
          <w:szCs w:val="18"/>
          <w:color w:val="auto"/>
        </w:rPr>
        <w:t>”). Our Phase 2 clinical trials showed similar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for Anemia Correction with Moderate EPO Levels</w:t>
      </w:r>
    </w:p>
    <w:p>
      <w:pPr>
        <w:spacing w:after="0" w:line="11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Randomized trials have suggested that high doses of ESAs administered in an attempt to achieve a target hemoglobin level may cause the safety issues associated with ESA therapy. These high ESA doses in the inflamed/hyporesponsive patients result in serum EPO levels much higher than physiological range. In contrast, the level of endogenous EPO elevation among patients treated with roxadustat is typically within or near the range observed when ascending to a higher elevation or giving blood. Treating anemia while maintaining lower circulating EPO levels may mitigate, or even avoid, the risks from exposure to supraphysiologic erythropoietin levels in ESA therapy, and may potentially enable a more effective and safe treatment of anemia in CKD patients.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graph depicts:</w:t>
      </w:r>
    </w:p>
    <w:p>
      <w:pPr>
        <w:spacing w:after="0" w:line="111" w:lineRule="exact"/>
        <w:rPr>
          <w:sz w:val="20"/>
          <w:szCs w:val="20"/>
          <w:color w:val="auto"/>
        </w:rPr>
      </w:pPr>
    </w:p>
    <w:p>
      <w:pPr>
        <w:ind w:left="740" w:right="40" w:hanging="363"/>
        <w:spacing w:after="0" w:line="273"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circulating endogenous EPO levels in natural physiologic adaptations, such as adjustment to high altitude, blood loss, or pulmonary edema [left, </w:t>
      </w:r>
      <w:r>
        <w:rPr>
          <w:rFonts w:ascii="Times New Roman" w:cs="Times New Roman" w:eastAsia="Times New Roman" w:hAnsi="Times New Roman"/>
          <w:sz w:val="1"/>
          <w:szCs w:val="1"/>
          <w:color w:val="auto"/>
        </w:rPr>
        <w:drawing>
          <wp:inline distT="0" distB="0" distL="0" distR="0">
            <wp:extent cx="92710" cy="3365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2710" cy="3365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w:t>
      </w:r>
    </w:p>
    <w:p>
      <w:pPr>
        <w:spacing w:after="0" w:line="58" w:lineRule="exact"/>
        <w:rPr>
          <w:rFonts w:ascii="Times New Roman" w:cs="Times New Roman" w:eastAsia="Times New Roman" w:hAnsi="Times New Roman"/>
          <w:sz w:val="18"/>
          <w:szCs w:val="18"/>
          <w:color w:val="auto"/>
        </w:rPr>
      </w:pPr>
    </w:p>
    <w:p>
      <w:pPr>
        <w:ind w:left="740" w:right="420" w:hanging="363"/>
        <w:spacing w:after="0" w:line="273"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transient peak endogenous EPO levels estimated for CKD patients who achieved a hemoglobin response to therapeutic doses of roxadustat in our Phase 2 clinical studies [middle, </w:t>
      </w:r>
      <w:r>
        <w:rPr>
          <w:rFonts w:ascii="Times New Roman" w:cs="Times New Roman" w:eastAsia="Times New Roman" w:hAnsi="Times New Roman"/>
          <w:sz w:val="1"/>
          <w:szCs w:val="1"/>
          <w:color w:val="auto"/>
        </w:rPr>
        <w:drawing>
          <wp:inline distT="0" distB="0" distL="0" distR="0">
            <wp:extent cx="160020" cy="590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0020" cy="59055"/>
                    </a:xfrm>
                    <a:prstGeom prst="rect">
                      <a:avLst/>
                    </a:prstGeom>
                    <a:noFill/>
                    <a:ln>
                      <a:noFill/>
                    </a:ln>
                  </pic:spPr>
                </pic:pic>
              </a:graphicData>
            </a:graphic>
          </wp:inline>
        </w:drawing>
      </w:r>
      <w:r>
        <w:rPr>
          <w:rFonts w:ascii="Times New Roman" w:cs="Times New Roman" w:eastAsia="Times New Roman" w:hAnsi="Times New Roman"/>
          <w:sz w:val="18"/>
          <w:szCs w:val="18"/>
          <w:color w:val="auto"/>
        </w:rPr>
        <w:t>]; and</w:t>
      </w:r>
    </w:p>
    <w:p>
      <w:pPr>
        <w:spacing w:after="0" w:line="58" w:lineRule="exact"/>
        <w:rPr>
          <w:rFonts w:ascii="Times New Roman" w:cs="Times New Roman" w:eastAsia="Times New Roman" w:hAnsi="Times New Roman"/>
          <w:sz w:val="18"/>
          <w:szCs w:val="18"/>
          <w:color w:val="auto"/>
        </w:rPr>
      </w:pPr>
    </w:p>
    <w:p>
      <w:pPr>
        <w:ind w:left="740" w:right="20" w:hanging="363"/>
        <w:spacing w:after="0" w:line="259"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peak circulating recombinant EPO levels resulting from IV ESA doses in distributions reported by the Dialysis Outcomes and Practice Patterns Study for the fourth quarter of 2011 in the U.S. (after bundling was initiated and when the hemoglobin target in ESA labeling was in the range of 10-11 g/dL [right, </w:t>
      </w:r>
      <w:r>
        <w:rPr>
          <w:rFonts w:ascii="Times New Roman" w:cs="Times New Roman" w:eastAsia="Times New Roman" w:hAnsi="Times New Roman"/>
          <w:sz w:val="1"/>
          <w:szCs w:val="1"/>
          <w:color w:val="auto"/>
        </w:rPr>
        <w:drawing>
          <wp:inline distT="0" distB="0" distL="0" distR="0">
            <wp:extent cx="100965" cy="4191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0965" cy="41910"/>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132715</wp:posOffset>
            </wp:positionV>
            <wp:extent cx="4272280" cy="3019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72280" cy="301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60" w:firstLine="6"/>
        <w:spacing w:after="0" w:line="252" w:lineRule="auto"/>
        <w:tabs>
          <w:tab w:leader="none" w:pos="10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Milledge &amp; Cotes (1985) J Appl Physiol 59:360;</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Goldberg et al. (1993), Clin Biochem 26:183, Maeda et al. (1992), Int J Hematol 55:111;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Kato et al. (1994) Ren Fail 16:645; </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7"/>
          <w:szCs w:val="17"/>
          <w:color w:val="auto"/>
        </w:rPr>
        <w:t xml:space="preserve"> The transient peak endogenous EPO concentrations (“Cmax”), data for roxadustat was derived from a subset of 243 patients who achieved a hemoglobin response to roxadustat in our Phase 2 studies for whom we believe doses depicted approximated therapeutic doses. Hemoglobin target ranges for these patients were above the hemoglobin levels specified in the current ESA package insert for CKD patients. Only doses in those patients whose hemoglobin responded in Phase 2 studies are reflected in the figure. The subset of patients included 134 non-dialysis CKD patients treated to thrice-weekly, twice-weekly, or weekly doses of roxadustat for &gt;16 weeks. The subset also included 109 dialysis CKD patients, including incident dialysis patients whose anemia was corrected with therapeutic doses and stable dialysis patients who received maintenance doses. Cmax of endogenous EPO levels were not measured in all patients; instead the range of EPO Cmax levels were estimated based on data derived from a more limited number of patients in whom EPO levels were measured at various roxadustat doses and among whom there was substantial variation in measured EPO levels. Accordingly, individual patients who received roxadustat may have realized EPO Cmax levels significantly above or below these estimated levels. Moreover, the estimates reflected in the graph may not be reflective or predictive of actual EPO Cmax levels or ranges that will be realized in larger populations of patients receiving roxadustat in our Phase 3 clinical trials.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7"/>
          <w:szCs w:val="17"/>
          <w:color w:val="auto"/>
        </w:rPr>
        <w:t xml:space="preserve"> EPO Cmax was computed from ESA dose distributions based on Flaherty et al. (1990) Clin Pharmacol Ther 47:557.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Cholesterol Benefits</w:t>
      </w:r>
    </w:p>
    <w:p>
      <w:pPr>
        <w:spacing w:after="0" w:line="11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addition, in our Phase 2 and China Phase 3 clinical trials, we observed reductions in total cholesterol and an improvement in average high-density lipoprotein (“HDL”)/low-density lipoprotein (“LDL”) ratio. Since many CKD patients have high cholesterol levels, which contribute to cardiovascular-related morbidity and mortality, the improvement in the average HDL/LDL ratio observed with roxadustat treatment could confer a benefit to patients.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Reimbursement and Convenience Advantages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Potentially Differentiated Reimbursement Framework</w:t>
      </w:r>
    </w:p>
    <w:p>
      <w:pPr>
        <w:spacing w:after="0" w:line="11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ESAs are included in the Medicare Improvements for Patients and Providers Act bundled payment system in the dialysis-dependent CKD setting and reimbursed under Medicare Part B in the non-dialysis-dependent CKD setting. Based on our roxadustat data to date, we believe roxadustat has the potential to correct anemia through a differentiated mechanism of action and that offers different therapeutic effects than ESA and the potential to displace multiple drugs in current use (such as ESAs and IV iron), and/or those in development (such as agents for suppression of hepcidin). Although the bundle currently covers ESAs or other IV products encompassed by the bundle, due to the differentiated innovative nature of roxadustat, it is unclear whether roxadustat will be included in or excluded from the bundle. We believe that there may be commercial benefits in either event, however are unable to predict the potential benefits until further guidance from the Centers for Medicare and Medicaid Services becomes available.</w:t>
      </w:r>
    </w:p>
    <w:p>
      <w:pPr>
        <w:spacing w:after="0" w:line="18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In the non-dialysis CKD setting, we expect that roxadustat, an oral treatment, should be subject to Medicare Part D, which would allow physicians to prescribe roxadustat without the financial and reimbursement risk associated with purchasing and storing injectable ESAs. We believe that this should encourage significantly greater usage outside of the dialysis setting than injectable agents like ESA.</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Reduction of Other Medications</w:t>
      </w:r>
    </w:p>
    <w:p>
      <w:pPr>
        <w:spacing w:after="0" w:line="113" w:lineRule="exact"/>
        <w:rPr>
          <w:sz w:val="20"/>
          <w:szCs w:val="20"/>
          <w:color w:val="auto"/>
        </w:rPr>
      </w:pPr>
    </w:p>
    <w:p>
      <w:pPr>
        <w:ind w:right="400"/>
        <w:spacing w:after="0" w:line="304" w:lineRule="auto"/>
        <w:rPr>
          <w:sz w:val="20"/>
          <w:szCs w:val="20"/>
          <w:color w:val="auto"/>
        </w:rPr>
      </w:pPr>
      <w:r>
        <w:rPr>
          <w:rFonts w:ascii="Times New Roman" w:cs="Times New Roman" w:eastAsia="Times New Roman" w:hAnsi="Times New Roman"/>
          <w:sz w:val="17"/>
          <w:szCs w:val="17"/>
          <w:color w:val="auto"/>
        </w:rPr>
        <w:t>In addition to potentially eliminating routine IV iron supplementation, based on our Phase 2 and China Phase 3 clinical trial results to date, we believe that roxadustat has the potential to reduce the use of other medications frequently required in some CKD anemia patients, such as anti-hypertensives and statins.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Oral Administration</w:t>
      </w:r>
    </w:p>
    <w:p>
      <w:pPr>
        <w:spacing w:after="0" w:line="1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Many physicians that treat CKD patients, particularly primary care and family practice physicians, cardiologists, endocrinologists, and internists, do not typically stock or administer ESAs. An easily accessible oral agent that is dispensed by pharmacies could significantly increase the number of physicians treating anemia in patients with CKD, and therefore, the number of patients receiving treatment.</w:t>
      </w:r>
    </w:p>
    <w:p>
      <w:pPr>
        <w:spacing w:after="0" w:line="1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 addition, the oral administration of roxadustat potentially offers a significant convenience advantage for CKD patients who have yet to initiate dialysis and are therefore not regularly visiting a dialysis center. Patients can more easily self-administer medicine in any setting, rather than being subject to the inconvenience and restrictions of regular visits to physicians’ offices or infusion centers to receive treatment with ESAs.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Pharmacoeconomic Advantages</w:t>
      </w:r>
    </w:p>
    <w:p>
      <w:pPr>
        <w:spacing w:after="0" w:line="1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Based on our Phase 2 clinical trial results to date, we believe that roxadustat’s potential pharmacoeconomic advantages over ESA therapy may include safety (with a potential decrease in cardiovascular events and hospitalizations, with consequently lower associated treatment costs), lower administrative cost, reduction or elimination of IV iron and potentially other medications. If demonstrated in our Phase 3 studies, these pharmacoeconomic advantages may support reimbursement worldwide, including in Europe and China.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Opportunity for Roxadustat</w:t>
      </w:r>
    </w:p>
    <w:p>
      <w:pPr>
        <w:spacing w:after="0" w:line="11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believe that there is a significant opportunity for roxadustat to address markets currently served by injectable ESAs. According to IQVIA (formerly Quintiles and IMS Health) MIDAS™ reports, over the 12 months ending September 30, 2018, global ESA sales in all indications totaled $8.0 billion, driven primarily by $5.6 billion sold in the U.S. and Europe. We believe that a substantial portion of ESA sales are for CKD anemia. For example, Amgen reported in January 2019 that its ESA portfolio of EPOGEN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(epoetin alfa) and Aranesp® (darbepoetin alfa) had total 2018 worldwide sales of $2.6 billion, of which $2.3 billion was in nephrology where CKD patients are treated. We further believe that the number of patients requiring anemia therapy will grow steadily as the global CKD population and access to dialysis care continue to expand, particularly in China and other emerging markets including the rest of Asia, Latin America, Eastern Europe, the Middle East, and the Commonwealth of Independent States. In established markets, such as the U.S., as obesity, hypertension, and diabetes prevalence continue rising, and the mortality of ESRD patients decline, the prevalence of ESRD is expected to grow further. Recent research published in Journal of American Society of Nephrology predicts the prevalence of ESRD in the U.S. to increase by 29% - 68% by 2030 from the level in 2015, to between 971,000 to 1,259,000 in 2030. The USRDS estimates the total U.S. prevalence of ESRD as of 2016 at 724,075, including 509,014 patients on dialysis and 215,061 transplant recipients.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13" w:name="page14"/>
    <w:bookmarkEnd w:id="13"/>
    <w:p>
      <w:pPr>
        <w:jc w:val="both"/>
        <w:ind w:right="40"/>
        <w:spacing w:after="0" w:line="271" w:lineRule="auto"/>
        <w:rPr>
          <w:sz w:val="20"/>
          <w:szCs w:val="20"/>
          <w:color w:val="auto"/>
        </w:rPr>
      </w:pPr>
      <w:r>
        <w:rPr>
          <w:rFonts w:ascii="Times New Roman" w:cs="Times New Roman" w:eastAsia="Times New Roman" w:hAnsi="Times New Roman"/>
          <w:sz w:val="17"/>
          <w:szCs w:val="17"/>
          <w:color w:val="auto"/>
        </w:rPr>
        <w:t>Furthermore, we believe that there is a significant opportunity for roxadustat to address patient segments that are currently not effectively served by ESAs, such as anemia in the non-dialysis CKD patient population, which is substantially larger than the dialysis CKD patient population. Diabetes and hypertension are the leading causes of secondary CKD. Although we estimate approximately 36% of diabetic and 20% of hypertensive CKD patients are anemic (Hb&lt;12 g/dL), we believe the majority of these patients are currently untreated for anemia since they are under the care of primary care, family practice physicians, and other non-nephrology specialists, such as endocrinologists, diabetologists, cardiologists, and internists, where ESA therapies are not readily available.</w:t>
      </w:r>
    </w:p>
    <w:p>
      <w:pPr>
        <w:spacing w:after="0" w:line="1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believe that roxadustat may provide a safer option to address the CIA market, which was once comparable in size to the dialysis-dependent CKD anemia market. In addition, other types of anemias, including anemia related to inflammatory diseases, MDS, and surgical procedures requiring transfusions that are not addressed adequately with currently available therapies may be addressable opportunities.</w:t>
      </w:r>
    </w:p>
    <w:p>
      <w:pPr>
        <w:spacing w:after="0" w:line="17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To maximize the commercial potential for roxadustat, we incorporated several unique elements into our Phase 3 program. We have performed the first placebo-controlled Phase 3 studies in non-dialysis CKD patients to potentially demonstrate the benefits of anemia therapy and safety of roxadustat compared to placebo. We have also performed the largest Phase 3 study in incident dialysis anemia patients, who are at the highest risk for death, and are the most difficult patients to stabilize and treat for anemia in CKD. Based on data from our Phase 2 studies, we believe that roxadustat may offer a safer alternative to ESAs for this particularly vulnerable patient population. We are also evaluating the cardiovascular safety of roxadustat compared to placebo in non-dialysis CKD patients. Separately, we are evaluating cardiovascular safety of roxadustat compared to ESA in the dialysis population of CKD patients.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 and Phase 2 Clinical Trials</w:t>
      </w:r>
    </w:p>
    <w:p>
      <w:pPr>
        <w:spacing w:after="0" w:line="113" w:lineRule="exact"/>
        <w:rPr>
          <w:sz w:val="20"/>
          <w:szCs w:val="20"/>
          <w:color w:val="auto"/>
        </w:rPr>
      </w:pPr>
    </w:p>
    <w:p>
      <w:pPr>
        <w:ind w:right="700"/>
        <w:spacing w:after="0" w:line="273" w:lineRule="auto"/>
        <w:rPr>
          <w:sz w:val="20"/>
          <w:szCs w:val="20"/>
          <w:color w:val="auto"/>
        </w:rPr>
      </w:pPr>
      <w:r>
        <w:rPr>
          <w:rFonts w:ascii="Times New Roman" w:cs="Times New Roman" w:eastAsia="Times New Roman" w:hAnsi="Times New Roman"/>
          <w:sz w:val="18"/>
          <w:szCs w:val="18"/>
          <w:color w:val="auto"/>
        </w:rPr>
        <w:t>We have an extensive roxadustat clinical pharmacology program which includes many completed Phase 1 studies. Our Phase 2 program includes eight roxadustat studies, four in CKD non-dialysis patients and four in CKD dialysis patients, which achieved the following objectives:</w:t>
      </w:r>
    </w:p>
    <w:p>
      <w:pPr>
        <w:spacing w:after="0" w:line="59" w:lineRule="exact"/>
        <w:rPr>
          <w:sz w:val="20"/>
          <w:szCs w:val="20"/>
          <w:color w:val="auto"/>
        </w:rPr>
      </w:pPr>
    </w:p>
    <w:p>
      <w:pPr>
        <w:ind w:left="740" w:hanging="363"/>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optimal roxadustat dosing regimens for anemia correction and maintenance of hemoglobin response.</w:t>
      </w:r>
    </w:p>
    <w:p>
      <w:pPr>
        <w:spacing w:after="0" w:line="110" w:lineRule="exact"/>
        <w:rPr>
          <w:rFonts w:ascii="Times New Roman" w:cs="Times New Roman" w:eastAsia="Times New Roman" w:hAnsi="Times New Roman"/>
          <w:sz w:val="18"/>
          <w:szCs w:val="18"/>
          <w:color w:val="auto"/>
        </w:rPr>
      </w:pPr>
    </w:p>
    <w:p>
      <w:pPr>
        <w:ind w:left="740" w:right="160" w:hanging="363"/>
        <w:spacing w:after="0" w:line="273"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roxadustat’s potential to treat anemia in both non-dialysis and dialysis patients, including incident dialysis patients, the most unstable and high-risk CKD patient population.</w:t>
      </w:r>
    </w:p>
    <w:p>
      <w:pPr>
        <w:spacing w:after="0" w:line="58" w:lineRule="exact"/>
        <w:rPr>
          <w:rFonts w:ascii="Times New Roman" w:cs="Times New Roman" w:eastAsia="Times New Roman" w:hAnsi="Times New Roman"/>
          <w:sz w:val="18"/>
          <w:szCs w:val="18"/>
          <w:color w:val="auto"/>
        </w:rPr>
      </w:pPr>
    </w:p>
    <w:p>
      <w:pPr>
        <w:ind w:left="740" w:right="40" w:hanging="363"/>
        <w:spacing w:after="0" w:line="273"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substantial safety data indicating that roxadustat is well tolerated, appears safe, and could offer an improved cardiovascular profile relative to ESAs.</w:t>
      </w:r>
    </w:p>
    <w:p>
      <w:pPr>
        <w:spacing w:after="0" w:line="58" w:lineRule="exact"/>
        <w:rPr>
          <w:rFonts w:ascii="Times New Roman" w:cs="Times New Roman" w:eastAsia="Times New Roman" w:hAnsi="Times New Roman"/>
          <w:sz w:val="18"/>
          <w:szCs w:val="18"/>
          <w:color w:val="auto"/>
        </w:rPr>
      </w:pPr>
    </w:p>
    <w:p>
      <w:pPr>
        <w:ind w:left="740" w:hanging="363"/>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that roxadustat may be able to treat anemia without the need for IV iron supplementation.</w:t>
      </w:r>
    </w:p>
    <w:p>
      <w:pPr>
        <w:spacing w:after="0" w:line="110" w:lineRule="exact"/>
        <w:rPr>
          <w:rFonts w:ascii="Times New Roman" w:cs="Times New Roman" w:eastAsia="Times New Roman" w:hAnsi="Times New Roman"/>
          <w:sz w:val="18"/>
          <w:szCs w:val="18"/>
          <w:color w:val="auto"/>
        </w:rPr>
      </w:pPr>
    </w:p>
    <w:p>
      <w:pPr>
        <w:ind w:left="740" w:hanging="363"/>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that roxadustat can reduce hepcidin levels and potentially treat anemia in a significant subset of patients with inflammation.</w:t>
      </w: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40"/>
          </w:cols>
          <w:pgMar w:left="240" w:top="54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following chart summarizes the design of our completed Phase 2 studies outside of Japan and China and the primary objectives of each study.</w:t>
      </w:r>
    </w:p>
    <w:p>
      <w:pPr>
        <w:spacing w:after="0" w:line="10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Completed Phase 2 Studies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Study Number</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21"/>
                <w:szCs w:val="21"/>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Comparator</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Study</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CKD Patient</w:t>
            </w: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Study</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Roxadustat</w:t>
            </w:r>
          </w:p>
        </w:tc>
        <w:tc>
          <w:tcPr>
            <w:tcW w:w="80" w:type="dxa"/>
            <w:vAlign w:val="bottom"/>
          </w:tcPr>
          <w:p>
            <w:pPr>
              <w:spacing w:after="0"/>
              <w:rPr>
                <w:sz w:val="24"/>
                <w:szCs w:val="24"/>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Patients</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0" w:type="dxa"/>
            <w:vAlign w:val="bottom"/>
            <w:vMerge w:val="restart"/>
          </w:tcPr>
          <w:p>
            <w:pPr>
              <w:spacing w:after="0"/>
              <w:rPr>
                <w:sz w:val="9"/>
                <w:szCs w:val="9"/>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Population</w:t>
            </w:r>
          </w:p>
        </w:tc>
        <w:tc>
          <w:tcPr>
            <w:tcW w:w="80" w:type="dxa"/>
            <w:vAlign w:val="bottom"/>
            <w:vMerge w:val="restart"/>
          </w:tcPr>
          <w:p>
            <w:pPr>
              <w:spacing w:after="0"/>
              <w:rPr>
                <w:sz w:val="9"/>
                <w:szCs w:val="9"/>
                <w:color w:val="auto"/>
              </w:rPr>
            </w:pPr>
          </w:p>
        </w:tc>
        <w:tc>
          <w:tcPr>
            <w:tcW w:w="13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100" w:type="dxa"/>
            <w:vAlign w:val="bottom"/>
            <w:vMerge w:val="restart"/>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Patients</w:t>
            </w:r>
          </w:p>
        </w:tc>
        <w:tc>
          <w:tcPr>
            <w:tcW w:w="8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380" w:type="dxa"/>
            <w:vAlign w:val="bottom"/>
            <w:gridSpan w:val="2"/>
          </w:tcPr>
          <w:p>
            <w:pPr>
              <w:spacing w:after="0"/>
              <w:rPr>
                <w:sz w:val="9"/>
                <w:szCs w:val="9"/>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Patients in Study</w:t>
            </w:r>
          </w:p>
        </w:tc>
        <w:tc>
          <w:tcPr>
            <w:tcW w:w="10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(Weeks)</w:t>
            </w:r>
          </w:p>
        </w:tc>
        <w:tc>
          <w:tcPr>
            <w:tcW w:w="8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Dose Frequencies</w:t>
            </w: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ESA</w:t>
            </w: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560" w:type="dxa"/>
            <w:vAlign w:val="bottom"/>
            <w:tcBorders>
              <w:top w:val="single" w:sz="8" w:color="auto"/>
            </w:tcBorders>
            <w:shd w:val="clear" w:color="auto" w:fill="CFF0FC"/>
          </w:tcPr>
          <w:p>
            <w:pPr>
              <w:spacing w:after="0" w:line="178" w:lineRule="exact"/>
              <w:rPr>
                <w:sz w:val="20"/>
                <w:szCs w:val="20"/>
                <w:color w:val="auto"/>
              </w:rPr>
            </w:pPr>
            <w:r>
              <w:rPr>
                <w:rFonts w:ascii="Times New Roman" w:cs="Times New Roman" w:eastAsia="Times New Roman" w:hAnsi="Times New Roman"/>
                <w:sz w:val="16"/>
                <w:szCs w:val="16"/>
                <w:color w:val="auto"/>
              </w:rPr>
              <w:t>FGCL-4592-017 U.S.</w:t>
            </w:r>
          </w:p>
        </w:tc>
        <w:tc>
          <w:tcPr>
            <w:tcW w:w="8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Non-Dialysis</w:t>
            </w:r>
          </w:p>
        </w:tc>
        <w:tc>
          <w:tcPr>
            <w:tcW w:w="80" w:type="dxa"/>
            <w:vAlign w:val="bottom"/>
            <w:tcBorders>
              <w:top w:val="single" w:sz="8" w:color="CFF0FC"/>
            </w:tcBorders>
            <w:vMerge w:val="restart"/>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line="178" w:lineRule="exact"/>
              <w:rPr>
                <w:sz w:val="20"/>
                <w:szCs w:val="20"/>
                <w:color w:val="auto"/>
              </w:rPr>
            </w:pPr>
            <w:r>
              <w:rPr>
                <w:rFonts w:ascii="Times New Roman" w:cs="Times New Roman" w:eastAsia="Times New Roman" w:hAnsi="Times New Roman"/>
                <w:sz w:val="16"/>
                <w:szCs w:val="16"/>
                <w:color w:val="auto"/>
              </w:rPr>
              <w:t>Correction,</w:t>
            </w:r>
          </w:p>
        </w:tc>
        <w:tc>
          <w:tcPr>
            <w:tcW w:w="100" w:type="dxa"/>
            <w:vAlign w:val="bottom"/>
            <w:tcBorders>
              <w:top w:val="single" w:sz="8" w:color="CFF0FC"/>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88</w:t>
            </w:r>
          </w:p>
        </w:tc>
        <w:tc>
          <w:tcPr>
            <w:tcW w:w="80" w:type="dxa"/>
            <w:vAlign w:val="bottom"/>
            <w:tcBorders>
              <w:top w:val="single" w:sz="8" w:color="CFF0FC"/>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jc w:val="right"/>
              <w:ind w:right="88"/>
              <w:spacing w:after="0" w:line="178" w:lineRule="exact"/>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117</w:t>
            </w:r>
          </w:p>
        </w:tc>
        <w:tc>
          <w:tcPr>
            <w:tcW w:w="100" w:type="dxa"/>
            <w:vAlign w:val="bottom"/>
            <w:tcBorders>
              <w:top w:val="single" w:sz="8" w:color="CFF0FC"/>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4</w:t>
            </w:r>
          </w:p>
        </w:tc>
        <w:tc>
          <w:tcPr>
            <w:tcW w:w="80" w:type="dxa"/>
            <w:vAlign w:val="bottom"/>
            <w:tcBorders>
              <w:top w:val="single" w:sz="8" w:color="CFF0FC"/>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line="178" w:lineRule="exact"/>
              <w:rPr>
                <w:sz w:val="20"/>
                <w:szCs w:val="20"/>
                <w:color w:val="auto"/>
              </w:rPr>
            </w:pPr>
            <w:r>
              <w:rPr>
                <w:rFonts w:ascii="Times New Roman" w:cs="Times New Roman" w:eastAsia="Times New Roman" w:hAnsi="Times New Roman"/>
                <w:sz w:val="16"/>
                <w:szCs w:val="16"/>
                <w:color w:val="auto"/>
              </w:rPr>
              <w:t>TIW, BIW</w:t>
            </w:r>
          </w:p>
        </w:tc>
        <w:tc>
          <w:tcPr>
            <w:tcW w:w="0" w:type="dxa"/>
            <w:vAlign w:val="bottom"/>
          </w:tcPr>
          <w:p>
            <w:pPr>
              <w:spacing w:after="0"/>
              <w:rPr>
                <w:sz w:val="1"/>
                <w:szCs w:val="1"/>
                <w:color w:val="auto"/>
              </w:rPr>
            </w:pPr>
          </w:p>
        </w:tc>
      </w:tr>
      <w:tr>
        <w:trPr>
          <w:trHeight w:val="115"/>
        </w:trPr>
        <w:tc>
          <w:tcPr>
            <w:tcW w:w="1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vMerge w:val="continue"/>
            <w:shd w:val="clear" w:color="auto" w:fill="CFF0FC"/>
          </w:tcPr>
          <w:p>
            <w:pPr>
              <w:spacing w:after="0"/>
              <w:rPr>
                <w:sz w:val="9"/>
                <w:szCs w:val="9"/>
                <w:color w:val="auto"/>
              </w:rPr>
            </w:pPr>
          </w:p>
        </w:tc>
        <w:tc>
          <w:tcPr>
            <w:tcW w:w="80" w:type="dxa"/>
            <w:vAlign w:val="bottom"/>
            <w:vMerge w:val="continue"/>
            <w:shd w:val="clear" w:color="auto" w:fill="CFF0FC"/>
          </w:tcPr>
          <w:p>
            <w:pPr>
              <w:spacing w:after="0"/>
              <w:rPr>
                <w:sz w:val="9"/>
                <w:szCs w:val="9"/>
                <w:color w:val="auto"/>
              </w:rPr>
            </w:pPr>
          </w:p>
        </w:tc>
        <w:tc>
          <w:tcPr>
            <w:tcW w:w="14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Pharmacokinetics</w:t>
            </w:r>
          </w:p>
        </w:tc>
        <w:tc>
          <w:tcPr>
            <w:tcW w:w="13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20" w:type="dxa"/>
            <w:vAlign w:val="bottom"/>
            <w:gridSpan w:val="2"/>
            <w:vMerge w:val="continue"/>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FGCL-4592-041 U.S.</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Non-Dialysis</w:t>
            </w:r>
          </w:p>
        </w:tc>
        <w:tc>
          <w:tcPr>
            <w:tcW w:w="1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Correction &amp;</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16;24</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TIW, BIW, QW</w:t>
            </w:r>
          </w:p>
        </w:tc>
        <w:tc>
          <w:tcPr>
            <w:tcW w:w="0" w:type="dxa"/>
            <w:vAlign w:val="bottom"/>
          </w:tcPr>
          <w:p>
            <w:pPr>
              <w:spacing w:after="0"/>
              <w:rPr>
                <w:sz w:val="1"/>
                <w:szCs w:val="1"/>
                <w:color w:val="auto"/>
              </w:rPr>
            </w:pPr>
          </w:p>
        </w:tc>
      </w:tr>
      <w:tr>
        <w:trPr>
          <w:trHeight w:val="115"/>
        </w:trPr>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Maintenance</w:t>
            </w: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FGCL-4592-040 U.S.</w:t>
            </w: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Stable</w:t>
            </w:r>
          </w:p>
        </w:tc>
        <w:tc>
          <w:tcPr>
            <w:tcW w:w="1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&amp;</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117</w:t>
            </w:r>
          </w:p>
        </w:tc>
        <w:tc>
          <w:tcPr>
            <w:tcW w:w="5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161</w:t>
            </w:r>
          </w:p>
        </w:tc>
        <w:tc>
          <w:tcPr>
            <w:tcW w:w="740" w:type="dxa"/>
            <w:vAlign w:val="bottom"/>
            <w:gridSpan w:val="2"/>
            <w:shd w:val="clear" w:color="auto" w:fill="CFF0FC"/>
          </w:tcPr>
          <w:p>
            <w:pPr>
              <w:jc w:val="center"/>
              <w:ind w:left="21"/>
              <w:spacing w:after="0"/>
              <w:rPr>
                <w:sz w:val="20"/>
                <w:szCs w:val="20"/>
                <w:color w:val="auto"/>
              </w:rPr>
            </w:pPr>
            <w:r>
              <w:rPr>
                <w:rFonts w:ascii="Times New Roman" w:cs="Times New Roman" w:eastAsia="Times New Roman" w:hAnsi="Times New Roman"/>
                <w:sz w:val="16"/>
                <w:szCs w:val="16"/>
                <w:color w:val="auto"/>
                <w:w w:val="98"/>
              </w:rPr>
              <w:t>6;19</w:t>
            </w:r>
          </w:p>
        </w:tc>
        <w:tc>
          <w:tcPr>
            <w:tcW w:w="1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TIW</w:t>
            </w:r>
          </w:p>
        </w:tc>
        <w:tc>
          <w:tcPr>
            <w:tcW w:w="0" w:type="dxa"/>
            <w:vAlign w:val="bottom"/>
          </w:tcPr>
          <w:p>
            <w:pPr>
              <w:spacing w:after="0"/>
              <w:rPr>
                <w:sz w:val="1"/>
                <w:szCs w:val="1"/>
                <w:color w:val="auto"/>
              </w:rPr>
            </w:pPr>
          </w:p>
        </w:tc>
      </w:tr>
      <w:tr>
        <w:trPr>
          <w:trHeight w:val="226"/>
        </w:trPr>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Dialysis</w:t>
            </w:r>
          </w:p>
        </w:tc>
        <w:tc>
          <w:tcPr>
            <w:tcW w:w="1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Maintenance</w:t>
            </w: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FGCL-4592-053</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Incident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7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12</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TIW</w:t>
            </w:r>
          </w:p>
        </w:tc>
        <w:tc>
          <w:tcPr>
            <w:tcW w:w="0" w:type="dxa"/>
            <w:vAlign w:val="bottom"/>
          </w:tcPr>
          <w:p>
            <w:pPr>
              <w:spacing w:after="0"/>
              <w:rPr>
                <w:sz w:val="1"/>
                <w:szCs w:val="1"/>
                <w:color w:val="auto"/>
              </w:rPr>
            </w:pPr>
          </w:p>
        </w:tc>
      </w:tr>
      <w:tr>
        <w:trPr>
          <w:trHeight w:val="93"/>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Russia, U.S., Hong</w:t>
            </w:r>
          </w:p>
        </w:tc>
        <w:tc>
          <w:tcPr>
            <w:tcW w:w="1020" w:type="dxa"/>
            <w:vAlign w:val="bottom"/>
            <w:gridSpan w:val="2"/>
            <w:vMerge w:val="continue"/>
          </w:tcPr>
          <w:p>
            <w:pPr>
              <w:spacing w:after="0"/>
              <w:rPr>
                <w:sz w:val="8"/>
                <w:szCs w:val="8"/>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Correction</w:t>
            </w: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640" w:type="dxa"/>
            <w:vAlign w:val="bottom"/>
            <w:gridSpan w:val="2"/>
            <w:vMerge w:val="continue"/>
          </w:tcPr>
          <w:p>
            <w:pPr>
              <w:spacing w:after="0"/>
              <w:rPr>
                <w:sz w:val="9"/>
                <w:szCs w:val="9"/>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Dialysis</w:t>
            </w:r>
          </w:p>
        </w:tc>
        <w:tc>
          <w:tcPr>
            <w:tcW w:w="1420" w:type="dxa"/>
            <w:vAlign w:val="bottom"/>
            <w:gridSpan w:val="2"/>
            <w:vMerge w:val="continue"/>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Kong</w:t>
            </w:r>
          </w:p>
        </w:tc>
        <w:tc>
          <w:tcPr>
            <w:tcW w:w="1020" w:type="dxa"/>
            <w:vAlign w:val="bottom"/>
            <w:gridSpan w:val="2"/>
            <w:vMerge w:val="continue"/>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4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FGCL- 4592-059 U.S.*</w:t>
            </w:r>
          </w:p>
        </w:tc>
        <w:tc>
          <w:tcPr>
            <w:tcW w:w="1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Non-Dialysis</w:t>
            </w:r>
          </w:p>
        </w:tc>
        <w:tc>
          <w:tcPr>
            <w:tcW w:w="1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Safety</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FF0FC"/>
          </w:tcPr>
          <w:p>
            <w:pPr>
              <w:spacing w:after="0"/>
              <w:rPr>
                <w:sz w:val="22"/>
                <w:szCs w:val="22"/>
                <w:color w:val="auto"/>
              </w:rPr>
            </w:pPr>
          </w:p>
        </w:tc>
        <w:tc>
          <w:tcPr>
            <w:tcW w:w="180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Up to 5  TIW, BIW, QW</w:t>
            </w:r>
          </w:p>
        </w:tc>
        <w:tc>
          <w:tcPr>
            <w:tcW w:w="0" w:type="dxa"/>
            <w:vAlign w:val="bottom"/>
          </w:tcPr>
          <w:p>
            <w:pPr>
              <w:spacing w:after="0"/>
              <w:rPr>
                <w:sz w:val="1"/>
                <w:szCs w:val="1"/>
                <w:color w:val="auto"/>
              </w:rPr>
            </w:pPr>
          </w:p>
        </w:tc>
      </w:tr>
      <w:tr>
        <w:trPr>
          <w:trHeight w:val="199"/>
        </w:trPr>
        <w:tc>
          <w:tcPr>
            <w:tcW w:w="1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&amp; Dialysis</w:t>
            </w:r>
          </w:p>
        </w:tc>
        <w:tc>
          <w:tcPr>
            <w:tcW w:w="14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&amp; Maintenance</w:t>
            </w: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4"/>
              </w:rPr>
              <w:t>years</w:t>
            </w: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56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1020" w:type="dxa"/>
            <w:vAlign w:val="bottom"/>
            <w:gridSpan w:val="2"/>
            <w:vMerge w:val="continue"/>
            <w:shd w:val="clear" w:color="auto" w:fill="CFF0FC"/>
          </w:tcPr>
          <w:p>
            <w:pPr>
              <w:spacing w:after="0"/>
              <w:rPr>
                <w:sz w:val="4"/>
                <w:szCs w:val="4"/>
                <w:color w:val="auto"/>
              </w:rPr>
            </w:pPr>
          </w:p>
        </w:tc>
        <w:tc>
          <w:tcPr>
            <w:tcW w:w="1420" w:type="dxa"/>
            <w:vAlign w:val="bottom"/>
            <w:gridSpan w:val="2"/>
            <w:vMerge w:val="continue"/>
            <w:shd w:val="clear" w:color="auto" w:fill="CFF0FC"/>
          </w:tcPr>
          <w:p>
            <w:pPr>
              <w:spacing w:after="0"/>
              <w:rPr>
                <w:sz w:val="4"/>
                <w:szCs w:val="4"/>
                <w:color w:val="auto"/>
              </w:rPr>
            </w:pPr>
          </w:p>
        </w:tc>
        <w:tc>
          <w:tcPr>
            <w:tcW w:w="132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480" w:type="dxa"/>
            <w:vAlign w:val="bottom"/>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28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104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4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108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20" w:type="dxa"/>
            <w:vAlign w:val="bottom"/>
            <w:tcBorders>
              <w:bottom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4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498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-6350</wp:posOffset>
            </wp:positionV>
            <wp:extent cx="664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4210"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-6350</wp:posOffset>
            </wp:positionV>
            <wp:extent cx="8407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0740" cy="8255"/>
                    </a:xfrm>
                    <a:prstGeom prst="rect">
                      <a:avLst/>
                    </a:prstGeom>
                    <a:noFill/>
                  </pic:spPr>
                </pic:pic>
              </a:graphicData>
            </a:graphic>
          </wp:anchor>
        </w:drawing>
        <w:drawing>
          <wp:anchor simplePos="0" relativeHeight="251657728" behindDoc="1" locked="0" layoutInCell="0" allowOverlap="1">
            <wp:simplePos x="0" y="0"/>
            <wp:positionH relativeFrom="column">
              <wp:posOffset>5318760</wp:posOffset>
            </wp:positionH>
            <wp:positionV relativeFrom="paragraph">
              <wp:posOffset>-1696720</wp:posOffset>
            </wp:positionV>
            <wp:extent cx="590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-1696720</wp:posOffset>
            </wp:positionV>
            <wp:extent cx="590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-1696720</wp:posOffset>
            </wp:positionV>
            <wp:extent cx="590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-1696720</wp:posOffset>
            </wp:positionV>
            <wp:extent cx="1600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-1696720</wp:posOffset>
            </wp:positionV>
            <wp:extent cx="590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-1696720</wp:posOffset>
            </wp:positionV>
            <wp:extent cx="590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-1823085</wp:posOffset>
            </wp:positionV>
            <wp:extent cx="59055" cy="134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055" cy="13462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-2218055</wp:posOffset>
            </wp:positionV>
            <wp:extent cx="59055" cy="529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055" cy="529590"/>
                    </a:xfrm>
                    <a:prstGeom prst="rect">
                      <a:avLst/>
                    </a:prstGeom>
                    <a:noFill/>
                  </pic:spPr>
                </pic:pic>
              </a:graphicData>
            </a:graphic>
          </wp:anchor>
        </w:drawing>
      </w:r>
    </w:p>
    <w:p>
      <w:pPr>
        <w:spacing w:after="0" w:line="8" w:lineRule="exact"/>
        <w:rPr>
          <w:sz w:val="20"/>
          <w:szCs w:val="20"/>
          <w:color w:val="auto"/>
        </w:rPr>
      </w:pPr>
    </w:p>
    <w:p>
      <w:pPr>
        <w:ind w:left="720" w:hanging="714"/>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Study conducted by Astellas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-139065</wp:posOffset>
            </wp:positionV>
            <wp:extent cx="664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4210"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-139065</wp:posOffset>
            </wp:positionV>
            <wp:extent cx="8407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QW = weekly; BIW = two times per week; TIW = three times per week</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Summary</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the more than 1,100 subjects who have been exposed to roxadustat in Phase 1 and Phase 2 clinical studies, our Phase 3 program has studied roxadustat in over 11,000 patients globally. The preliminary Phase 3 safety analyses reported have shown an overall safety profile consistent with the results observed in prior roxadustat studies. The adverse events reported are consistent with those expected in these study populations with similar background diseases. The pooled safety analyses, including MACE for CKD in both non-dialysis and dialysis populations in the U.S. and EU Phase 3 programs, are anticipated to be completed in the second quarter of 2019.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FOR THE TREATMENT OF ANEMIA IN CHRONIC KIDNEY DISEASE IN CHINA</w:t>
      </w:r>
    </w:p>
    <w:p>
      <w:pPr>
        <w:spacing w:after="0" w:line="11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Roxadustat received NDA approval in December 2018 from the NMPA for the treatment of anemia caused by CKD in dialysis patients. Roxadustat is the first HIF-PH inhibitor to be approved, for any indication, anywhere in the world. We believe this is the first time that China became the first-in-world approval country for a first-in-class drug. We are planning to launch roxadustat in China in the third quarter of 2019.</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believe there is a particularly significant unmet medical need for the treatment of anemia in CKD in China. Specifically, anemia is undertreated in the rapidly growing population of dialysis patients. In the non-dialysis population, only a small percentage of patients receive anemia treatment, and those who do receive only a minimal level, including patients who are eligible for dialysis and are severely anemic. In the context of the rapidly growing Chinese pharmaceutical market, we believe that the demand for anemia therapy will continue to grow as a result of an expanding CKD population, as well as the central government’s mandate to make dialysis, which is still in the early stages of infrastructure development, more available through expansion of government reimbursement and build-out of dialysis facilities. The Chinese government has also put pharmaceutical innovation as a top priority for the country. As the standard of living improves in China, the demand for access to innovative drugs increases. In this context, we believe that roxadustat is a particularly promising product for this market.</w:t>
      </w:r>
    </w:p>
    <w:p>
      <w:pPr>
        <w:spacing w:after="0" w:line="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FibroGen applied for market approval of roxadustat in China as a Domestic Class I innovative drug. This China-specific pathway is independent of any U.S., EU or Japan approval. We expect the population of non-dialysis CKD patients to be added to the roxadustat label in mid-2019 pending scheduling and completion of the standard Phase 3 clinical site inspections by the China Food and Drug Inspection (“CFDI”) under the NMPA.</w:t>
      </w:r>
    </w:p>
    <w:p>
      <w:pPr>
        <w:spacing w:after="0" w:line="177"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color w:val="auto"/>
        </w:rPr>
        <w:t>As part of the approval, we have committed to a 2,000-patient post-approval safety study, which is a mandatory regulatory requirement of approved Domestic Class 1 innovative drugs.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545"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Phase 3 Studies in China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2017, we reported topline results from the two China Phase 3 studies of roxadustat in CKD anemia:</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Study 4592-808: Eight-Week Placebo-Controlled Portion of 26-Week Correction in China Non-Dialysis CKD Patients</w:t>
      </w:r>
    </w:p>
    <w:p>
      <w:pPr>
        <w:spacing w:after="0" w:line="11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double-blind, placebo-controlled eight-week portion of the 26-week clinical trial of CKD patients not on dialysis in China, 151 anemia patients were randomized 2:1 to receive roxadustat (n=101) or placebo (n=50). Roxadustat met its primary efficacy endpoint of correcting anemia, by achieving a statistically significant increase in hemoglobin levels compared to placebo over eight weeks. Furthermore, the secondary endpoint of hemoglobin response was met as hemoglobin response was achieved by a higher proportion of patients in the roxadustat arm than in the placebo arm.</w:t>
      </w:r>
    </w:p>
    <w:p>
      <w:pPr>
        <w:spacing w:after="0" w:line="180"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8"/>
          <w:szCs w:val="18"/>
          <w:color w:val="auto"/>
        </w:rPr>
        <w:t>Roxadustat-treated patients achieved a mean hemoglobin increase of 1.9g/dL from baseline (8.9g/dL) over eight weeks of treatment vs. a mean change in hemoglobin of -0.4g/dL (from 8.9 g/dL baseline) in the placebo arm; the least square mean (“LS Mean”) difference of the two arms is significant, p&lt;0.000000000000001.</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 significantly higher proportion of roxadustat patients achieved hemoglobin response (an increase ≥1g/dL from baseline) after eight weeks vs. placebo patients, 84.2% compared to 0.0% (p&lt;0.000000000000001). Sixty-seven percent of the roxadustat-treated patients vs 6% of placebo- patients achieved hemoglobin correction to be at or above the desired range of Hb≥10 g/dL within eight weeks, p=0.000000000000077.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a significant increase in hemoglobin level from baseline at every weekly measurement between Weeks two to eight per figure below.</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FGCL-4592-808: Mean (+/- SE) Change from Baseline in Hemoglobin (Hb)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83185</wp:posOffset>
            </wp:positionV>
            <wp:extent cx="4801870" cy="23964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01870" cy="239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649" w:right="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color w:val="auto"/>
        </w:rPr>
        <w:t>After Week eight, placebo patients were converted to roxadustat treatment and patients originally in the roxadustat arm continued treatment through Week 26.</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Anemia correction and hemoglobin maintenance were observed up to Week 27.</w:t>
      </w:r>
    </w:p>
    <w:p>
      <w:pPr>
        <w:spacing w:after="0" w:line="195" w:lineRule="exact"/>
        <w:rPr>
          <w:sz w:val="20"/>
          <w:szCs w:val="20"/>
          <w:color w:val="auto"/>
        </w:rPr>
      </w:pPr>
    </w:p>
    <w:p>
      <w:pPr>
        <w:jc w:val="center"/>
        <w:ind w:left="260" w:right="180"/>
        <w:spacing w:after="0" w:line="276" w:lineRule="auto"/>
        <w:rPr>
          <w:sz w:val="20"/>
          <w:szCs w:val="20"/>
          <w:color w:val="auto"/>
        </w:rPr>
      </w:pPr>
      <w:r>
        <w:rPr>
          <w:rFonts w:ascii="Times New Roman" w:cs="Times New Roman" w:eastAsia="Times New Roman" w:hAnsi="Times New Roman"/>
          <w:sz w:val="18"/>
          <w:szCs w:val="18"/>
          <w:b w:val="1"/>
          <w:bCs w:val="1"/>
          <w:color w:val="auto"/>
        </w:rPr>
        <w:t>FGCL-4592-808: Mean Change in Hemoglobin over Time in Phase 3 China Non-Dialysis CKD Patients (26 Weeks) Including Placebo Crossover to Roxadustat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122555</wp:posOffset>
            </wp:positionV>
            <wp:extent cx="4608830" cy="16821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08830" cy="168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the 26-week portion of this China Phase 3 non-dialysis study, 97.6 % of patients who received up to 26 weeks of roxadustat achieved anemia correction with Hb ≥10.0g/dL. For patients who crossed over from placebo to roxadustat, there was an increase in mean hemoglobin levels over 18 weeks of roxadustat treatment, with mean hemoglobin increasing from 8.6 g/dL (averaged over Weeks seven to nine) to 10.8 g/dL (averaged over Weeks 23 to 27); a statistically significant increase (p &lt;0.0001). Hemoglobin levels declined after Week 27 when patients were no longer receiving roxadustat, as illustrated by the figure above.</w:t>
      </w:r>
    </w:p>
    <w:p>
      <w:pPr>
        <w:spacing w:after="0" w:line="16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In the 26-week portion of this non-dialysis study, roxadustat was shown to increase hemoglobin regardless of baseline inflammation status: both in patients with inflammation (CRP &gt;4.9 mg/L) and in patients without inflammation (CRP ≤4.9 mg/L).</w:t>
      </w:r>
    </w:p>
    <w:p>
      <w:pPr>
        <w:spacing w:after="0" w:line="16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The durability of roxadustat’s effect on hemoglobin levels was further supported by data from the subset of patients (n=23) who participated in the 52-week safety extension of this non-dialysis China Phase 3 study. Approximately 95% of the non-dialysis patients who completed the 52-week safety extension period maintained Hb ≥10.0g/dL at the end of treatment.</w:t>
      </w:r>
    </w:p>
    <w:p>
      <w:pPr>
        <w:spacing w:after="0" w:line="1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 addition, in the eight-week portion of this non-dialysis study, roxadustat led to significant reduction in serum hepcidin levels (-56.1 ng/mL for roxadustat patients vs -15.1 ng/mL for placebo, p=0.00000005). Anemia treatment with roxadustat was effective without the use of IV iron and there was no iron parameter (ferritin or TSAT) requirement for patients at study entry.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Study 4592-806: 26-Week Maintenance in China Dialysis-Dependent CKD Patients</w:t>
      </w:r>
    </w:p>
    <w:p>
      <w:pPr>
        <w:spacing w:after="0" w:line="115"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7"/>
          <w:szCs w:val="17"/>
          <w:color w:val="auto"/>
        </w:rPr>
        <w:t>In the Phase 3 CKD study, 304 patients (271 hemodialysis and 33 peritoneal dialysis patients) previously on epoetin alfa were randomized to and treated with roxadustat (n=204) or epoetin alfa (n=100) for 26 weeks. Prior to randomization, patients in this study were previously treated with stable doses of EPO: 7%</w:t>
      </w:r>
    </w:p>
    <w:p>
      <w:pPr>
        <w:jc w:val="both"/>
        <w:ind w:right="100"/>
        <w:spacing w:after="0" w:line="248" w:lineRule="auto"/>
        <w:rPr>
          <w:sz w:val="20"/>
          <w:szCs w:val="20"/>
          <w:color w:val="auto"/>
        </w:rPr>
      </w:pPr>
      <w:r>
        <w:rPr>
          <w:rFonts w:ascii="Times New Roman" w:cs="Times New Roman" w:eastAsia="Times New Roman" w:hAnsi="Times New Roman"/>
          <w:sz w:val="18"/>
          <w:szCs w:val="18"/>
          <w:color w:val="auto"/>
        </w:rPr>
        <w:t>patients were treated with ® (“Li Xue Bao”) epoetin alfa, manufactured in Japan and marketed in China by Kyowa Hakko Kirin China Pharmaceutical Co., Ltd. (“Kirin EPO”) and 93% of patients were treated with one of eight other brands of EPO commercially available in China. All the patients randomized to the active comparator arm were treated with Kirin EPO.</w:t>
      </w:r>
    </w:p>
    <w:p>
      <w:pPr>
        <w:spacing w:after="0" w:line="18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primary endpoint was mean change in hemoglobin from baseline to the average level during the final five weeks of the 26-week treatment period. Roxadustat met the predefined non-inferiority criterion for this primary endpoint in comparison to Kirin EPO in both full analysis set and per protocol set (“PPS”) analysis. In a pre-specified sequential analysis, roxadustat also showed statistical superiority over Kirin EPO for the primary endpoint, the mean hemoglobin increase observed in the roxadustat arm was higher than in the Kirin EPO arm, 0.75g/dL vs. 0.46g/dL, with a significant difference in the LS Mean hemoglobin change in the two treatment arms, p=0.037, in PPS analysis; baseline hemoglobin was 10.4 g/dL in both treatment arms.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17" w:name="page18"/>
    <w:bookmarkEnd w:id="17"/>
    <w:p>
      <w:pPr>
        <w:ind w:right="360"/>
        <w:spacing w:after="0" w:line="259" w:lineRule="auto"/>
        <w:rPr>
          <w:sz w:val="20"/>
          <w:szCs w:val="20"/>
          <w:color w:val="auto"/>
        </w:rPr>
      </w:pPr>
      <w:r>
        <w:rPr>
          <w:rFonts w:ascii="Times New Roman" w:cs="Times New Roman" w:eastAsia="Times New Roman" w:hAnsi="Times New Roman"/>
          <w:sz w:val="18"/>
          <w:szCs w:val="18"/>
          <w:color w:val="auto"/>
        </w:rPr>
        <w:t>Anemia in patients treated with roxadustat was corrected earlier than in Kirin EPO patients, and roxadustat maintained hemoglobin levels at a higher level (between 10-12 g/dL) than those receiving Kirin EPO despite the increase in average dose of Kirin EPO (relative to average baseline EPO dose) received by patients in the comparator arm (as shown in the inflammation figures below).</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FGCL-4592-806: Mean (+/- SE) Change from Baseline in Hemoglobin (Hb)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83185</wp:posOffset>
            </wp:positionV>
            <wp:extent cx="5668010" cy="2018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8010" cy="201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We performed a subgroup analysis based on patients’ levels of inflammation, a common co-morbidity with CKD patients. Roxadustat raised and maintained hemoglobin levels in patients with inflammation (defined as having baseline CRP levels &gt;ULN 4.9 µg/L) at doses that were equal to or lower than those received by the patients without inflammation. In contrast, patients with inflammation in the Kirin EPO arm realized lower hemoglobin levels than patients with normal CRP levels (despite receiving higher doses of EPO than patients without inflammation), reflecting roxadustat’s potential to overcome the hyporesponsiveness seen in ESA treatment, as discussed in the section above titled “</w:t>
      </w:r>
      <w:r>
        <w:rPr>
          <w:rFonts w:ascii="Times New Roman" w:cs="Times New Roman" w:eastAsia="Times New Roman" w:hAnsi="Times New Roman"/>
          <w:sz w:val="17"/>
          <w:szCs w:val="17"/>
          <w:i w:val="1"/>
          <w:iCs w:val="1"/>
          <w:color w:val="auto"/>
        </w:rPr>
        <w:t>Limitations of the Current Standard of Care for Anemia in CKD</w:t>
      </w:r>
      <w:r>
        <w:rPr>
          <w:rFonts w:ascii="Times New Roman" w:cs="Times New Roman" w:eastAsia="Times New Roman" w:hAnsi="Times New Roman"/>
          <w:sz w:val="17"/>
          <w:szCs w:val="17"/>
          <w:color w:val="auto"/>
        </w:rPr>
        <w:t>”. The two figures below show mean change in hemoglobin with mean patient dose, and mean hemoglobin levels with mean patient dose, in patients with and without inflammation.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FGCL-4592-806: Mean (+/- SE) Change in Hemoglobin (Hb) from Baseline and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Mean (+/- SE) Dose for Patients with and without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69850</wp:posOffset>
            </wp:positionV>
            <wp:extent cx="5777230" cy="32715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7230" cy="327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FGCL-4592-806: Mean (+/- SE) Hemoglobin (Hb) and</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Mean (+/- SE) Dose for Patients with and without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69850</wp:posOffset>
            </wp:positionV>
            <wp:extent cx="5970905" cy="3229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70905" cy="322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One hundred and twelve roxadustat patients continued treatment in a safety extension study for a total of 52 weeks. Approximately 96% of the dialysis patients who completed the 52-week safety extension period maintained Hb ≥10.0 g/dL at the end of treatment.</w:t>
      </w:r>
    </w:p>
    <w:p>
      <w:pPr>
        <w:spacing w:after="0" w:line="1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Hepcidin, the key hormone that regulates iron metabolism, is generally elevated and contributory to EPO hyporesponsiveness in patients with inflammation. Consistent with previously reported Phase 2 CKD data from the U.S. and China, a reduction of serum hepcidin levels was observed in our two China Phase 3 studies of roxadustat in CKD. In the Phase 3 dialysis study, the mean decrease in serum hepcidin levels from baseline to the end of 26 weeks of treatment was 30.2 ng/mL in the roxadustat arm vs. 2.2 ng/mL in the EPO comparator arm. In the Phase 3 non-dialysis study, the mean decrease in hepcidin levels at the end of 8-week double-blind treatment period was 56.1 ng/mL in roxadustat arm vs. 15.1 ng/mL in the placebo arm (p=0.00000005).</w:t>
      </w:r>
    </w:p>
    <w:p>
      <w:pPr>
        <w:spacing w:after="0" w:line="18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Roxadustat was generally well tolerated and there were no safety signals observed in the China Phase 3 clinical trials, including through the 52-week safety extension periods. There were no study drug-related deaths. The AEs and SAEs reported in the Phase 3 studies were generally representative of the underlying patient population and associated co-morbidities. Treatment of anemia with roxadustat in these Phase 3 clinical trials did not lead to an increase in blood pressure.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Phase 2 Studies</w:t>
      </w:r>
    </w:p>
    <w:p>
      <w:pPr>
        <w:spacing w:after="0" w:line="11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performed two Phase 2 studies in China, one trial in non-dialysis CKD patients, and another trial in CKD patients on dialysis. In these trials, hemoglobin correction in non-dialysis CKD patients and hemoglobin maintenance in dialysis CKD patients replicated the results seen in the U.S. trials. SAEs were progression of CKD, infection and high potassium levels and the most common adverse events were infections, high potassium levels, nausea and dizziness. There were no dose-related trends or imbalances in the nature of adverse events between patients treated with roxadustat compared to patients treated with either placebo (study 047) or epoetin alfa control (study 048) groups.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662"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Addressable Patient Populations in China</w:t>
      </w:r>
    </w:p>
    <w:p>
      <w:pPr>
        <w:spacing w:after="0" w:line="11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color w:val="auto"/>
        </w:rPr>
        <w:t xml:space="preserve">Based on a large-scale cross-sectional survey performed between September 2009 and September 2010 published in the </w:t>
      </w:r>
      <w:r>
        <w:rPr>
          <w:rFonts w:ascii="Times New Roman" w:cs="Times New Roman" w:eastAsia="Times New Roman" w:hAnsi="Times New Roman"/>
          <w:sz w:val="17"/>
          <w:szCs w:val="17"/>
          <w:i w:val="1"/>
          <w:iCs w:val="1"/>
          <w:color w:val="auto"/>
        </w:rPr>
        <w:t>Lancet</w:t>
      </w:r>
      <w:r>
        <w:rPr>
          <w:rFonts w:ascii="Times New Roman" w:cs="Times New Roman" w:eastAsia="Times New Roman" w:hAnsi="Times New Roman"/>
          <w:sz w:val="17"/>
          <w:szCs w:val="17"/>
          <w:color w:val="auto"/>
        </w:rPr>
        <w:t xml:space="preserve"> (Zhang, et al. </w:t>
      </w:r>
      <w:r>
        <w:rPr>
          <w:rFonts w:ascii="Times New Roman" w:cs="Times New Roman" w:eastAsia="Times New Roman" w:hAnsi="Times New Roman"/>
          <w:sz w:val="17"/>
          <w:szCs w:val="17"/>
          <w:i w:val="1"/>
          <w:iCs w:val="1"/>
          <w:color w:val="auto"/>
        </w:rPr>
        <w:t>Lancet</w:t>
      </w:r>
      <w:r>
        <w:rPr>
          <w:rFonts w:ascii="Times New Roman" w:cs="Times New Roman" w:eastAsia="Times New Roman" w:hAnsi="Times New Roman"/>
          <w:sz w:val="17"/>
          <w:szCs w:val="17"/>
          <w:color w:val="auto"/>
        </w:rPr>
        <w:t xml:space="preserve"> (2012)), there are an estimated 119.5 million CKD patients in China. Based on the prevalence ratios, there were approximately 19 million patients in CKD stages 3, 4, or 5, which we have grouped into three categories: dialysis CKD patients; dialysis-eligible patients who need dialysis under treatment guidelines but are not dialyzed (“Dialysis-Eligible NDD-CKD”); and stages 3 and 4 patients, as well as stage 5 patients who are not eligible for dialysis (“Other NDD-CKD”).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Dialysis-Dependent CKD</w:t>
      </w:r>
    </w:p>
    <w:p>
      <w:pPr>
        <w:spacing w:after="0" w:line="11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Based on the latest estimates and published data, we believe there are approximately 600,000 dialysis patients in China, making it the largest dialysis population in the world.</w:t>
      </w:r>
    </w:p>
    <w:p>
      <w:pPr>
        <w:spacing w:after="0" w:line="16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auto"/>
        </w:rPr>
        <w:t>Dialysis treatment is delivered in the form of hemodialysis or peritoneal dialysis. In China, approximately 85% of dialysis patients with CKD are on hemodialysis. Hemodialysis is performed primarily in dialysis clinics within hospitals, most of which are publicly owned. This is in contrast to the U.S. where freestanding dialysis centers located outside of hospitals is common practice. With recent regulatory changes, the number of privately owned dialysis clinics is growing at a rapid pace, a trend that has provided additional capacity to meet the growing demand. The remaining 15% of CKD patients are on peritoneal dialysis, which is self-administered at home by patients. Peritoneal dialysis patients typically visit their nephrologists on a monthly basis at the hospital for monitoring and follow-up. The prevalence rate of anemia (defined as Hb&lt; 12) in the dialysis population in China is estimated to be approximately 85%.</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Dialysis-Eligible NDD-CKD</w:t>
      </w:r>
    </w:p>
    <w:p>
      <w:pPr>
        <w:spacing w:after="0" w:line="115"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Dialysis-Eligible NDD-CKD refers to patients who need dialysis under Chinese treatment guidelines but are not dialyzed. The Chinese treatment guidelines recommend initiation of dialysis at eGFR &lt;10 mL/min/1.73m</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8"/>
          <w:szCs w:val="18"/>
          <w:color w:val="auto"/>
        </w:rPr>
        <w:t xml:space="preserve"> (eGFR &lt;15 mL/min/1.73m</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8"/>
          <w:szCs w:val="18"/>
          <w:color w:val="auto"/>
        </w:rPr>
        <w:t xml:space="preserve"> for diabetic nephropathy patients). The number of Dialysis-Eligible NDD-CKD patients in China has been consistently estimated at 1-2 million. While the size of the dialysis population in China has been growing rapidly, it nevertheless falls far short of the number who require dialysis treatment. We believe that this Dialysis-Eligible NDD-CKD population is characteristic of developing markets like China and at risk for severe anemia. The prevalence rate of anemia (defined as Hb &lt;12) in this population in China is estimated to be approximately 90%.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NDD-CKD</w:t>
      </w:r>
    </w:p>
    <w:p>
      <w:pPr>
        <w:spacing w:after="0" w:line="1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Other NDD-CKD refers to the sub-groups of CKD patients within non-dialysis who are earlier stage: CKD patients in stage 3 and stage 4, as well as stage 5 who are not eligible for dialysis. As with the Dialysis-Eligible NDD-CKD population, the Other NDD-CKD population is largely untreated with ESAs. Some of these patients receive medical care in endocrinology, cardiology or internal medicine clinics outside of nephrology, where they are treated for their primary disease.</w:t>
      </w: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prevalence rate of anemia (defined as Hb &lt;12 for women and &lt;13 for men) in this population in China is estimated to be approximately 50% for Stage 3 and 80% for Stage 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Unmet Medical Need and Roxadustat Differentiation</w:t>
      </w:r>
    </w:p>
    <w:p>
      <w:pPr>
        <w:spacing w:after="0" w:line="11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Anemia is considered a risk multiplier for CKD patients and is commonly associated with increased rates of cardiovascular events, hospitalizations, CKD progression, and death. Several of the advantages that roxadustat, our oral therapeutic, potentially offers over ESAs are particularly suited to address the unmet medical need in each of the three categories of CKD patients in China.</w:t>
      </w:r>
    </w:p>
    <w:p>
      <w:pPr>
        <w:spacing w:after="0" w:line="17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believe there is chronic under-treatment of anemia within the CKD patient population on dialysis in China. The most recent treatment guidelines published by the Chinese Society of Nephrology in 2018 recommended treatment to hemoglobin 11.0 g/dL to 12.0 g/dL. Even though over 70% of hemodialysis CKD patients, and approximately 60% of peritoneal dialysis CKD patients are treated with ESAs, based on the Chinese Renal Data System in 2015, less than 60% of dialysis patients reached 10.2 g/dL.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We believe many of the factors that lead to under-treatment of anemia can be overcome with rsoxadustat:</w:t>
      </w:r>
    </w:p>
    <w:p>
      <w:pPr>
        <w:spacing w:after="0" w:line="111" w:lineRule="exact"/>
        <w:rPr>
          <w:sz w:val="20"/>
          <w:szCs w:val="20"/>
          <w:color w:val="auto"/>
        </w:rPr>
      </w:pPr>
    </w:p>
    <w:p>
      <w:pPr>
        <w:ind w:left="740" w:right="280" w:hanging="363"/>
        <w:spacing w:after="0" w:line="251"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IV iron is often needed for ESAs to correct hemoglobin levels, due to functional or actual iron deficiency. However IV iron is also often under-prescribed because of limited reimbursement and the clinical risk associated with IV iron supplementation. Regardless of baseline iron conditions in patients, we have shown in our China Phase 3 data that roxadustat can achieve target hemoglobin rates without routine IV iron supplementation, due in part to roxadustat’s ability to decrease hepcidin and make use of endogenous stores of iron or oral iron supplements. Therefore, for any patients not achieving target hemoglobin levels due to lack of available iron, roxadustat may be able to overcome these iron deficiencies better than ESAs.</w:t>
      </w:r>
    </w:p>
    <w:p>
      <w:pPr>
        <w:spacing w:after="0" w:line="78" w:lineRule="exact"/>
        <w:rPr>
          <w:rFonts w:ascii="Times New Roman" w:cs="Times New Roman" w:eastAsia="Times New Roman" w:hAnsi="Times New Roman"/>
          <w:sz w:val="18"/>
          <w:szCs w:val="18"/>
          <w:color w:val="auto"/>
        </w:rPr>
      </w:pPr>
    </w:p>
    <w:p>
      <w:pPr>
        <w:ind w:left="740" w:right="40" w:hanging="363"/>
        <w:spacing w:after="0" w:line="259"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dialysis patients and patients who have chronic inflammation are often hyporesponsive to ESAs, and are not able to achieve corrected hemoglobin levels at normal ESA doses. Phase 3 clinical data suggest that roxadustat can treat inflammed patients to target hemoglobin levels without use of higher doses.</w:t>
      </w:r>
    </w:p>
    <w:p>
      <w:pPr>
        <w:spacing w:after="0" w:line="177" w:lineRule="exact"/>
        <w:rPr>
          <w:rFonts w:ascii="Times New Roman" w:cs="Times New Roman" w:eastAsia="Times New Roman" w:hAnsi="Times New Roman"/>
          <w:sz w:val="18"/>
          <w:szCs w:val="18"/>
          <w:color w:val="auto"/>
        </w:rPr>
      </w:pPr>
    </w:p>
    <w:p>
      <w:pPr>
        <w:ind w:left="740" w:right="20" w:hanging="363"/>
        <w:spacing w:after="0" w:line="251"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issues outlined above for dialysis patients, the peritoneal dialysis population, who generally receives dialysis treatment at home, and the Dialysis-Eligible NDD-CKD patients, who are generally untreated, face the same logistical issues that impede ESA use in the Other NDD-CKD population. Roxadustat, as an oral medication, can be easily administered in any setting and stored at room temperature. Injectable drugs like ESAs present a challenge in China because even subcutaneous administration is performed at hospitals and not in the home, in part due to the difficulty in refrigeration and administration of injectable medicines. Frequent hospital visits, for the sole purpose of receiving injectable ESA treatment (as well as IV iron, which is often necessary with ESA treatment), can present a substantial logistical and financial burden on patients.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ESA Market Size and Drivers of Market Growth in China</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China is the second largest pharmaceutical market after the United States. Total Healthcare expenditures in China have been estimated to be approximately $640 billion in 2015. Total ESA sales in China were approximately $330 million in 2017, of which an estimated 80%, or approximately $275 million, is derived from CKD anemia sales, based on data from IQVIA China Hospital Pharmaceutical Audit (“CHPA”). The ESA market in China has grown at a 12% compound annual growth rate between 2013 and 2017 based on data from IQVIA CHPA.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anemia being largely untreated in the non-dialysis CKD population, the CKD population in China is growing steadily.</w:t>
      </w:r>
    </w:p>
    <w:p>
      <w:pPr>
        <w:spacing w:after="0" w:line="109" w:lineRule="exact"/>
        <w:rPr>
          <w:sz w:val="20"/>
          <w:szCs w:val="20"/>
          <w:color w:val="auto"/>
        </w:rPr>
      </w:pPr>
    </w:p>
    <w:p>
      <w:pPr>
        <w:jc w:val="both"/>
        <w:ind w:left="740" w:right="220" w:hanging="363"/>
        <w:spacing w:after="0" w:line="26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Expansion of Reimbursement</w:t>
      </w:r>
      <w:r>
        <w:rPr>
          <w:rFonts w:ascii="Times New Roman" w:cs="Times New Roman" w:eastAsia="Times New Roman" w:hAnsi="Times New Roman"/>
          <w:sz w:val="18"/>
          <w:szCs w:val="18"/>
          <w:color w:val="auto"/>
        </w:rPr>
        <w:t>. Reimbursement exists for the use of ESAs in the treatment of anemia in CKD and the coverage levels have expanded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in the past decade. We expect the availability of Severe Disease reimbursement to significantly drive the utilization of dialysis services (including anemia therapies) in the coming years.</w:t>
      </w:r>
    </w:p>
    <w:p>
      <w:pPr>
        <w:spacing w:after="0" w:line="68" w:lineRule="exact"/>
        <w:rPr>
          <w:rFonts w:ascii="Times New Roman" w:cs="Times New Roman" w:eastAsia="Times New Roman" w:hAnsi="Times New Roman"/>
          <w:sz w:val="18"/>
          <w:szCs w:val="18"/>
          <w:color w:val="auto"/>
        </w:rPr>
      </w:pPr>
    </w:p>
    <w:p>
      <w:pPr>
        <w:ind w:left="740" w:right="220" w:hanging="363"/>
        <w:spacing w:after="0" w:line="253"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Expansion of Dialysis-Dependent CKD Population and Investment in Dialysis Infrastructure</w:t>
      </w:r>
      <w:r>
        <w:rPr>
          <w:rFonts w:ascii="Times New Roman" w:cs="Times New Roman" w:eastAsia="Times New Roman" w:hAnsi="Times New Roman"/>
          <w:sz w:val="18"/>
          <w:szCs w:val="18"/>
          <w:color w:val="auto"/>
        </w:rPr>
        <w:t>. We believe the number of CKD patients on dialysis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from approximately 275,000 in 2011 to approximately 500,000 in 2016 and has grown at a compound annual growth rate of 13% per year from 2011 to 2016. With this substantial rate of growth, the Ministry of Health and the Chinese Society of Nephrology have publicly recognized the need for further investment in dialysis infrastructure. Peritoneal dialysis is an alternative to hemodialysis and does not require the level of capital investment in facilities and equipment that is necessary to enable hemodialysis.</w:t>
      </w:r>
    </w:p>
    <w:p>
      <w:pPr>
        <w:spacing w:after="0" w:line="74" w:lineRule="exact"/>
        <w:rPr>
          <w:rFonts w:ascii="Times New Roman" w:cs="Times New Roman" w:eastAsia="Times New Roman" w:hAnsi="Times New Roman"/>
          <w:sz w:val="18"/>
          <w:szCs w:val="18"/>
          <w:color w:val="auto"/>
        </w:rPr>
      </w:pPr>
    </w:p>
    <w:p>
      <w:pPr>
        <w:ind w:left="740" w:right="140" w:hanging="363"/>
        <w:spacing w:after="0" w:line="26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Demographics-Driven Growth</w:t>
      </w:r>
      <w:r>
        <w:rPr>
          <w:rFonts w:ascii="Times New Roman" w:cs="Times New Roman" w:eastAsia="Times New Roman" w:hAnsi="Times New Roman"/>
          <w:sz w:val="18"/>
          <w:szCs w:val="18"/>
          <w:color w:val="auto"/>
        </w:rPr>
        <w:t>. Diabetes and hypertension are common causes of CKD, the rates of which have been growing in China over past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decades. China is experiencing epidemiological changes in metabolic diseases due to economic development, urbanization and an aging population. We believe the increase in diabetes and hypertension prevalence will also result in an increase of CKD patients.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AstraZeneca is our commercialization partner for roxadustat in China. Under our collaboration agreement, AstraZeneca will lead commercialization and has responsibility for marketing, market access, and sales. FibroGen has responsibility for medical affairs, manufacturing (as the Marketing Authorization Holder), and pharmacovigilance. FibroGen and AstraZeneca will work together to manage distribution.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Pricing</w:t>
      </w:r>
    </w:p>
    <w:p>
      <w:pPr>
        <w:spacing w:after="0" w:line="115"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color w:val="auto"/>
        </w:rPr>
        <w:t>AstraZeneca and FibroGen have been working closely to determine pricing (both for self-pay and reimbursement) that reflects the value proposition of roxadustat, including the differentiation of roxadustat in efficacy and other clinical outcomes, lack of routine IV iron supplementation, convenience against current standard of care, cost effectiveness, and affordability.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reimbursement and hospital listing are the most critical market access factors for commercialization success in China.</w:t>
      </w:r>
    </w:p>
    <w:p>
      <w:pPr>
        <w:spacing w:after="0" w:line="21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China is a single-payor market with near universal healthcare provided by the government. Over 95% of the population receives healthcare coverage under one government-funded medical reimbursement plan or another, each with different levels of reimbursement. Commercial health insurance is available but is minimally adopted, and is seen as a supplement above and beyond government reimbursement.</w:t>
      </w:r>
    </w:p>
    <w:p>
      <w:pPr>
        <w:spacing w:after="0" w:line="177"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color w:val="auto"/>
        </w:rPr>
        <w:t>Dialysis is reimbursed under Critical Disease Insurance (CDI), where up to 90% of costs are covered. Dialysis-Eligible NDD-CKD and Other NDD-CKD treatment is covered under outpatient care, where reimbursement is generally lower, at an estimated 50-60%.</w:t>
      </w:r>
    </w:p>
    <w:p>
      <w:pPr>
        <w:spacing w:after="0" w:line="165"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color w:val="auto"/>
        </w:rPr>
        <w:t>To obtain government reimbursement for a therapeutic, the government must agree to add it to the NRDL or the provincial reimbursement drug lists at a negotiated price (at times at a significant discount). Prior to this time, the market is self-pay, where patients will be responsible for 100% of the launch price determined by the company. We believe the self-pay market in China is expanding, given the rise in personal income levels in the country. Nevertheless, as roxadustat could potentially address an unmet medical need for a much larger number of patients in China, securing reimbursement from the government is expected to be critical to widespread market adoption.</w:t>
      </w:r>
    </w:p>
    <w:p>
      <w:pPr>
        <w:spacing w:after="0" w:line="18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The government has committed to updating the NRDL in 2019. Previous updates to the NRDL occurred in 2017 and 2009. In addition, there were also NRDL price negotiations in 2018 for oncology drugs. Admission to the NRDL depends on a number of factors, including on-market experience, scale of patient adoption, physician endorsement, cost effectiveness and budget impact. Given that roxadustat was approved at the end of 2018, we may or may not qualify for the NRDL update in 2019. Provincial governments have some discretion to add roxadustat to provincial reimbursement drug lists. With or without being listed on the NRDL, we can apply for inclusion in the provincial reimbursement drug lists of selected provinces, which may take months, depending on the province.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Hospital Listing</w:t>
      </w:r>
    </w:p>
    <w:p>
      <w:pPr>
        <w:spacing w:after="0" w:line="11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Government hospitals currently represent over 90% of the pharmaceutical market in China. In order for roxadustat to be prescribed at a government hospital, it has to be carried in the hospital formulary. The process of entry into the formulary is commonly referred to as “hospital listing”, and typically requires a long lead time. These decisions are made on a hospital-by-hospital basis with timing that can range from every six months to every five years. Some hospitals also have temporary listing procedures that can accelerate timing. Private hospital and non-hospital pharmacies, which represent a small minority of the drug market in China, do not require a formulary process to sell a drug. While the opportunity for roxadustat remains significant, given these market access challenges, the rate of market uptake for a drug is typically modest in China.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Tendering</w:t>
      </w:r>
    </w:p>
    <w:p>
      <w:pPr>
        <w:spacing w:after="0" w:line="1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Provincial and municipal government agencies will establish a provincial drug procurement agency to operate a mandatory collective tender process for purchases by government hospitals of a medicine included in provincial or local medicine procurement catalogs. The provincial or local medicine procurement catalogs are determined by the provincial drug procurement agency based on the National Essential Drugs List, the NDRL, hospital formularies, etc. If roxadustat has been included in a government hospital formulary, the NDRL or the provincial reimbursement drug list, the relevant hospitals must participate in collective tender processes for the purchase of roxadustat. During the collective tender process, the provincial drug procurement agency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647" w:right="279" w:bottom="1440" w:gutter="0" w:footer="0" w:header="0"/>
        </w:sectPr>
      </w:pPr>
    </w:p>
    <w:bookmarkStart w:id="22" w:name="page23"/>
    <w:bookmarkEnd w:id="22"/>
    <w:p>
      <w:pPr>
        <w:ind w:right="3600"/>
        <w:spacing w:after="0" w:line="369" w:lineRule="auto"/>
        <w:rPr>
          <w:sz w:val="20"/>
          <w:szCs w:val="20"/>
          <w:color w:val="auto"/>
        </w:rPr>
      </w:pPr>
      <w:r>
        <w:rPr>
          <w:rFonts w:ascii="Times New Roman" w:cs="Times New Roman" w:eastAsia="Times New Roman" w:hAnsi="Times New Roman"/>
          <w:sz w:val="18"/>
          <w:szCs w:val="18"/>
          <w:b w:val="1"/>
          <w:bCs w:val="1"/>
          <w:color w:val="auto"/>
        </w:rPr>
        <w:t>ROXADUSTAT FOR THE TREATMENT OF ANEMIA IN CHRONIC KIDNEY DISEASE IN JAPAN Dialysis-Dependent CKD Patients in Japan</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September 2018, Astellas submitted an NDA in Japan for roxadustat for the treatment of anemia in CKD patients on dialysis based on positive results from four Phase 3 studies. We expect Astellas to receive a decision on the dialysis NDA in the second half of 2019. Topline results from these four Phase 3 studies are as follows: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3 Study 1517-CL-0307: Double-Blind Study in Hemodialysis</w:t>
      </w:r>
    </w:p>
    <w:p>
      <w:pPr>
        <w:spacing w:after="0" w:line="11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In 2018, Astellas and FibroGen reported results from Astellas’ Phase 3 study of roxadustat in 303 CKD hemodialysis patients with anemia. Average hemoglobin levels were effectively maintained at 10.99 g/dL during Weeks 18 to 24 in roxadustat-treated hemodialysis patients who had previously been treated with ESAs. The primary efficacy endpoint of change in average hemoglobin levels from baseline to Weeks 18 to 24 was -0.04 g/dL and -0.03 g/dL in the roxadustat-treated group and darbepoetin-treated group, respectively. The non-inferiority of roxadustat to darbepoetin alfa in change of average hemoglobin from baseline was confirmed as the lower bound of the 95% CI (-0.18, 0.15) of the treatment difference was greater than the pre-specified non-inferiority margin (-0.75 g/dL).</w:t>
      </w:r>
    </w:p>
    <w:p>
      <w:pPr>
        <w:spacing w:after="0" w:line="168"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The hemoglobin maintenance rate (defined as the proportion of patients who achieved an average target hemoglobin level between 10.0 and 12.0 g/dL during Weeks 18 to 24) was 79% in roxadustat-treated patients and 83% in patients in the darbepoetin alfa arm. The hemoglobin maintenance rate of patients with at least one hemoglobin value during Weeks 18-24 was 95% in the roxadustat arm and 91% in the darbepetin alfa arm. Among patients taking roxadustat, serum iron, ferritin, and TSAT were clinically stable; and transferrin and TIBC increased through Week 4 and then remained stable. No remarkable changes in iron parameters occurred with darbepoetin alfa.</w:t>
      </w:r>
    </w:p>
    <w:p>
      <w:pPr>
        <w:spacing w:after="0" w:line="185"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Roxadustat was well tolerated in this study, and the safety profile of roxadustat was consistent with that observed in previous studies both in dialysis and non-dialysis patients.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3 Study 1517-CL-0302: Open-Label Study in Peritoneal Dialysis Patients</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2017, Astellas and FibroGen reported results from Astellas’ multi-center, open-label Phase 3 study of roxadustat in peritoneal dialysis CKD patients with anemia. This 24-week study enrolled a total of 56 peritoneal dialysis patients, of whom 43 patients had previously received ESAs (ESA-conversion patients), and 13 patients had not previously received ESAs (ESA-naïve patients). Roxadustat was well tolerated and shown to correct hemoglobin levels in ESA-naïve patients and maintain hemoglobin levels within the target range in both ESA-conversion patients and ESA-naïve patients.</w:t>
      </w:r>
    </w:p>
    <w:p>
      <w:pPr>
        <w:spacing w:after="0" w:line="18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hemoglobin maintenance rate (defined as the proportion of patients who achieved an average target hemoglobin level between 10.0 and 12.0 g/dL during Weeks 18 to 24) was 92% in ESA-naïve patients and 74% in ESA-conversion patients. The hemoglobin maintenance rate of patients with at least one hemoglobin value during Weeks 18 to 24 was 92% in ESA-naïve patients and 87% in ESA-conversion patients. The mean of average hemoglobin levels reached during Weeks 18 to 24 was 11.05 g/dL in ESA-naïve patients and 10.93 g/dL in ESA-conversion patients. The mean change in hemoglobin from baseline to the average during Weeks 18 to 24 was 1.69 g/dL in ESA-naïve patients and 0.14 g/dL in ESA-conversion patients. The preliminary safety analysis for this trial is consistent with the safety profile of roxadustat in previous clinical trials.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3 Study 1517-CL-0308: Open-Label Study in ESA-Naïve Hemodialysis Patients</w:t>
      </w:r>
    </w:p>
    <w:p>
      <w:pPr>
        <w:spacing w:after="0" w:line="1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2018, Astellas completed its 24-week long multi-center, open-label, randomized, non-comparator Phase 3 study of roxadustat in 75 CKD ESA-naïve hemodialysis patients with anemia. The hemoglobin response rate at the end of treatment (defined as the proportion of patients who achieved a hemoglobin level ≥10.0 g/dL and a hemoglobin increase from baseline ≥ 1.0 g/dL) was 86.5% in patients randomized to a starting dose of 50 mg of roxadustat, and 89.2% in patients randomized to a starting dose of 70 mg of roxadustat.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Roxadustat was well tolerated in this study, and the results were consistent with the roxadustat safety profile observed to date.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Phase 3 Study 1517-CL-0312: Open-Label ESA-Conversion Study in Hemodialysis</w:t>
      </w:r>
    </w:p>
    <w:p>
      <w:pPr>
        <w:spacing w:after="0" w:line="115"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In 2018, Astellas completed its 52-week, multi-center, open-label, non-comparator Phase 3 study of roxadustat in 164 CKD hemodialysis patients with anemia. This study was an ESA-conversion study. The hemoglobin maintenance rate (defined as the proportion of patients who achieved an average target hemoglobin level between 10.0 and 12.0 g/dL) was 79.1% during Weeks 18 to 24, and 71.2 % during Weeks 46 to 52.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Roxadustat was well tolerated in this study, and the results were consistent with the roxadustat safety profile observed to date.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Non-Dialysis-Dependent CKD Patients in Japan</w:t>
      </w:r>
    </w:p>
    <w:p>
      <w:pPr>
        <w:spacing w:after="0" w:line="11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Our partner Astellas has completed ASP-1517-314, one of the two non-dialysis CKD Phase 3 studies for Japan. The two studies are expected to serve as a basis for a supplemental NDA for the treatment of anemia in non-dialysis CKD patients.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with Regulatory Agencies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1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Roxadustat received NDA approval in December 2018 from the NMPA for the treatment of anemia caused by CKD in dialysis patients. In doing so, China became the first in-world approval country for a first-in-class (HIF-PH inhibitor) drug. We expect CKD non-dialysis patients to be added to the roxadustat label in mid-2019 pending scheduling and completion of the standard Phase 3 clinical site inspections by the CFDI.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5"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In September 2018, Astellas submitted an NDA on roxadustat for the treatment of anemia in CKD patients on dialysis. Astellas plans to submit an NDA for anemia for CKD patients not on dialysis upon completion of both non-dialysis CKD Phase 3 studies in Japan.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and Europe</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conjunction with our collaboration partners, we have completed the Phase 3 trials of roxadustat intended to support marketing authorization applications in the U.S. and EU for the treatment of anemia in CKD. We and our partners are in the process of preparing an NDA for submission to the FDA and an MAA for submission to the EMA in 2019.</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Investigational New Drug and Clinical Trial Applications</w:t>
      </w:r>
    </w:p>
    <w:p>
      <w:pPr>
        <w:spacing w:after="0" w:line="11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Roxadustat is being studied under one Investigational New Drug Application (“IND”), and several Clinical Trial Applications (“CTAs”), all with a specified indication of treatment of anemia in CKD. We originally submitted the IND in the U.S. to the FDA in April 2006. Our collaboration partner, Astellas, submitted the CTA in Japan with the PMDA in June 2009. We and our collaboration partners Astellas and AstraZeneca have also submitted CTAs in Europe, Latin America, Canada, Russia, and Asia, beginning in 2013.</w:t>
      </w:r>
    </w:p>
    <w:p>
      <w:pPr>
        <w:spacing w:after="0" w:line="180"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8"/>
          <w:szCs w:val="18"/>
          <w:color w:val="auto"/>
        </w:rPr>
        <w:t>For the treatment of anemia in MDS patients, we have submitted an IND to the FDA in the U.S. with CTAs in Asia, Europe, and CTA to the NMPA in China in 2017.</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FOR THE TREATMENT OF ANEMIA ASSOCIATED WITH MYELODYSPLASTIC SYNDROMES</w:t>
      </w:r>
    </w:p>
    <w:p>
      <w:pPr>
        <w:spacing w:after="0" w:line="113"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18"/>
          <w:szCs w:val="18"/>
          <w:color w:val="auto"/>
        </w:rPr>
        <w:t>Based on roxadustat’s mechanism of action and safety and efficacy profile to date, we believe it has the potential to treat anemia associated with many other conditions, including MDS.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Anemia in MDS</w:t>
      </w:r>
    </w:p>
    <w:p>
      <w:pPr>
        <w:spacing w:after="0" w:line="113"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MDS are a group of rare disorders characterized by poorly formed or dysfunctional blood cells in the bone marrow, leading to anemia in most cases. Anemia, a serious medical condition, is associated with increased risks of hospitalization, cardiovascular complications, need for blood transfusions, exacerbation of other serious medical conditions, and death, and frequently leads to significant fatigue, cognitive dysfunction, and decreased quality of life.</w:t>
      </w:r>
    </w:p>
    <w:p>
      <w:pPr>
        <w:spacing w:after="0" w:line="177"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8"/>
          <w:szCs w:val="18"/>
          <w:color w:val="auto"/>
        </w:rPr>
        <w:t>MDS is regarded as the most prevalent form of acquired bone marrow failure syndrome in adults. However, the incidence and prevalence of MDS are not yet well understood, and may be greatly underestimated, possibly due to under reporting and under diagnosis. MDS diagnosis became reportable under the World Health Organization oncology classification system only in 2001.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bookmarkStart w:id="24" w:name="page25"/>
    <w:bookmarkEnd w:id="24"/>
    <w:p>
      <w:pPr>
        <w:ind w:right="440"/>
        <w:spacing w:after="0" w:line="273" w:lineRule="auto"/>
        <w:rPr>
          <w:sz w:val="20"/>
          <w:szCs w:val="20"/>
          <w:color w:val="auto"/>
        </w:rPr>
      </w:pPr>
      <w:r>
        <w:rPr>
          <w:rFonts w:ascii="Times New Roman" w:cs="Times New Roman" w:eastAsia="Times New Roman" w:hAnsi="Times New Roman"/>
          <w:sz w:val="18"/>
          <w:szCs w:val="18"/>
          <w:color w:val="auto"/>
        </w:rPr>
        <w:t>National Cancer Institute estimates approximately 4.9/100,000 people in the U.S. were diagnosed with MDS annually from 2007 to 2011, an increase from 3.3/100,000 annually for 2001 to 2003.</w:t>
      </w:r>
    </w:p>
    <w:p>
      <w:pPr>
        <w:spacing w:after="0" w:line="16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incidence rate of MDS increases in older populations to 30.2/100,000 people among those 70 and 79 years of age, and further to 59.8/100,000 among those 80 years of age and older. The population-based registries are believed to have underestimated the incidence of MDS due to under diagnosis. It has been reported, using Medicare billing claims data, that the incidence of MDS in patients aged 65 years and older was approximately 162/100,000 as of 2003. The prevalence of MDS in the U.S. is estimated to be between 60,000 and 170,000, and continues to rise as more MDS therapies become available and patients are living longer with MDS.</w:t>
      </w:r>
    </w:p>
    <w:p>
      <w:pPr>
        <w:spacing w:after="0" w:line="18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In China, the incidence of MDS has been estimated to be 1.51/100,000 in the adult population. This lower rate (relative to other major markets such as the U.S., Western Europe, and Japan) may be due to under diagnosis.</w:t>
      </w:r>
    </w:p>
    <w:p>
      <w:pPr>
        <w:spacing w:after="0" w:line="165" w:lineRule="exact"/>
        <w:rPr>
          <w:sz w:val="20"/>
          <w:szCs w:val="20"/>
          <w:color w:val="auto"/>
        </w:rPr>
      </w:pPr>
    </w:p>
    <w:p>
      <w:pPr>
        <w:ind w:right="100"/>
        <w:spacing w:after="0" w:line="304" w:lineRule="auto"/>
        <w:rPr>
          <w:sz w:val="20"/>
          <w:szCs w:val="20"/>
          <w:color w:val="auto"/>
        </w:rPr>
      </w:pPr>
      <w:r>
        <w:rPr>
          <w:rFonts w:ascii="Times New Roman" w:cs="Times New Roman" w:eastAsia="Times New Roman" w:hAnsi="Times New Roman"/>
          <w:sz w:val="17"/>
          <w:szCs w:val="17"/>
          <w:color w:val="auto"/>
        </w:rPr>
        <w:t>Anemia is the most common clinical presentation in MDS, leading to red blood cell transfusions and related risks such as iron overload and significant impairment of the quality of life in affected patients. Dependency on red blood cell transfusions is associated with shorter life expectancy in patients with MDS.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the Current Standard of Care for MDS and Anemia Associated with MDS</w:t>
      </w:r>
    </w:p>
    <w:p>
      <w:pPr>
        <w:spacing w:after="0" w:line="113"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As a bone marrow disorder MDS patients often rely on repeated blood transfusions. Currently, there is no drug approved for the treatment of anemia in MDS patients in China or in the U.S., and transfusions are not readily accessible in China due to limited blood supply.</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Stem cell transplantation is the only treatment that can cure MDS, but is available to only a small fraction of higher risk young MDS patients who are eligible for bone marrow transplant. For these patients, treatment is often delayed until the disease progresses because of the known risks associated with transplantation and low success rates. This treatment option is unavailable to the majority of MDS patients who are older or who are deemed low risk.</w:t>
      </w:r>
    </w:p>
    <w:p>
      <w:pPr>
        <w:spacing w:after="0" w:line="14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There are limited approved pharmacologic treatments for MDS. The FDA-approved treatments for MDS include the aza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nucleosides (HMA) 5-azacitidine and decitabine which are typically used for treating intermediate or higher risk patients (based on the International Prognostic Scoring System). Further, these therapies are not approved for lower risk MDS patients because of their significant undesirable effects on bone marrow. These hypomethylating agents can achieve remission in a minority of the treated patients for a short duration of time before progression to acute myeloid leukemia, and are associated with significant levels of neutropenia and thrombocytopenia on top of those caused by the underlying disease. Revlimid</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(lenalidomide) is approved in the U.S. and in the EU only for treating MDS patients with 5q (del), a condition present in only 7% to 15% of MDS patients in whom a region of DNA has been deleted on one of the pair of chromosome 5 in the patient’s immature red blood cells. With a 61% to 67% responder rate in this sub-population, treatment with lenalidomide is associated with significant side effects such as neutropenia (55% to 75%) and thrombocytopenia (41% to 44%).</w:t>
      </w:r>
    </w:p>
    <w:p>
      <w:pPr>
        <w:spacing w:after="0" w:line="19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While there are no approved therapies for anemia of MDS in the U.S., treatment guidelines recommend the use of ESAs to address anemia in lower risk MDS patients that have a low EPO level. ESA doses used for MDS anemia are generally five times the doses typically used for treating anemia in CKD patients, and the response rates are as low as 20% to 32% in lower risk MDS patients. The low response rate and high ESA doses typical in MDS are primarily due to inflammation, which contributes to ESA-resistance and elevated hepcidin levels, functional iron deficiency, and the underlying progressive dysfunction of the bone marrow. Patients who initially respond to ESAs generally will develop resistance as their MDS progresses and become dependent on blood transfusions.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25" w:name="page26"/>
    <w:bookmarkEnd w:id="25"/>
    <w:p>
      <w:pPr>
        <w:ind w:right="20"/>
        <w:spacing w:after="0" w:line="214" w:lineRule="exact"/>
        <w:rPr>
          <w:sz w:val="20"/>
          <w:szCs w:val="20"/>
          <w:color w:val="auto"/>
        </w:rPr>
      </w:pPr>
      <w:r>
        <w:rPr>
          <w:rFonts w:ascii="Times New Roman" w:cs="Times New Roman" w:eastAsia="Times New Roman" w:hAnsi="Times New Roman"/>
          <w:sz w:val="18"/>
          <w:szCs w:val="18"/>
          <w:color w:val="auto"/>
        </w:rPr>
        <w:t>Red blood cell transfusion is generally reserved for severe anemia in MDS patients. In the U.S., red blood cell transfusions are usually used when Hb &lt;9.0 g/dL or lower. However, in China, the hemoglobin threshold for red blood cell transfusion is as low as &lt;6.0 g/dL in MDS patients due to limited blood supply. Frequent red blood cell transfusions impose both financial and time burdens on patients and payors since frequent visits to the hospital for blood tests and transfusions are required. More importantly, transfusions are associated with risk of development of alloantibodies, which is related to the number of prior transfusions, and the transmission of infectious agents, a particular concern in MDS patients who may have neutropenia and compromised immune systems. Most notably, chronic red blood cell transfusions result in iron overload where iron can damage the heart, liver and other organs, as well as have a negative impact on clonal evolution and on hematopoietic stem cell therapy outcome. Iron overload from red blood cell transfusions is thought to be inhibitory on erythropoiesis and excess iron impacts hepcidin regulation causing a self-reinforcing feedback loop on erythropoiesis. For these reasons, patients with iron overload are treated with iron chelating agent in an attempt to reduce iron toxicity, but gastrointestinal and renal side effects lead to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discontinuation rate of iron chelator as high as 49%. Given these risk factors, red blood cell transfusion dependency is a strong non-favorable prognostic factor for survival of MDS patients.</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disease burden of anemia in MDS is high. Severe anemia interferes with the quality of life of patients and their ability to work, in addition to damaging other organ systems due to insufficient oxygen delivery to tissues. When red blood cell transfusions become necessary to sustain bodily functions, the risk of transfusion-related complications can further threaten MDS patients’ lives and well-being.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1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believe there is a significant need for a safer, more effective, and more convenient approach to address anemia in patients with lower-risk MDS. Roxadustat, our orally administered small molecule HIF-PH inhibitor, stimulates the body’s natural mechanism of red blood cell production and iron hemostasis based on cellular-level oxygen-sensing and iron-regulation mechanisms. Roxadustat activates a coordinated erythropoietic response in the body that includes the stimulation of red blood cell progenitors, an increase in the body’s production of endogenous EPO, and an increase in iron availability for hemoglobin synthesis. Moreover, in anemia of CKD, roxadustat has demonstrated the ability in clinical trials to increase and maintain hemoglobin levels in the presence of inflammation as measured by C-reactive protein, where ESAs have shown limited effect. We believe that we may be able to replicate this result in MDS anemia patients, where it is not uncommon for patients to present with autoimmune and inflammatory conditions.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Roxadustat in MDS</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conducting a Phase 3 clinical trial to evaluate the safety and efficacy of roxadustat for treatment of anemia in MDS in the U.S. and Europe. This is a multi-center Phase 3 study in transfusion-dependent, lower risk MDS patients with up to 24 patients in the open-label, lead-in portion of the trial, followed by the 160-patient randomized, double-blind, placebo-controlled part of the study, in which subjects will be randomized 3:2 to receive roxadustat or placebo three-times-weekly for 28 weeks, with safety extension to one year. The primary endpoint is the proportion of patients who achieve transfusion independence.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China, we are conducting a Phase 2/3 clinical trial to evaluate the safety and efficacy of roxadustat in non-transfusion dependent, lower risk MDS patients with anemia. The initial open-label portion of the study will enroll up to 40 patients, followed by135 patients planned for the randomized, double-blind, placebo-controlled Phase 3 portion of the study, in which subjects will be randomized 2:1 to receive roxadustat or placebo three-times weekly for 26 weeks. The primary endpoint for this study is percentage of patients achieving a hemoglobin response.</w:t>
      </w:r>
    </w:p>
    <w:p>
      <w:pPr>
        <w:spacing w:after="0" w:line="18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We plan on reporting data from the open-label components of both MDS studies in 2019, and after review of the U.S. open-label data, we and our partners will advance to the double-blind portion of the U.S. transfusion-dependent Phase 3 MDS study.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HIF-PH Inhibitor Platform</w:t>
      </w:r>
    </w:p>
    <w:p>
      <w:pPr>
        <w:spacing w:after="0" w:line="11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been a world leader in prolyl hydroxylase inhibition since the mid-nineties. Over the past two decades, we have built a robust drug discovery platform based on our deep understanding of the inhibition of prolyl hydroxylase enzymes using small molecules. Our platform is supported by internal proprietary research and numerous academic collaborations, including a long-standing funded collaboration with a research group at the University of Oulu, Finland, headed for many years by our scientific co-founder, Kari I. Kivirikko, M.D., Ph.D. Dr. Kivirikko is one of the world’s leading experts in collagen prolyl hydroxylases, and he remains an advisor to us.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26" w:name="page27"/>
    <w:bookmarkEnd w:id="26"/>
    <w:p>
      <w:pPr>
        <w:ind w:right="40"/>
        <w:spacing w:after="0" w:line="255" w:lineRule="auto"/>
        <w:rPr>
          <w:sz w:val="20"/>
          <w:szCs w:val="20"/>
          <w:color w:val="auto"/>
        </w:rPr>
      </w:pPr>
      <w:r>
        <w:rPr>
          <w:rFonts w:ascii="Times New Roman" w:cs="Times New Roman" w:eastAsia="Times New Roman" w:hAnsi="Times New Roman"/>
          <w:sz w:val="18"/>
          <w:szCs w:val="18"/>
          <w:color w:val="auto"/>
        </w:rPr>
        <w:t>Prior to the discovery of HIF regulation by prolyl hydroxylase activity, we acquired compound collections from several pharmaceutical companies and assembled a diverse library of prolyl hydroxylase inhibitors to target collagen prolyl hydroxylase enzymes for fibrosis. Consequently, we were particularly well positioned to rapidly generate proof-of-concept for a number of aspects of HIF biology, and to direct medicinal chemistry efforts towards increasing potency and selectivity for the newly identified HIF-PH enzymes.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applied our expertise in the field of HIF-PH inhibition to develop an understanding, not only of the role of HIF in erythropoiesis, but also of other areas of HIF biology with important therapeutic implications. This consistent progression of discovery has led to findings relating to HIF-mediated effects associated with inflammatory pathways, various aspects of iron metabolism, insulin sensitivity and glucose and fat metabolism, neurological disease, and stroke. The extensive patent portfolio covering our discoveries represents an important competitive advantage.</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strength of our platform capitalizes on these internal discoveries, as well as some of the complexities of HIF biology that we and the scientific community have uncovered over the past decades. There are at least three different HIF-PH enzymes that are known to regulate the stability of HIF — these enzymes are commonly referred to in the scientific literature as PHD1, PHD2 and PHD3. Studies of genetically modified mice, in which the individual HIF-PH enzymes have been deleted, have revealed that PHD2 plays a major role in the regulation of erythropoiesis by HIF. In contrast, PHD1 and PHD3 appear to play less important roles in HIF-mediated erythropoiesis, but instead have been implicated in other important biological pathways.</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that inhibitors selectively targeting certain prolyl hydroxylases could have important therapeutic applications beyond anemia. For example, as PHD1 has been implicated in ischemic tissue injury, it has been proposed that PHD1 inhibitors may provide a novel therapeutic approach to protect organs and tissues from ischemic damage. PHD3 on the other hand has been implicated in insulin signaling, raising the possibility that PHD3 inhibitors may have therapeutic utility in the treatment of diabetes. Despite the challenges associated with selectively inhibiting just one enzyme from a closely related family, we have made important advances in the identification of selective HIF-PH inhibitors.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active research programs focused on exploring the therapeutic utility of selective prolyl hydroxylase inhibitors.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PAMREVLUMAB FOR THE TREATMENT OF FIBROSIS AND CANCER</w:t>
      </w:r>
    </w:p>
    <w:p>
      <w:pPr>
        <w:spacing w:after="0" w:line="113"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We were founded to discover and develop therapeutics for fibrosis and began studying CTGF shortly after its discovery. Our accumulated discovery research efforts indicate that CTGF is a critical common element in the progression of serious diseases associated with fibrosis.</w:t>
      </w:r>
    </w:p>
    <w:p>
      <w:pPr>
        <w:spacing w:after="0" w:line="16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From our library of human monoclonal antibodies that bind to different parts of the CTGF protein and block various aspects of CTGF biological activity, we selected pamrevlumab, for which we have exclusive worldwide rights. We believe that pamrevlumab blocks CTGF and inhibits its central role in causing diseases associated with fibrosis. Our data to date indicate that pamrevlumab is a promising and highly differentiated product candidate with broad potential to treat a number of fibrotic diseases and cancers.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currently conducting Phase 2 trials in pancreatic cancer and DMD and plan on initiating Phase 3 studies in pancreatic cancer and IPF in the second quarter of 2019. We have reported results from our Phase 2 trials in IPF and pancreatic cancer, and plan on initiating our Phase 3 studies in pancreatic cancer and IPF in the second quarter of 2019. Pamrevlumab has received orphan drug designation for IPF and Fast Track designation for the treatment of both IPF patients and patients with locally advanced unresectable pancreatic cancer from the FDA.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Overview of Fibrosis</w:t>
      </w:r>
    </w:p>
    <w:p>
      <w:pPr>
        <w:spacing w:after="0" w:line="11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Fibrosis is an aberrant response of the body to tissue injury that may be caused by trauma, inflammation, infection, cell injury, or cancer. The normal response to injury involves the activation of cells that produce collagen and other components of the extracellular matrix (“ECM”) that are part of the healing process. This healing process helps to fill in tissue voids created by the injury or damage, segregate infections or cancer, and provide strength to the recovering tissue. Under normal circumstances, where the cause of the tissue injury is limited, the scarring process is self-limited and the scar resolves to approximate normal tissue architecture. However, in certain disease states, this process is prolonged and excessive and results in progressive tissue scarring, or fibrosis, which can cause organ dysfunction and failure as well as, in the case of certain cancers, promote cancer progression.</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Excess CTGF Causes Fibrosis. Pamrevlumab Blocks CTGF and Can Reverse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83185</wp:posOffset>
            </wp:positionV>
            <wp:extent cx="4070350" cy="2842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70350" cy="284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Excess CTGF levels are associated with fibrosis. CTGF increases the abundance of myofibroblasts, a cell type that drives wound healing, and stimulates them to deposit ECM proteins such as collagen at the site of tissue injury. In the case of normal healing of a limited tissue injury, myofibroblasts eventually die by programmed cell death, or apoptosis, and the fibrous scarring process recedes. In fibrotic conditions, excess CTGF results in chronic activation of myofibroblasts, which leads to chronic ECM deposition and fibrosis (refer to figure above).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649" w:right="299" w:bottom="1440" w:gutter="0" w:footer="0" w:header="0"/>
        </w:sectPr>
      </w:pPr>
    </w:p>
    <w:bookmarkStart w:id="28" w:name="page29"/>
    <w:bookmarkEnd w:id="28"/>
    <w:p>
      <w:pPr>
        <w:ind w:right="100"/>
        <w:spacing w:after="0" w:line="255" w:lineRule="auto"/>
        <w:rPr>
          <w:sz w:val="20"/>
          <w:szCs w:val="20"/>
          <w:color w:val="auto"/>
        </w:rPr>
      </w:pPr>
      <w:r>
        <w:rPr>
          <w:rFonts w:ascii="Times New Roman" w:cs="Times New Roman" w:eastAsia="Times New Roman" w:hAnsi="Times New Roman"/>
          <w:sz w:val="18"/>
          <w:szCs w:val="18"/>
          <w:color w:val="auto"/>
        </w:rPr>
        <w:t>Multiple biological agents and pathways have been implicated in the fibrotic process (Wynn J Pathol (2008)). Many fibrosis pathways converge on CTGF (refer to figure below), which the scientific literature demonstrates to be a central mediator of fibrosis (Oliver et al., J Inv Derm (2010)). In the case of cancer, the sustained tumor-associated fibrotic tissue promotes tumor cell survival and metastasis. The figure below shows the commonality of cellular mechanisms that may result in fibrosis and cancer.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Most Biological Factors Implicated in Fibrosis Work Through CTGF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83185</wp:posOffset>
            </wp:positionV>
            <wp:extent cx="3784600" cy="256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84600" cy="256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CTGF is a secreted glycoprotein produced by fibroblasts, endothelium, mesangial cells and other cell types, including cancers, and is induced by a variety of regulatory modulators, including TGF-ß and VEGF. CTGF expression has been demonstrated to be up-regulated in fibrotic tissues. Thus, we believe that targeting CTGF to block or inhibit its activity could stop or reverse tissue fibrosis. In addition, since CTGF is implicated in nearly all forms of fibrosis, we believe pamrevlumab has the potential to provide clinical benefit in a wide range of clinical indications that are characterized by fibrosis.</w:t>
      </w:r>
    </w:p>
    <w:p>
      <w:pPr>
        <w:spacing w:after="0" w:line="18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Until recently, it was believed that fibrosis was an irreversible process. It is now generally understood that the process is dynamic and potentially amenable to reversal. Based on studies in animal models of fibrosis of the liver, kidney, muscle and cardiovascular system, it has been shown that fibrosis can be reversed. It has also been demonstrated in humans that fibrosis caused by hepatitis virus can be reversed (Chang et al. Hepatology (2010)). Additionally, we have generated data in human and animal studies that lung fibrosis progression can be slowed, arrested, or possibly reversed in some instances upon treatment with pamrevlumab. We do not believe that there is clinical evidence that therapies currently on the market directly prevent or reverse fibrosis in IPF.</w:t>
      </w:r>
    </w:p>
    <w:p>
      <w:pPr>
        <w:spacing w:after="0" w:line="168"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While certain other companies are working on topical inhibition of CTGF, we are not aware of other products in development that target CTGF inhibition for deep organ fibrosis and cancer.</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Pamrevlumab — Overview</w:t>
      </w:r>
    </w:p>
    <w:p>
      <w:pPr>
        <w:spacing w:after="0" w:line="11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7"/>
          <w:szCs w:val="17"/>
          <w:color w:val="auto"/>
        </w:rPr>
        <w:t>We have performed clinical trials of pamrevlumab in IPF, pancreatic cancer, liver fibrosis and diabetic kidney disease. In eleven Phase 1 and Phase 2 clinical studies involving pamrevlumab to date, including more than 450 patients who were treated with pamrevlumab (about half of patients dosed for more than six months), pamrevlumab has been well-tolerated across the range of doses studied, and there have been no dose-limiting toxicities seen thus far.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Idiopathic Pulmonary Fibrosis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Understanding IPF and the Limitations of Current Therapies</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IPF is a form of progressive pulmonary fibrosis, or abnormal scarring, which destroys the structure and function of the lungs. As tissue scarring progresses in the lungs, transfer of oxygen into the bloodstream is increasingly impaired. Average life expectancy at the time of confirmed diagnosis of IPF is estimated to be between three to five years, with approximately two-thirds of patients dying within five years of diagnosis. Thus, the survival rates are comparable to some of the most deadly cancers. The cause of IPF is unknown but is believed to be related to unregulated cycles of injury, inflammation and fibrosis.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29" w:name="page30"/>
    <w:bookmarkEnd w:id="29"/>
    <w:p>
      <w:pPr>
        <w:ind w:right="20"/>
        <w:spacing w:after="0" w:line="255" w:lineRule="auto"/>
        <w:rPr>
          <w:sz w:val="20"/>
          <w:szCs w:val="20"/>
          <w:color w:val="auto"/>
        </w:rPr>
      </w:pPr>
      <w:r>
        <w:rPr>
          <w:rFonts w:ascii="Times New Roman" w:cs="Times New Roman" w:eastAsia="Times New Roman" w:hAnsi="Times New Roman"/>
          <w:sz w:val="18"/>
          <w:szCs w:val="18"/>
          <w:color w:val="auto"/>
        </w:rPr>
        <w:t>Patients with IPF experience debilitating symptoms, including shortness of breath and difficulty performing routine functions, such as walking and talking. Other symptoms include chronic dry, hacking cough, fatigue, weakness, discomfort in the chest, loss of appetite, and weight loss. Over the last decade, refinements in diagnosis criteria and enhancements in high-resolution computed tomography imaging technology (“quantitative HRCT”) have enabled more reliable diagnosis of IPF without the need for a lung biopsy more clear distinction from other interstitial lung diseases.</w:t>
      </w:r>
    </w:p>
    <w:p>
      <w:pPr>
        <w:spacing w:after="0" w:line="18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U.S. prevalence and incidence of IPF are estimated to be 44,000 to 135,000 cases, and 21,000 new cases per year, respectively, based on Raghu et al. (Am J Respir Crit Care Med (2006)) and on data from the United Nations Population Division. We believe that with the availability of technology to enable more accurate diagnoses, the number of individuals diagnosed per year with IPF will continue to increase.</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are currently two therapies approved to treat IPF in Europe and the U.S., pirfenidone and nintedanib. The approvals and subsequent launches of pirfenidone and nintedanib have clearly shown the commercial potential in IPF. Hoffmann-La Roche (“Roche”) reported worldwide sales of pirfenidone for 2017 of approximately $930 million, and approximately $1.01 billion for 2018. Similarly, Boehringer Ingelheim Pharma GmbH &amp; Co. KG (“Boehringer Ingelheim”) reported total sales of approximately $1.03 billion for nintedanib in 2017, and approximately $643 million in the first half of 2018.</w:t>
      </w:r>
    </w:p>
    <w:p>
      <w:pPr>
        <w:spacing w:after="0" w:line="180"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In clinical trials, we have used advanced medical imaging technology to quantify changes in fibrosis throughout the lungs. Our data to date using these measures demonstrate that pamrevlumab may stabilize and in some instances reverse pulmonary fibrosis (as measured by HRCT) and improve pulmonary function in IPF patients.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3 Clinical Development – Randomized, Double-Blind, Placebo-Controlled Trial of Pamrevlumab in IPF</w:t>
      </w:r>
    </w:p>
    <w:p>
      <w:pPr>
        <w:spacing w:after="0" w:line="11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plan to begin enrolling our double-blind, placebo-controlled Phase 3 trial of pamrevlumab in the second quarter of 2019. The trial will randomize (3:2) approximately 500 IPF patients (who are not being treated during the study with approved therapies) to either pamrevlumab or placebo. This study is powered to meet the FDA requirement of a highly statistically-significant result in the primary efficacy endpoint of change from baseline in forced vital capacity (“FVC”). Secondary endpoints will include clinical outcomes of disease progression, patient reported outcomes, and quantitative changes in lung fibrosis volume from baseline.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Study 067 – Randomized, Double-Blind, Placebo-Controlled Phase 2 Trial of Pamrevlumab in IPF</w:t>
      </w:r>
    </w:p>
    <w:p>
      <w:pPr>
        <w:spacing w:after="0" w:line="11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In August 2017, we reported positive topline results from our randomized, double-blind, placebo-controlled Phase 2 clinical trial (Study 067) designed to evaluate the safety and efficacy of pamrevlumab in patients with mild-to-moderate IPF (baseline FVC percentage predicted of 55%), as well as topline results from two sub-studies that were added to evaluate the safety of combining pamrevlumab with recently approved IPF therapies.</w:t>
      </w:r>
    </w:p>
    <w:p>
      <w:pPr>
        <w:spacing w:after="0" w:line="17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In the double-blind, placebo-controlled 48-week portion of this study, one hundred-three (103) patients were randomized (1:1) to receive either 30mg/kg of pamrevlumab or placebo intravenously every three weeks. Lung function assessments were conducted at baseline and at Weeks 12, 24, 36 and 48. Quantitative HRCT assessments were performed at baseline and on Weeks 24 and 48.</w:t>
      </w:r>
    </w:p>
    <w:p>
      <w:pPr>
        <w:spacing w:after="0" w:line="17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Pamrevlumab met the primary efficacy endpoint of change of FVC percent predicted, a measure of a patient’s lung volume as a percentage of what would be expected for such patient’s age, race, sex and height. The average decline (least squares mean) in FVC percent predicted from baseline to Week 48 was 2.85 in the pamrevlumab arm (n=50) as compared to an average decline of 7.17 in the placebo arm (n=51), a statistically significant difference of 4.33 (p=0.0331, using a linear slope analysis in the Intent to Treat (“ITT”) population).</w:t>
      </w:r>
    </w:p>
    <w:p>
      <w:pPr>
        <w:spacing w:after="0" w:line="1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Pamrevlumab-treated patients had an average decrease (least squares mean) in FVC of 129 ml at Week 48 compared to an average decrease of 308 ml in patients receiving placebo, a statistically significant difference of 178 ml (p=0.0249, using a linear slope analysis in the ITT population). This represents a 57.9% relative difference. In addition, the pamrevlumab-treated arm had a lower proportion of patients (10%) who experienced disease progression (defined by a decline in FVC percent predicted of greater than or equal to 10%) or death, than did the placebo arm (31.4%) at Week 48 (p=0.0103). The percentage of pamrevlumab patients who experienced disease progression and discontinued therapy was less than 15% of that in the placebo arm.</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this study, we measured change in quantitative lung fibrosis from baseline to Week 24 and Week 48 using quantitative HRCT. The pamrevlumab arm achieved a statistically significant reduction in the rate of progression of lung fibrosis compared to placebo using HRCT to measure quantitative lung fibrosis (“QLF”). The change in QLF volume from baseline to Week 24 for pamrevlumab-treated patients was 24.8 ml vs. 86.4 ml for placebo, with a treatment difference of -61.6 ml, p=0.009. The change in QLF volume from baseline to 48 weeks was 75.4 ml in pamrevlumab-treated patients vs. 151.5 ml in patients on placebo, with a treatment difference of -76.2 ml, p=0.038.</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30" w:name="page31"/>
    <w:bookmarkEnd w:id="30"/>
    <w:p>
      <w:pPr>
        <w:ind w:right="140"/>
        <w:spacing w:after="0" w:line="273" w:lineRule="auto"/>
        <w:rPr>
          <w:sz w:val="20"/>
          <w:szCs w:val="20"/>
          <w:color w:val="auto"/>
        </w:rPr>
      </w:pPr>
      <w:r>
        <w:rPr>
          <w:rFonts w:ascii="Times New Roman" w:cs="Times New Roman" w:eastAsia="Times New Roman" w:hAnsi="Times New Roman"/>
          <w:sz w:val="18"/>
          <w:szCs w:val="18"/>
          <w:color w:val="auto"/>
        </w:rPr>
        <w:t>As in our previous open label Phase 2 study, a correlation between FVC percent predicted and quantitative lung fibrosis was confirmed at both Week 24 and 48 in this study.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aware of any other IPF therapies that have shown a statistically significant effect on lung fibrosis as measured by quantitative HRCT analysis.</w:t>
      </w:r>
    </w:p>
    <w:p>
      <w:pPr>
        <w:spacing w:after="0" w:line="2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The treatment effects of pamrevlumab were demonstrated not only on change in FVC, a measure of pulmonary function and IPF disease progression, and change in fibrosis using quantitative HRCT, but pamrevlumab-treated patients also showed a trend of clinically meaningful improvement in a measure of health-related quality of life using the St. George’s Respiratory Questionnaire (SGRQ) vs. a reduction in quality of life seen in placebo patients over the 48 weeks of treatment. The SGRQ quality of life measurement has been validated in chronic obstructive pulmonary disease. In the patients that were evaluated by the UCSD Shortness of Breath Questionnaire, pamrevlumab-treated patients had a significant attenuation of their worsening dyspnea in comparison to placebo.</w:t>
      </w:r>
    </w:p>
    <w:p>
      <w:pPr>
        <w:spacing w:after="0" w:line="16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Pamrevlumab was well-tolerated in the placebo-controlled study. The TEAEs were comparable between the pamrevlumab and placebo arms and the adverse events in the pamrevlumab arm were consistent with the known safety profile of pamrevlumab. In this study, as compared with the placebo group, fewer pamrevlumab patients were hospitalized, following an IPF-related or respiratory TEAE, or died for any reason.</w:t>
      </w:r>
    </w:p>
    <w:p>
      <w:pPr>
        <w:spacing w:after="0" w:line="17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double-blind, active-controlled combination sub-studies were designed to assess the safety of combining pamrevlumab with standard of care medication in IPF patients. Study subjects were on stable doses of pirfenidone or nintedanib for at least three months and were randomized 2:1 to receive 30 mg/kg of pamrevlumab or placebo every three weeks for 24 weeks. Thirty-six patients were enrolled in the pirfenidone sub-study and 21 patients were enrolled in the nintedanib sub-study. Pamrevlumab appeared to be well-tolerated when given in combination with either pirfenidone or nintedanib.</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Study 049 – Open-Label Phase 2 Trial of Pamrevlumab in IPF</w:t>
      </w:r>
    </w:p>
    <w:p>
      <w:pPr>
        <w:spacing w:after="0" w:line="11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We completed an open-label extension of Study 049, a Phase 2 open-label, dose-escalation study to evaluate the safety, tolerability, and efficacy of pamrevlumab in 89 patients with IPF. During the initial one-year treatment period, pamrevlumab was administered at a dose of 15 mg/kg in Cohort 1 (53 patients) and 30 mg/kg in Cohort 2 (36 patients) by IV infusion every three weeks for 45 weeks. After 45 weeks of dosing, subjects whose FVC declined less than predicted were allowed to continue dosing in an extension study until they had disease progression. Nineteen patients from Cohort 1 (35.8%) and 18 patients from Cohort 2</w:t>
      </w:r>
    </w:p>
    <w:p>
      <w:pPr>
        <w:spacing w:after="0" w:line="247" w:lineRule="auto"/>
        <w:rPr>
          <w:sz w:val="20"/>
          <w:szCs w:val="20"/>
          <w:color w:val="auto"/>
        </w:rPr>
      </w:pPr>
      <w:r>
        <w:rPr>
          <w:rFonts w:ascii="Times New Roman" w:cs="Times New Roman" w:eastAsia="Times New Roman" w:hAnsi="Times New Roman"/>
          <w:sz w:val="18"/>
          <w:szCs w:val="18"/>
          <w:color w:val="auto"/>
        </w:rPr>
        <w:t>(50.0%) entered the extension study. Efficacy endpoints were pulmonary function assessments, extent of pulmonary fibrosis as measured by quantitative imaging and measures of health-related quality of life. We presented data from our open-label Phase 2 IPF extension study (049) at the International Colloquium on Lung and Airway Fibrosis in November 2016, reporting that no safety issues were observed during prolonged treatment with pamrevlumab. Some of the 37 patients who enrolled in the extension study were treated with pamrevlumab for up to five years. Trends regarding improved or stable pulmonary function and stable fibrosis observed during the initial one-year study were also observed in the extension study.</w:t>
      </w:r>
    </w:p>
    <w:p>
      <w:pPr>
        <w:spacing w:after="0" w:line="18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In Cohort 1, we enrolled patients with a wide range of disease severity to assess safety and efficacy. Baseline FVC percent predicted for Cohort 1 was 43% to 90%, with a mean of 62.8%. In contrast, other IPF clinical trials, such as those for pirfenidone and nintedanib, have enrolled patients who on average had mild to moderate disease (mean FVC percent predicted 73.1% to 85.5%). Fourteen patients in Cohort 1 withdrew, and ten of the 14 had severe disease.</w:t>
      </w:r>
    </w:p>
    <w:p>
      <w:pPr>
        <w:spacing w:after="0" w:line="17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In order to enroll IPF patients similar to those in other IPF trials, we amended the protocol for Cohort 2 to include only patients with mild to moderate disease (FVC ≥ 55% predicted). Baseline FVC percent predicted for Cohort 2 was 53% to 112%, with a mean of 72.7%. Based on this definition of disease severity, 37 patients in Cohort 1 and 32 patients in Cohort 2 had mild to moderate disease.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31" w:name="page32"/>
    <w:bookmarkEnd w:id="31"/>
    <w:p>
      <w:pPr>
        <w:ind w:right="20"/>
        <w:spacing w:after="0" w:line="274" w:lineRule="auto"/>
        <w:rPr>
          <w:sz w:val="20"/>
          <w:szCs w:val="20"/>
          <w:color w:val="auto"/>
        </w:rPr>
      </w:pPr>
      <w:r>
        <w:rPr>
          <w:rFonts w:ascii="Times New Roman" w:cs="Times New Roman" w:eastAsia="Times New Roman" w:hAnsi="Times New Roman"/>
          <w:sz w:val="17"/>
          <w:szCs w:val="17"/>
          <w:color w:val="auto"/>
        </w:rPr>
        <w:t>The table below provides a summary of the observed quantitative change in fibrosis for mild to moderate patients in Cohorts 1 and 2 as measured by quantitative HRCT. Twenty-four percent of these patients had improved fibrosis at Week 48. We believe that this is the first trial to demonstrate a reversal of fibrosis (as measured by HRCT) in a subset of IPF patients. Stable fibrosis has been considered the only achievable favorable outcome in IPF. The table below sets forth the number of patients who showed stable or improved fibrosis at Weeks 24 and 48 compared to the amount of fibrosis at the start of the trial.</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Changes in Fibrosis in Patients with Mild to Moderate IPF Treated with Pamrevlumab in FGCL-3019-049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1858645" cy="3702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58645" cy="37020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5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Stable or Improved</w:t>
            </w:r>
          </w:p>
        </w:tc>
        <w:tc>
          <w:tcPr>
            <w:tcW w:w="26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Improved Compared to</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Improved Compared</w:t>
            </w:r>
          </w:p>
        </w:tc>
      </w:tr>
      <w:tr>
        <w:trPr>
          <w:trHeight w:val="170"/>
        </w:trPr>
        <w:tc>
          <w:tcPr>
            <w:tcW w:w="3020" w:type="dxa"/>
            <w:vAlign w:val="bottom"/>
          </w:tcPr>
          <w:p>
            <w:pPr>
              <w:spacing w:after="0"/>
              <w:rPr>
                <w:sz w:val="14"/>
                <w:szCs w:val="14"/>
                <w:color w:val="auto"/>
              </w:rPr>
            </w:pPr>
          </w:p>
        </w:tc>
        <w:tc>
          <w:tcPr>
            <w:tcW w:w="2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Compared to Baseline</w:t>
            </w:r>
          </w:p>
        </w:tc>
        <w:tc>
          <w:tcPr>
            <w:tcW w:w="8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Baseline</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Week 24</w:t>
            </w:r>
          </w:p>
        </w:tc>
      </w:tr>
      <w:tr>
        <w:trPr>
          <w:trHeight w:val="179"/>
        </w:trPr>
        <w:tc>
          <w:tcPr>
            <w:tcW w:w="30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Week 24</w:t>
            </w:r>
          </w:p>
        </w:tc>
        <w:tc>
          <w:tcPr>
            <w:tcW w:w="2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Week 48</w:t>
            </w:r>
          </w:p>
        </w:tc>
        <w:tc>
          <w:tcPr>
            <w:tcW w:w="8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Week 24</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Week 48</w:t>
            </w:r>
          </w:p>
        </w:tc>
        <w:tc>
          <w:tcPr>
            <w:tcW w:w="10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Week 48</w:t>
            </w:r>
          </w:p>
        </w:tc>
      </w:tr>
      <w:tr>
        <w:trPr>
          <w:trHeight w:val="232"/>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Cohort 1</w:t>
            </w:r>
          </w:p>
        </w:tc>
        <w:tc>
          <w:tcPr>
            <w:tcW w:w="13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21/45(47%)</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14/38(37%)</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12/45(27%)</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12/38(32%)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8/38(21%)</w:t>
            </w: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Cohort 2</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12/29(41%)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9/28(32%)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4/28(14%)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8/26(31%)</w:t>
            </w:r>
          </w:p>
        </w:tc>
      </w:tr>
      <w:tr>
        <w:trPr>
          <w:trHeight w:val="238"/>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3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33/75(44%)</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23/66(35%)</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17/74(23%)</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16/66(24%)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5158740</wp:posOffset>
            </wp:positionH>
            <wp:positionV relativeFrom="paragraph">
              <wp:posOffset>-461645</wp:posOffset>
            </wp:positionV>
            <wp:extent cx="590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-461645</wp:posOffset>
            </wp:positionV>
            <wp:extent cx="1428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-461645</wp:posOffset>
            </wp:positionV>
            <wp:extent cx="590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-461645</wp:posOffset>
            </wp:positionV>
            <wp:extent cx="1346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4620" cy="8255"/>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-588010</wp:posOffset>
            </wp:positionV>
            <wp:extent cx="59055" cy="134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055" cy="134620"/>
                    </a:xfrm>
                    <a:prstGeom prst="rect">
                      <a:avLst/>
                    </a:prstGeom>
                    <a:noFill/>
                  </pic:spPr>
                </pic:pic>
              </a:graphicData>
            </a:graphic>
          </wp:anchor>
        </w:drawing>
      </w:r>
    </w:p>
    <w:p>
      <w:pPr>
        <w:spacing w:after="0" w:line="174" w:lineRule="exact"/>
        <w:rPr>
          <w:sz w:val="20"/>
          <w:szCs w:val="20"/>
          <w:color w:val="auto"/>
        </w:rPr>
      </w:pPr>
    </w:p>
    <w:p>
      <w:pPr>
        <w:ind w:right="40" w:firstLine="34"/>
        <w:spacing w:after="0" w:line="268" w:lineRule="auto"/>
        <w:rPr>
          <w:sz w:val="20"/>
          <w:szCs w:val="20"/>
          <w:color w:val="auto"/>
        </w:rPr>
      </w:pPr>
      <w:r>
        <w:rPr>
          <w:rFonts w:ascii="Times New Roman" w:cs="Times New Roman" w:eastAsia="Times New Roman" w:hAnsi="Times New Roman"/>
          <w:sz w:val="17"/>
          <w:szCs w:val="17"/>
          <w:color w:val="auto"/>
        </w:rPr>
        <w:t>As we observed in our randomized, double-blind, placebo-controlled Phase 2 clinical trial (Study 067), fibrosis improvement or stabilization in patients with mild to moderate disease as measured as reticular fibrosis by quantitative HRCT correlated with improvement or stabilization of pulmonary function measured by FVC (p&lt;0.0001; r=-0.59 Cohorts 1 and 2 combined). The figure below shows FVC changes up to Week 48 for mild to moderate patients with stable or improved fibrosis (as measured by HRCT) vs. patients with worsening fibrosis. Patients with stable or improved fibrosis showed improved pulmonary function, on average, which was significantly different or better than patients with worsening fibrosis who showed a substantial decline in FVC (p= 0.0001, Cohorts 1 and 2 combined). Patients with worsening fibrosis had pulmonary function that was similar to the annual decline in pulmonary function for typical IPF patients.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Categorical Analysis of FVC Change from Baseline (BL) (mean ±SE) in FGCL-3019-049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83185</wp:posOffset>
            </wp:positionV>
            <wp:extent cx="2691130" cy="1925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91130" cy="192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Eighty-nine patients had at least one adverse event. The most common reported events were cough, fatigue, shortness of breath, upper respiratory tract infection, sore throat, bronchitis, nausea, dizziness, and urinary tract infection. To date, including the open-label extension, there have been 45 SAEs in 31 patients, four of which were considered possibly related by the principal investigator to study treatment. During the first year of treatment there were 38 TSAEs in 24 patients. Adverse events observed to date are consistent with typical conditions observed in this patient population.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Open-Label Phase 1 Trial of Pamrevlumab in IPF</w:t>
      </w:r>
    </w:p>
    <w:p>
      <w:pPr>
        <w:spacing w:after="0" w:line="1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Study 002 was a Phase 1 open-label study to determine the safety and pharmacokinetics of escalating single doses of pamrevlumab. Patients with a diagnosis of IPF by clinical features and surgical lung biopsy received a single IV dose of pamrevlumab at 1, 3, or 10 mg/kg. A total of 21 patients were enrolled in the study; six patients received a dose of 1 mg/kg, nine patients received 3 mg/kg, and six patients received 10 mg/kg. Pamrevlumab was well tolerated across the range of doses studied; and there were no dose-limiting toxicities. TEAE that were considered to be possibly related by the principal investigator to pamrevlumab were mild and self-limited, consisting of pyrexia, cough and headache.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Pancreatic Cancer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Understanding Pancreatic Cancer and the Limitations of Current Therapies</w:t>
      </w:r>
    </w:p>
    <w:p>
      <w:pPr>
        <w:spacing w:after="0" w:line="11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Certain solid malignant tumors have a prominent fibrosis component consisting mostly of ECM that contributes to metastasis and progressive disease. ECM is the connective tissue framework of an organ or tissue.</w:t>
      </w:r>
    </w:p>
    <w:p>
      <w:pPr>
        <w:spacing w:after="0" w:line="16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Pancreatic ductal adenocarcinoma, or pancreatic cancer, is the third leading cause of cancer deaths in the U.S. According to the Europe Commission’s European Cancer Information System, there were 100,005 new cases of pancreatic cancer and 95,373 deaths from pancreatic cancer in the EU projected for 2018. The National Cancer Center of Japan estimated that there were 36,239 new cases of pancreatic cancer in 2014, increased from 24,442 cases in 2004. In its report of December 2017, Decision Resources Group estimated that the major market sales (U.S., EU5 and Japan) of pancreatic cancer drugs will grow from $1.3 billion in 2016 to approximately $3.7 billion in 2026. According to the U.S. National Cancer Institute, in 2018, there were approximately 55,000 new cases of pancreatic cancer projected in the U.S. Fifty percent of new cases are metastatic. Another 15-20% have localized resectable tumors. The remaining 30-35% have localized but unresectable tumors.</w:t>
      </w:r>
    </w:p>
    <w:p>
      <w:pPr>
        <w:spacing w:after="0" w:line="186"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For those with non-resectable tumors, median survival is eight to 12 months post-diagnosis, and about 8% realize five years of survival; similar to metastatic cases. For those with resectable tumors, 50% survive 17 to 27 months post-diagnosis and ~20% report five-year survival.</w:t>
      </w:r>
    </w:p>
    <w:p>
      <w:pPr>
        <w:spacing w:after="0" w:line="1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Pancreatic cancer is aggressive and typically not diagnosed until it is largely incurable. Most patients are diagnosed after the age of 45, and according to the American Cancer Society, 94% of patients die within five years from diagnosis. The majority of patients are treated with chemotherapy, but pancreatic cancer is highly resistant to chemotherapy. Approximately 15% to 20% of patients are treated with surgery; however, even for those with successful surgical resection, the median survival is approximately two years, with a five year survival rate of 15% to 20% (Neesse et al. Gut (2011)). Radiation treatment may be used for locally advanced diseases, but it is not curative.</w:t>
      </w:r>
    </w:p>
    <w:p>
      <w:pPr>
        <w:spacing w:after="0" w:line="18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duration of effect of approved anti-cancer agents to treat pancreatic cancer is limited. Gemcitabine demonstrated improvement in median overall survival from approximately four to six months, and erlotinib in combination with gemcitabine demonstrated an additional ten days of survival. Nab-paclitaxel in combination with gemcitabine was approved by the FDA in 2013 for the treatment of pancreatic cancer, having demonstrated median survival of 8.5 months. The combination of folinic acid, 5-fluorouracil, irinotecan and oxaliplatin (FOLFIRINOX) was reported to increase survival to 11.1 months from 6.8 months with gemcitabine. These drugs illustrate that progress in treatment for pancreatic cancer has been modest, and there remains a need for substantial improvement in patient survival and quality of life.</w:t>
      </w:r>
    </w:p>
    <w:p>
      <w:pPr>
        <w:spacing w:after="0" w:line="1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approved chemotherapeutic treatments for pancreatic cancer target the cancer cells themselves. Tumors are composed of cancer cells and associated non-cancer tissue, or stroma, of which ECM is a major component. In certain cancers such as pancreatic cancer, both the stroma and tumor cells produce CTGF which in turn promotes the proliferation and survival of stromal and tumor cells. CTGF also induces ECM deposition that provides advantageous conditions for tumor cell adherence and proliferation, promotes blood vessel formation, or angiogenesis, and promotes metastasis, or tumor cell migration, to other parts of the body.</w:t>
      </w:r>
    </w:p>
    <w:p>
      <w:pPr>
        <w:spacing w:after="0" w:line="1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Pancreatic cancers are generally resistant to powerful chemotherapeutic agents, and there is now growing interest in the use of an anti-fibrotic agent to diminish the supportive role of stroma in tumor cell growth and metastasis. The anti-tumor effects observed with pamrevlumab in preclinical models indicate that it has the potential to inhibit tumor expansion through effects on tumor cell proliferation and apoptosis as well as reduce metastasis.</w:t>
      </w:r>
    </w:p>
    <w:p>
      <w:pPr>
        <w:spacing w:after="0" w:line="279"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Phase 3 Clinical Development – Randomized, Double-Blind, Placebo-Controlled Trial of Pamrevlumab in Locally Advanced, Unresectable Pancreatic Cancer</w:t>
      </w:r>
    </w:p>
    <w:p>
      <w:pPr>
        <w:spacing w:after="0" w:line="5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plan to begin enrolling a double-blind placebo controlled Phase 3 trial of pamrevlumab as a neoadjuvant therapy for pancreatic cancer in the second quarter of 2019. We intend to enroll approximately 260 patients, randomized 1:1 to receive either pamrevlumab, in combination with gemcitabine and nab-paclitaxel, or chemotherapy with placebo. After completion of the 6-month treatment period, if the results show an improved resection rate in the pamrevlumab arm, we may request a meeting with the FDA to discuss the adequacy of these results to support a marketing application under the provisions of accelerated approval. After this interim assessment of resection rates, the study will continue to collect data on overall survival, the primary endpoint.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64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Study 069 – Randomized, Open-Label, Active-Controlled Phase 1/2 Trial of Pamrevlumab in Locally Advanced Pancreatic Cancer</w:t>
      </w:r>
    </w:p>
    <w:p>
      <w:pPr>
        <w:spacing w:after="0" w:line="11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continue to follow patients in our ongoing open-label, randomized (2:1) Phase 1/2 trial (FGC004C-3019-069) of pamrevlumab combined with gemcitabine plus nab-paclitaxel chemotherapy vs. the chemotherapy regimen alone in patients with inoperable locally advanced pancreatic cancer that has not been previously treated. We enrolled 37 patients in this study and completed the six-month treatment period and surgical assessment at the end of 2017. The overall goal of the trial is to determine whether the pamrevlumab combination can convert inoperable pancreatic cancer to operable, or resectable, cancer. Tumor removal is the only chance for cure of pancreatic cancer, but only approximately 15% to 20% of patients are eligible for surgery.</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reported updated results from this ongoing study at the American Society of Clinical Oncology Annual Meeting in June 2018. A higher proportion (70.8%) of pamrevlumab-treated patients whose tumors were previously considered unresectable became eligible for surgical exploration than patients who received chemotherapy alone (15.4%), based on pre-specified eligibility criteria at the end of 6 months of treatment. Furthermore, a higher proportion of pamrevlumab-treated patients (33.3%) achieved surgical resection than those who received chemotherapy alone (7.7%).</w:t>
      </w:r>
    </w:p>
    <w:p>
      <w:pPr>
        <w:spacing w:after="0" w:line="18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 addition, this data showed improved overall survival among patients who were resected vs. not resected (NE vs. 18.56 months, p-value=0.0141) and a trend toward improved overall survival in patients eligible for surgery vs. patients who were not (27.73 vs. 18.40 months, p-value=0.0766). No increase in serious adverse events was observed in the pamrevlumab arm and no delay in wound healing was observed post-surgery.</w:t>
      </w:r>
    </w:p>
    <w:p>
      <w:pPr>
        <w:spacing w:after="0" w:line="17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Patients with locally advanced unresectable pancreatic cancer have median survival of less than 12 months, only slightly better than patients with metastatic pancreatic cancer, whereas patients with resectable pancreatic cancer have a much better prognosis with median survival of approximately 23 months and some patients being cured. If pamrevlumab in combination with chemotherapy continues to demonstrate an enhanced rate of conversion from unresectable cancer to resectable cancer, it may support the possibility that pamrevlumab could provide a substantial survival benefit for locally advanced pancreatic cancer patients.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Clinical Trials of Pamrevlumab in Pancreatic Cancer</w:t>
      </w:r>
    </w:p>
    <w:p>
      <w:pPr>
        <w:spacing w:after="0" w:line="1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We completed an open-label Phase 1/2 (FGCL-MC3019-028) dose finding trial of pamrevlumab combined with gemcitabine plus erlotinib in patients with previously untreated locally advanced (stage 3) or metastatic (stage 4) pancreatic cancer. These study results were published in the </w:t>
      </w:r>
      <w:r>
        <w:rPr>
          <w:rFonts w:ascii="Times New Roman" w:cs="Times New Roman" w:eastAsia="Times New Roman" w:hAnsi="Times New Roman"/>
          <w:sz w:val="18"/>
          <w:szCs w:val="18"/>
          <w:i w:val="1"/>
          <w:iCs w:val="1"/>
          <w:color w:val="auto"/>
        </w:rPr>
        <w:t>Journal of Cancer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Trials </w:t>
      </w:r>
      <w:r>
        <w:rPr>
          <w:rFonts w:ascii="Times New Roman" w:cs="Times New Roman" w:eastAsia="Times New Roman" w:hAnsi="Times New Roman"/>
          <w:sz w:val="18"/>
          <w:szCs w:val="18"/>
          <w:color w:val="auto"/>
        </w:rPr>
        <w:t>(Picozzi et al., J Cancer Clin Trials 2017, 2:123). Treatment continued until progression of the cancer or the patient withdrew for other reasons.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then followed until death.</w:t>
      </w:r>
    </w:p>
    <w:p>
      <w:pPr>
        <w:spacing w:after="0" w:line="1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Seventy-five patients were enrolled in this study with 66 (88%) having stage 4 metastatic cancer. The study demonstrated a dose-related increase in survival. At the lowest doses, no patients survived for even one year while at the highest doses up to 31% of patients survived one year.</w:t>
      </w:r>
    </w:p>
    <w:p>
      <w:pPr>
        <w:spacing w:after="0" w:line="1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Effect of Pamrevlumab Dose on One Year Survival in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83185</wp:posOffset>
            </wp:positionV>
            <wp:extent cx="4154170" cy="22371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5417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hanging="374"/>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QW = weekly; Q2W = two times per week</w:t>
      </w: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00"/>
          </w:cols>
          <w:pgMar w:left="240" w:top="647" w:right="359" w:bottom="1440" w:gutter="0" w:footer="0" w:header="0"/>
        </w:sectPr>
      </w:pPr>
    </w:p>
    <w:bookmarkStart w:id="34" w:name="page35"/>
    <w:bookmarkEnd w:id="34"/>
    <w:p>
      <w:pPr>
        <w:ind w:right="80"/>
        <w:spacing w:after="0" w:line="251" w:lineRule="auto"/>
        <w:rPr>
          <w:sz w:val="20"/>
          <w:szCs w:val="20"/>
          <w:color w:val="auto"/>
        </w:rPr>
      </w:pPr>
      <w:r>
        <w:rPr>
          <w:rFonts w:ascii="Times New Roman" w:cs="Times New Roman" w:eastAsia="Times New Roman" w:hAnsi="Times New Roman"/>
          <w:sz w:val="18"/>
          <w:szCs w:val="18"/>
          <w:color w:val="auto"/>
        </w:rPr>
        <w:t>A post-hoc analysis found that there was a significant relationship between survival and trough levels of plasma pamrevlumab measured immediately before the second dose (Cmin), as illustrated below. Cmin greater than or equal to 150 µg/mL was associated with significantly improved progression-free survival (p=0.01) and overall survival (p=0.03) vs. those patients with Cmin less than 150 µg/mL. For patients with Cmin &gt;150 µg/mL median survival was 9.0 months compared to median survival of 4.4 months for patients with Cmin &lt;150 µg/mL. Similarly, 34.2% of patients with Cmin &gt;150 µg/mL survived for longer than one year compared to 10.8% for patients with Cmin &lt;150 µg/mL. These data suggest that sufficient blockade of CTGF requires pamrevlumab threshold blood levels of approximately 150 µg/mL in order to improve survival in patients with advanced pancreatic cancer.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Increased Pancreatic Cancer Survival Associated with Increased Plasma Levels of Pamrevlumab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83185</wp:posOffset>
            </wp:positionV>
            <wp:extent cx="3851910" cy="2707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51910" cy="270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Kaplan-Meier plot provides a representation of survival of all patients in the clinical trial. Each vertical drop in the curve represents a recorded event (death) of one or more patients. When a patient’s event cannot be determined either because he or she has withdrawn from the study or because the analysis is completed before the event has occurred, that patient is “censored” and denoted by a symbol (●) on the curve at the time of the last reliable assessment of that patient.</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study, the majority of adverse events were mild to moderate, and were consistent with those observed for erlotinib plus gemcitabine treatment without pamrevlumab. There were 99 TSAEs; six of which were assessed as possibly related by the principal investigator, and 93 as not related to study treatment. We did not identify any evolving dose-dependent pattern, and higher doses of pamrevlumab were not associated with higher numbers of SAEs or greater severity of the SAEs observed.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Pamrevlumab for Duchenne Muscular Dystrophy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Understanding DMD and the Limitations of Current Therapies</w:t>
      </w:r>
    </w:p>
    <w:p>
      <w:pPr>
        <w:spacing w:after="0" w:line="115"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18"/>
          <w:szCs w:val="18"/>
          <w:color w:val="auto"/>
        </w:rPr>
        <w:t>In the U.S., approximately one in every 5,000 boys have DMD, and approximately 20,000 children are diagnosed with DMD globally each year. There are currently no approved disease-modifying treatments. Despite taking steroids to mitigate progressive muscle loss, a majority of children with DMD are non-ambulatory by adolescence, and median survival is age 25.</w:t>
      </w:r>
    </w:p>
    <w:p>
      <w:pPr>
        <w:spacing w:after="0" w:line="1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DMD is an inherited disorder of one of the dystrophin genes resulting in absence of the dystrophin protein and abnormal muscle structure and function, leading to progressively diminished mobility as well as pulmonary function and cardiac function which result in early death. Constant myofiber breakdown results in persistent activation of myofibroblasts and altered production of ECM resulting in extensive fibrosis in skeletal muscles of DMD patients. Desguerre et al. (2009) showed that muscle fibrosis was the only myo-pathologic parameter that significantly correlated with poor motor outcome as assessed by quadriceps muscle strength, manual muscle testing of upper and lower limbs, and age at ambulation loss. Numerous pre-clinical studies including those in the mdx model of DMD suggest that CTGF contributes to the process by which muscle is replaced by fibrosis and fat and that CTGF may also impair muscle cell differentiation during muscle repair after injury.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Pamrevlumab for DMD</w:t>
      </w:r>
    </w:p>
    <w:p>
      <w:pPr>
        <w:spacing w:after="0" w:line="1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All 21 non-ambulatory patients from our fully enrolled Phase 2 trial will have completed at least their first year of treatment in March 2019. Some patients from this study have been on treatment for over three years. The primary endpoint is change in pulmonary function as measured by change in FVC, percent predicted, from baseline. Other endpoints include muscle function, as measured by an upper limb muscle test, and measurement of cardiac function (ejection fraction measured by magnetic resonance imaging).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Potential Indications for Pamrevlumab</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pamrevlumab has potential to be a treatment for cancers and a broad array of fibrotic disorders, including:</w:t>
      </w:r>
    </w:p>
    <w:p>
      <w:pPr>
        <w:spacing w:after="0" w:line="111" w:lineRule="exact"/>
        <w:rPr>
          <w:sz w:val="20"/>
          <w:szCs w:val="20"/>
          <w:color w:val="auto"/>
        </w:rPr>
      </w:pPr>
    </w:p>
    <w:p>
      <w:pPr>
        <w:ind w:left="740" w:hanging="36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 melanoma, breast cancer, hepatoma</w:t>
      </w:r>
    </w:p>
    <w:p>
      <w:pPr>
        <w:spacing w:after="0" w:line="110" w:lineRule="exact"/>
        <w:rPr>
          <w:rFonts w:ascii="Times New Roman" w:cs="Times New Roman" w:eastAsia="Times New Roman" w:hAnsi="Times New Roman"/>
          <w:sz w:val="18"/>
          <w:szCs w:val="18"/>
          <w:color w:val="auto"/>
        </w:rPr>
      </w:pPr>
    </w:p>
    <w:p>
      <w:pPr>
        <w:ind w:left="740" w:hanging="36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Liver — non-alcoholic steatohepatitis</w:t>
      </w:r>
    </w:p>
    <w:p>
      <w:pPr>
        <w:spacing w:after="0" w:line="110" w:lineRule="exact"/>
        <w:rPr>
          <w:rFonts w:ascii="Times New Roman" w:cs="Times New Roman" w:eastAsia="Times New Roman" w:hAnsi="Times New Roman"/>
          <w:sz w:val="18"/>
          <w:szCs w:val="18"/>
          <w:color w:val="auto"/>
        </w:rPr>
      </w:pPr>
    </w:p>
    <w:p>
      <w:pPr>
        <w:ind w:left="740" w:hanging="36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Lung — scleroderma lung disease</w:t>
      </w:r>
    </w:p>
    <w:p>
      <w:pPr>
        <w:spacing w:after="0" w:line="110" w:lineRule="exact"/>
        <w:rPr>
          <w:rFonts w:ascii="Times New Roman" w:cs="Times New Roman" w:eastAsia="Times New Roman" w:hAnsi="Times New Roman"/>
          <w:sz w:val="18"/>
          <w:szCs w:val="18"/>
          <w:color w:val="auto"/>
        </w:rPr>
      </w:pPr>
    </w:p>
    <w:p>
      <w:pPr>
        <w:ind w:left="740" w:hanging="36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Radiation induced fibrosis</w:t>
      </w:r>
    </w:p>
    <w:p>
      <w:pPr>
        <w:spacing w:after="0" w:line="110" w:lineRule="exact"/>
        <w:rPr>
          <w:rFonts w:ascii="Times New Roman" w:cs="Times New Roman" w:eastAsia="Times New Roman" w:hAnsi="Times New Roman"/>
          <w:sz w:val="18"/>
          <w:szCs w:val="18"/>
          <w:color w:val="auto"/>
        </w:rPr>
      </w:pPr>
    </w:p>
    <w:p>
      <w:pPr>
        <w:ind w:left="740" w:hanging="36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Muscular dystrophies other than DMD</w:t>
      </w:r>
    </w:p>
    <w:p>
      <w:pPr>
        <w:spacing w:after="0" w:line="110" w:lineRule="exact"/>
        <w:rPr>
          <w:rFonts w:ascii="Times New Roman" w:cs="Times New Roman" w:eastAsia="Times New Roman" w:hAnsi="Times New Roman"/>
          <w:sz w:val="18"/>
          <w:szCs w:val="18"/>
          <w:color w:val="auto"/>
        </w:rPr>
      </w:pPr>
    </w:p>
    <w:p>
      <w:pPr>
        <w:ind w:left="740" w:hanging="36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Kidney — diabetic nephropathy, focal segmental glomerular sclerosis</w:t>
      </w:r>
    </w:p>
    <w:p>
      <w:pPr>
        <w:spacing w:after="0" w:line="110" w:lineRule="exact"/>
        <w:rPr>
          <w:rFonts w:ascii="Times New Roman" w:cs="Times New Roman" w:eastAsia="Times New Roman" w:hAnsi="Times New Roman"/>
          <w:sz w:val="18"/>
          <w:szCs w:val="18"/>
          <w:color w:val="auto"/>
        </w:rPr>
      </w:pPr>
    </w:p>
    <w:p>
      <w:pPr>
        <w:ind w:left="740" w:hanging="363"/>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system — congestive heart failure, pulmonary arterial hypertension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Investigational New Drug and Clinical Trial Applications</w:t>
      </w:r>
    </w:p>
    <w:p>
      <w:pPr>
        <w:spacing w:after="0" w:line="11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Pamrevlumab is being studied in the U.S. for the treatment of IPF under an IND that we submitted to the FDA in August 2003. Pamrevlumab is being studied in the U.S. for the treatment of locally advanced or metastatic pancreatic cancer under an IND that we submitted to the FDA in September 2004. Pamrevlumab is being studied in the U.S. for the treatment of DMD under an IND that we submitted to the FDA in June 2015.</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Strategy for Pamrevlumab</w:t>
      </w:r>
    </w:p>
    <w:p>
      <w:pPr>
        <w:spacing w:after="0" w:line="11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goal, if pamrevlumab is successful, is to be a leader in the development and commercialization of novel approaches for inhibiting deep organ fibrosis and treating some forms of cancer. To date, we have retained exclusive worldwide rights for pamrevlumab. We plan to retain commercial rights to pamrevlumab in North America and will also continue to evaluate the opportunities to establish co-development partnerships for pamrevlumab as well as commercialization collaborations for territories outside of North America.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FG-5200 FOR THE TREATMENT OF CORNEAL BLINDNESS IN CHINA</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Corneal blindness, defined as visual acuity of 3/60 or less, is caused by various factors, including scarring resulting from infections, such as herpes simplex, physical trauma, chemical injury and genetic diseases affecting the function of the cornea. In countries with sufficient tissue banks and skilled surgeons, the treatment for corneal blindness is the replacement of the damaged cornea with a corneal graft from donor corneas from human cadavers. Despite use of immunosuppressive drugs, graft rejection remains a serious problem, resulting in graft failure within five years in approximately 35% of cases in the U.S. We are developing FG-5200 for the treatment of corneal blindness resulting from partial thickness corneal damage.</w:t>
      </w:r>
    </w:p>
    <w:p>
      <w:pPr>
        <w:spacing w:after="0" w:line="18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China, there are ethical or religious beliefs, cultural norms and significant infrastructure barriers that limit organ donation or tissue banking possibilities, resulting in an extreme shortage of cadaver corneas. In September 2017, the Chinese State Council issued a regulation banning the importation of human tissue which is expected to further diminish the availability of cadaver corneas for implantation in China. In April 2015, a subsidiary of China Regenerative Medicine International Limited received approval for their acellular porcine cornea stroma medical device for the indication of repair of corneal ulcers in China. However, alternatives to cadaver corneas, such as synthetic corneas using collagen derived from porcine tissue or fish scales, are either experimental or to our knowledge, have not yielded satisfactory results for restoration of vision in patients with corneal blindness. In many cases of corneal blindness, infection and other factors lead to serious risks to the patient.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Approximately 48,000 corneal grafts were performed in the U.S. in 2017 using tissue from human cadavers. In contrast, while there are approximately four to five million patients in China with corneal blindness and an incidence of 200,000 cases of corneal blindness each year, there were only approximately 10,000 to 12,000 corneal grafts performed in China in 2017 using tissue from human cadavers. We believe the number of corneal grafts using cadaver tissue in China may decrease significantly due to recent changes in government policy.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FG-5200 as a Potential Solution to This Unmet Medical Need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FG-5200 Corneal Implant</w:t>
      </w:r>
    </w:p>
    <w:p>
      <w:pPr>
        <w:spacing w:after="0" w:line="11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Our expertise in fibrosis and ECM proteins has allowed us to develop processes for producing human collagen types I, II and III, as well as coordinate expression of several enzymes involved in assembly of collagen. We have successfully produced a proprietary version of recombinant human collagen III that is suitable for use in cornea repair.</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FG-5200, a corneal implant medical device we are developing in China, is designed to serve as an immediately functional replacement cornea as well as a scaffold to allow for regeneration of the native corneal tissue for the primary purpose of restoration of vision. In contrast, cadaver graft tissue is never “turned over”; in fact, only limited integration occurs over the life of the graft. Our FG-5200 implant is made of recombinant human collagen that has been formed into a highly concentrated fibrillar matrix to provide physical characteristics optimal for corneal implantation.</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animal models, FG-5200 allows for native tissue to completely regrow in less than one year, including both epithelium (the outer cell layer of the cornea) and stroma. The stroma in these animal models is seen to be infiltrated with nerve fibers, leading to the reacquisition of the touch response critical to the avoidance of additional corneal damage.</w:t>
      </w:r>
    </w:p>
    <w:p>
      <w:pPr>
        <w:spacing w:after="0" w:line="17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Corneal implants using human donor tissue are currently being reimbursed by the government, and similar to many other implantable Class III devices in China (including stents and bone grafts), we would expect that FG-5200 could be added to the reimbursement list for medical devices, if approved.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 of FG-5200</w:t>
      </w:r>
    </w:p>
    <w:p>
      <w:pPr>
        <w:spacing w:after="0" w:line="1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An initial clinical study outside of China has been conducted to test the safety and feasibility of using a biosynthetic implant composed of our recombinant human collagen, and substantially similar to FG-5200, for the treatment of severe corneal damage as an alternative to human donor tissue. Ten patients with advanced keratoconus, or severe corneal scarring, were implanted with the recombinant collagen implants and have been followed for more than five years. Two-year follow-up data were reported in </w:t>
      </w:r>
      <w:r>
        <w:rPr>
          <w:rFonts w:ascii="Times New Roman" w:cs="Times New Roman" w:eastAsia="Times New Roman" w:hAnsi="Times New Roman"/>
          <w:sz w:val="17"/>
          <w:szCs w:val="17"/>
          <w:i w:val="1"/>
          <w:iCs w:val="1"/>
          <w:color w:val="auto"/>
        </w:rPr>
        <w:t>Science Translational Medicine</w:t>
      </w:r>
      <w:r>
        <w:rPr>
          <w:rFonts w:ascii="Times New Roman" w:cs="Times New Roman" w:eastAsia="Times New Roman" w:hAnsi="Times New Roman"/>
          <w:sz w:val="17"/>
          <w:szCs w:val="17"/>
          <w:color w:val="auto"/>
        </w:rPr>
        <w:t xml:space="preserve"> (Fagerholm et al., (2010)) and four-year follow-up data were reported in </w:t>
      </w:r>
      <w:r>
        <w:rPr>
          <w:rFonts w:ascii="Times New Roman" w:cs="Times New Roman" w:eastAsia="Times New Roman" w:hAnsi="Times New Roman"/>
          <w:sz w:val="17"/>
          <w:szCs w:val="17"/>
          <w:i w:val="1"/>
          <w:iCs w:val="1"/>
          <w:color w:val="auto"/>
        </w:rPr>
        <w:t>Biomaterials</w:t>
      </w:r>
      <w:r>
        <w:rPr>
          <w:rFonts w:ascii="Times New Roman" w:cs="Times New Roman" w:eastAsia="Times New Roman" w:hAnsi="Times New Roman"/>
          <w:sz w:val="17"/>
          <w:szCs w:val="17"/>
          <w:color w:val="auto"/>
        </w:rPr>
        <w:t xml:space="preserve"> (Fagerholm et al., </w:t>
      </w:r>
      <w:r>
        <w:rPr>
          <w:rFonts w:ascii="Times New Roman" w:cs="Times New Roman" w:eastAsia="Times New Roman" w:hAnsi="Times New Roman"/>
          <w:sz w:val="17"/>
          <w:szCs w:val="17"/>
          <w:i w:val="1"/>
          <w:iCs w:val="1"/>
          <w:color w:val="auto"/>
        </w:rPr>
        <w:t>Biomaterials</w:t>
      </w:r>
      <w:r>
        <w:rPr>
          <w:rFonts w:ascii="Times New Roman" w:cs="Times New Roman" w:eastAsia="Times New Roman" w:hAnsi="Times New Roman"/>
          <w:sz w:val="17"/>
          <w:szCs w:val="17"/>
          <w:color w:val="auto"/>
        </w:rPr>
        <w:t xml:space="preserve"> (2014)). The patients showed excellent tolerance of the implant, with no recruitment of inflammatory dendritic cells into the biosynthetic implant area and no episodes of rejection (one episode of rejection was seen in the cadaver graft control group). Further, patients had a four-year mean corrected visual acuity of 20/54 and gained an average of more than five Snellen lines of vision on an eye chart. Nerve re-growth and touch sensitivity was closer to that of healthy corneas and significantly better than that seen with cadaver corneas with no need for long term immunosuppressive therapy.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FG-5200 Strategy</w:t>
      </w:r>
    </w:p>
    <w:p>
      <w:pPr>
        <w:spacing w:after="0" w:line="115"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18"/>
          <w:szCs w:val="18"/>
          <w:color w:val="auto"/>
        </w:rPr>
        <w:t>In January 2016, our subsidiary FibroGen (China) Medical Technology Development Co., Ltd. (“FibroGen Beijing”) received the NMPA’s written notice of classification of our FG-5200 corneal implant as a Domestic Class III medical device. This allows FibroGen to develop, and if approved, to market FG-5200 corneal implants fabricated in China without any prior reference approval outside of China.</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currently plan to manufacture FG-5200 preclinical and clinical trial material in our aseptic good manufacturing practices production suite located at our Beijing manufacturing plant. We completed the process technology transfer and the registration campaign in 2017. Materials from this campaign are being used in preclinical studies that are now complete. We expect to file a CTA for a pivotal clinical trial after final results of the preclinical studies and discussion with the NMPA.</w:t>
      </w:r>
    </w:p>
    <w:p>
      <w:pPr>
        <w:spacing w:after="0" w:line="18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plan to develop FG-5200 in China first. If FG-5200 is successful in China, we believe there is a future opportunity to develop FG-5200 in other Asian countries where cadaver materials are in short supply, in part because cultural norms and infrastructure and other challenges in tissue banking limit tissue donations. We also believe there is an opportunity to obtain CE Marking to facilitate entry into other markets, such as Latin America. We may develop FG-5200 in the U.S. and Europe as well, where cadaver corneas are available but the required immunosuppressive therapy may make FG-5200 a potentially attractive alternative.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Partnerships for Roxadustat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w:t>
      </w:r>
    </w:p>
    <w:p>
      <w:pPr>
        <w:spacing w:after="0" w:line="113" w:lineRule="exact"/>
        <w:rPr>
          <w:sz w:val="20"/>
          <w:szCs w:val="20"/>
          <w:color w:val="auto"/>
        </w:rPr>
      </w:pPr>
    </w:p>
    <w:p>
      <w:pPr>
        <w:jc w:val="both"/>
        <w:ind w:right="440"/>
        <w:spacing w:after="0" w:line="259" w:lineRule="auto"/>
        <w:rPr>
          <w:sz w:val="20"/>
          <w:szCs w:val="20"/>
          <w:color w:val="auto"/>
        </w:rPr>
      </w:pPr>
      <w:r>
        <w:rPr>
          <w:rFonts w:ascii="Times New Roman" w:cs="Times New Roman" w:eastAsia="Times New Roman" w:hAnsi="Times New Roman"/>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7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share responsibility with Astellas for clinical development activities required for U.S. and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us the relevant trademarks used with the products in the Astellas territories. Under certain terminations, Astellas is also obligated to pay us a termination fee.</w:t>
      </w:r>
    </w:p>
    <w:p>
      <w:pPr>
        <w:spacing w:after="0" w:line="18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During the second quarter of 2018, Astellas reported positive results from the final phase 3 CKD-dialysis trial of roxadustat in Japan, indicating that Astellas was ready to make an NDA submission for the treatment of anemia with roxadustat in CKD-dialysis patients in 2018, which triggered $15.0 million milestone payment substantially all of which was recognized as revenue during the year ended December 31, 2018 from performance obligations satisfied or partially satisfied. The aggregate amount of such consideration received, including development cost reimbursement and product sales-related payments, through December 31, 2018 totals $487.6 million.</w:t>
      </w:r>
    </w:p>
    <w:p>
      <w:pPr>
        <w:spacing w:after="0" w:line="186" w:lineRule="exact"/>
        <w:rPr>
          <w:sz w:val="20"/>
          <w:szCs w:val="20"/>
          <w:color w:val="auto"/>
        </w:rPr>
      </w:pPr>
    </w:p>
    <w:p>
      <w:pPr>
        <w:ind w:right="720"/>
        <w:spacing w:after="0" w:line="273" w:lineRule="auto"/>
        <w:rPr>
          <w:sz w:val="20"/>
          <w:szCs w:val="20"/>
          <w:color w:val="auto"/>
        </w:rPr>
      </w:pPr>
      <w:r>
        <w:rPr>
          <w:rFonts w:ascii="Times New Roman" w:cs="Times New Roman" w:eastAsia="Times New Roman" w:hAnsi="Times New Roman"/>
          <w:sz w:val="18"/>
          <w:szCs w:val="18"/>
          <w:color w:val="auto"/>
        </w:rPr>
        <w:t>Additionally, under these agreements, Astellas pays 100% of the commercialization costs in their territories. Astellas will pay us a transfer price for our manufacture and delivery of roxadustat based on a calculation based on net sales of roxadustat in the low 20% range.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Astellas has separately invested $80.5 million in the equity of FibroGen, Inc. to date.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also have two agreements with AstraZeneca for the development and commercialization of roxadustat for anemia, one for China (the “China Agreement”), and one for the U.S. and all other countries not previously licensed to Astellas (the “U.S./RoW Agreement”). Under these agreements we provided AstraZeneca the right to develop and commercialize roxadustat for anemia in these territories. We share responsibility with AstraZeneca for clinical development activities required for U.S. regulatory approval of roxadustat.</w:t>
      </w:r>
    </w:p>
    <w:p>
      <w:pPr>
        <w:spacing w:after="0" w:line="180"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In 2015, we reached the $116.5 million cap on our initial funding obligations (under which we shared 50% of the initial development costs), therefore all future development and commercialization costs for roxadustat for the treatment of anemia in CKD in the U.S., Europe, Japan and all other markets outside of China will be paid by Astellas and AstraZeneca.</w:t>
      </w:r>
    </w:p>
    <w:p>
      <w:pPr>
        <w:spacing w:after="0" w:line="17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China, our subsidiary FibroGen Beijing will conduct the development work for CKD anemia and will hold all of the regulatory licenses issued by China regulatory authorities and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agreements.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38" w:name="page39"/>
    <w:bookmarkEnd w:id="38"/>
    <w:p>
      <w:pPr>
        <w:ind w:right="20"/>
        <w:spacing w:after="0" w:line="248" w:lineRule="auto"/>
        <w:rPr>
          <w:sz w:val="20"/>
          <w:szCs w:val="20"/>
          <w:color w:val="auto"/>
        </w:rPr>
      </w:pPr>
      <w:r>
        <w:rPr>
          <w:rFonts w:ascii="Times New Roman" w:cs="Times New Roman" w:eastAsia="Times New Roman" w:hAnsi="Times New Roman"/>
          <w:sz w:val="18"/>
          <w:szCs w:val="18"/>
          <w:color w:val="auto"/>
        </w:rPr>
        <w:t>Under the AstraZeneca agreements, we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During the second quarter of 2016, we received an upfront payment of $62.0 million time based development milestone. On December 17, 2018, FibroGen (China) Medical Technology Development Co., Ltd. (“FibroGen China”), received marketing authorization from the NMPA for roxadustat, a first-in-class hypoxia-inducible factor prolyl hydroxylase inhibitor, for the treatment of anemia caused by CKD in patients on dialysis. This approval triggered a $6.0 million milestone payable to us by AstraZeneca. On December 29, 2018, FibroGen China received the First Manufacturing Approval for a Product in the Field in the Territory, which allows production for Phase IV clinical studies, patients’ early experience programs, donation programs, as well as to supply products for testing and assessments required prior to launch. This approval triggered a $6.0 million milestone payable to us by AstraZeneca. Approximately $9.9 million of the total $12.0 million milestone payables was recognized as revenue during the fourth quarter of 2018 from performance obligations satisfied or partially satisfied. The aggregate amount of such consideration, including development cost reimbursement and product sales-related payments, received through December 31, 2018 totals 432.2 million.</w:t>
      </w:r>
    </w:p>
    <w:p>
      <w:pPr>
        <w:spacing w:after="0" w:line="18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auto"/>
        </w:rPr>
        <w:t>Payments under these agreements include over $500 million in upfront, non-contingent and other payments received or expected to be received prior to the first U.S. approval, excluding development expense reimbursement.</w:t>
      </w:r>
    </w:p>
    <w:p>
      <w:pPr>
        <w:spacing w:after="0" w:line="1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AstraZeneca purchased 1,111,111 shares of our common stock at the initial public offering (“IPO”) price for an aggregate purchase price of $20.0 million in a private placement concurrent with our IPO. In connection with the purchase of our shares of common stock in the private placement, AstraZeneca has also entered into a standstill agreement which provides that, until November 2019, neither AstraZeneca nor its representatives will, directly or indirectly, among other things, acquire any additional securities or assets of ours, solicit proxies for our securities, participate in a business combination involving us, or seek to influence our management or policies, except with the prior consent of our board of directors and in certain other specified circumstances involving a change of control of our company. In addition, AstraZeneca has agreed to vote its shares in favor of nominees to our board of directors, increases in the authorized capital stock of the company and amendments to our equity plans approved by the board of directors, in each case as recommended by a majority of our board of directors. AstraZeneca has also agreed, subject to specified exceptions, not to sell shares purchased by it in the private placement for the two-year period following such purchase and to limitations on the volume of its sales of such shares thereafter.</w:t>
      </w:r>
    </w:p>
    <w:p>
      <w:pPr>
        <w:spacing w:after="0" w:line="186"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Under the U.S./RoW Agreement, AstraZeneca will pay for all commercialization costs in the U.S. and RoW, AstraZeneca will be responsible for the U.S. commercialization of roxadustat, with FibroGen undertaking specified promotional activities in the ESRD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0"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Additional Information Related to Collaboration Agreements</w:t>
      </w:r>
    </w:p>
    <w:p>
      <w:pPr>
        <w:spacing w:after="0" w:line="11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Of the $1,113.5 million in development and regulatory milestones payable in the aggregate under our Astellas and AstraZeneca collaboration agreements, $425.0 million is payable upon achievement of milestones relating to the submission and approval of roxadustat in dialysis and non-dialysis CKD populations in the U.S. and Europe.</w:t>
      </w:r>
    </w:p>
    <w:p>
      <w:pPr>
        <w:spacing w:after="0" w:line="17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Information about collaboration partners that accounted for more than 10% of our total revenue or accounts receivable for the last three fiscal years is set forth in Note 14 to our consolidated financial statements under Item 8 of this Annual Report.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pharmaceutical and biotechnology industries are highly competitive, particularly in some of the indications we are developing drug candidates, including anemia in CKD, IPF, pancreatic cancer, and DMD. We face competition from multiple other pharmaceutical and biotechnology companies, many of which have significantly greater financial, technical and human resources and experience in product development, manufacturing and marketing. These potential advantages of our competitors are particularly a risk in IPF, pancreatic cancer, and DMD, where we do not currently have a development or commercialization partner.</w:t>
      </w:r>
    </w:p>
    <w:p>
      <w:pPr>
        <w:spacing w:after="0" w:line="167"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We expect any products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spacing w:after="0" w:line="165"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color w:val="auto"/>
        </w:rPr>
        <w:t>If either of our lead product candidates is approved, they will compete with currently marketed products, and product candidates that may be approved for marketing in the future, for treatment of the following indications: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 Anemia in CKD</w:t>
      </w:r>
    </w:p>
    <w:p>
      <w:pPr>
        <w:spacing w:after="0" w:line="113"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7"/>
          <w:szCs w:val="17"/>
          <w:color w:val="auto"/>
        </w:rPr>
        <w:t>If roxadustat is approved for the treatment of anemia in patients with CKD and launched commercially, competing drugs are expected to include ESAs, particularly in those patient segments where ESAs are used. Currently available ESAs include epoetin alfa (EPOGEN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marketed by Amgen Inc. in the U.S., Procrit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Erypo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/Eprex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marketed by Johnson &amp; Johnson, Inc. and Espo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marketed by Kyowa Hakko Kirin in Japan and China), darbepoetin (Amgen/Kyowa Hakko Kirin’s Aranesp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NESP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and Mircera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marketed by Roche outside the U.S. and by Vifor Pharma (“Vifor”), a Roche licensee, in the U.S. and Puerto Rico, as well as biosimilar versions of these currently marketed ESA products. ESAs have been used in the treatment of anemia in CKD for more than 20 years, serving a significant majority of dialysis patients. While non-dialysis CKD patients who are not under the care of nephrologists, including those with diabetes and hypertension, do not typically receive ESAs and are often left untreated, some patients under nephrology care may be receiving ESA therapy. It may be difficult to encourage healthcare providers and patients to switch to roxadustat from products with which they have become familiar.</w:t>
      </w:r>
    </w:p>
    <w:p>
      <w:pPr>
        <w:spacing w:after="0" w:line="20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may also face competition from potential new anemia therapies currently in clinical development, including in those patients segments not currently addressed by ESAs. Companies such as GlaxoSmithKline plc (“GSK”), Bayer Corporation (“Bayer”), Akebia Therapeutics, Inc. (“Akebia”), and Japan Tobacco, who are currently developing HIF-PH inhibitors for anemia in CKD indications. Akebia is currently conducting Phase 3 studies in CKD patients on dialysis and not on dialysis, as well as additional Phase 1 and Phase 2 studies. In Japan, Mitsubishi Tanabe Pharmaceutical Corporation, Akebia’s collaboration partner, started a Japan Phase 3 development program in November 2017. GSK is also conducting global Phase 3 studies in in CKD patients on dialysis and not on dialysis as well as Japan Phase 3 studies. GSK and Kyowa Hakko Kirin announced in November 2018 that the two companies signed a strategic commercialization deal in Japan for daprodustat. Bayer has completed global Phase 2 studies and its HIF-PH inhibitor is now in Phase 3 development in CKD populations on dialysis and not on dialysis in Japan. Japan Tobacco is also conducting Phase 3 studies in in CKD patients on dialysis and not on dialysis in Japan only. Some of these product candidates may enter the market prior to roxadustat.</w:t>
      </w:r>
    </w:p>
    <w:p>
      <w:pPr>
        <w:spacing w:after="0" w:line="18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In addition, there are other companies developing biologic therapies for the treatment of other anemia indications that we may also seek to pursue in the future, including anemia of MDS. For example, Acceleron Pharma, Inc., in partnership with Celgene Corporation, is in Phase 3 development of protein therapeutic candidates to treat anemia and associated complications in patients with ß-thalassemia and MDS, and has received orphan drug status from the EMA and FDA for these indications. We may face competition for patient recruitment and enrollment for clinical trials and potentially in commercial sales. There may also be new therapies for renal-related diseases that could limit the market or level of reimbursement available for roxadustat if and when it is commercialized.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40" w:name="page41"/>
    <w:bookmarkEnd w:id="40"/>
    <w:p>
      <w:pPr>
        <w:ind w:right="100"/>
        <w:spacing w:after="0" w:line="267" w:lineRule="auto"/>
        <w:rPr>
          <w:sz w:val="20"/>
          <w:szCs w:val="20"/>
          <w:color w:val="auto"/>
        </w:rPr>
      </w:pPr>
      <w:r>
        <w:rPr>
          <w:rFonts w:ascii="Times New Roman" w:cs="Times New Roman" w:eastAsia="Times New Roman" w:hAnsi="Times New Roman"/>
          <w:sz w:val="17"/>
          <w:szCs w:val="17"/>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NMPA to conduct trials in China to support its ex-China regulatory filings, as well as Guandong Dongyangguang Pharmaceutical Co., Ltd, a domestic Chinese company, which was permitted by the NMPA to conduct clinical trials for CKD anemia patients both on and not on dialysis. Akebia announced in December 2015 that it has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announced in 2016 its plan on beginning a Phase 1 clinical trial of a HIF-PH inhibitor for the China market.</w:t>
      </w:r>
    </w:p>
    <w:p>
      <w:pPr>
        <w:spacing w:after="0" w:line="17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7"/>
          <w:szCs w:val="17"/>
          <w:color w:val="auto"/>
        </w:rPr>
        <w:t>The first biosimilar ESA, Pfizer’s Retacrit® (epoetin zeta), entered the U.S. market in November 2018. Market penetration of Retacrit and the potential addition of other biosimilar ESAs currently under development may alter the competitive and pricing landscape of anemia therapy in CKD patients on dialysis under the ESRD bundle. The patents for Amgen’s EPOGEN</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(epoetin alfa) expired in 2004 in the EU, and the final material patents in the U.S. expired in May 2015.</w:t>
      </w:r>
    </w:p>
    <w:p>
      <w:pPr>
        <w:spacing w:after="0" w:line="248" w:lineRule="auto"/>
        <w:rPr>
          <w:sz w:val="20"/>
          <w:szCs w:val="20"/>
          <w:color w:val="auto"/>
        </w:rPr>
      </w:pPr>
      <w:r>
        <w:rPr>
          <w:rFonts w:ascii="Times New Roman" w:cs="Times New Roman" w:eastAsia="Times New Roman" w:hAnsi="Times New Roman"/>
          <w:sz w:val="18"/>
          <w:szCs w:val="18"/>
          <w:color w:val="auto"/>
        </w:rPr>
        <w:t>Several biosimilar versions of currently marketed ESAs are available for sale in the EU, China and other territories. In the U.S., a few ESA biosimilars are currently under development. Sandoz, a division of Novartis, markets Binocrit® (epoetin alfa) in Europe and may file a biosimilar Biologics License Application (“BLA”) in the U.S.</w:t>
      </w:r>
    </w:p>
    <w:p>
      <w:pPr>
        <w:spacing w:after="0" w:line="18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approximately 70% of U.S. dialysis patients, and therefore have historically won long-term contracts including rebate terms with Amgen. DaVita recently entered into a new six-year sourcing and supply agreement with Amgen effective through 2022. Fresenius’ contract with Amgen expired in 2015, following which Fresenius is providing Roche’s ESA Mircera® to a significant portion of its U.S. dialysis patients. Successful penetration in this market may require a significant agreement with Fresenius or DaVita, on favorable terms and on a timely basis.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Pamrevlumab</w:t>
      </w:r>
    </w:p>
    <w:p>
      <w:pPr>
        <w:spacing w:after="0" w:line="11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are currently in Phase 2 development of pamrevlumab to treat DMD, and are initiating Phase 3 development of pamrevlumab in IPF and pancreatic cancer. Most of our competitors have significantly more resources and expertise in development, commercialization and manufacturing, particularly due to the fact that we have not yet established a co-development partnership for pamrevlumab. For example, both Roche and Boehringer Ingelheim, which market products for the treatment of IPF in the U.S., have successfully developed and commercialized drugs in various indications and have built sales organizations that we do not currently have; both have more resources and more established relationships when competing with us for patient recruitment and enrollment for clinical trials or, if we are approved, in the market.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Idiopathic Pulmonary Fibrosis</w:t>
      </w:r>
    </w:p>
    <w:p>
      <w:pPr>
        <w:spacing w:after="0" w:line="11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approved to treat IPF, pamrevlumab is expected to compete with Roche’s Esbriet® (pirfenidone), and Boehringer Ingelheim’s Ofev®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 product they are already familiar with. We may also face competition from potential new IPF therapies.</w:t>
      </w:r>
    </w:p>
    <w:p>
      <w:pPr>
        <w:spacing w:after="0" w:line="180"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color w:val="auto"/>
        </w:rPr>
        <w:t>Pamrevlumab is an injectable protein, which may be more expensive and less convenient than small molecules such as nintedanib and pirfenidone. Other potential competitive product candidates in various stages of development for IPF include Biogen-Idec’s BG-00011, Galapagos NV’s GLPG1690, Kadmon Holdings, Inc.’s KD025, Prometic Life Sciences Inc.’s PBI-4050, and Promedior, Inc.’s PRM-151.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Pancreatic Cancer</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are developing pamrevlumab to be used in combination with Abraxane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(nab-paclitaxel) and gemcitabine in pancreatic cancer. Celgene’s Abraxane was launched in the U.S. and Europe in 2013 and 2014, respectively, and was the first drug approved in this disease in nearly a decade. In 2015, Merrimack Pharmaceuticals Inc. (“Merrimack”) received FDA approval for the use of ONIVYDE (irinotecan liposome injection, now licensed to Eli Lilly) for the treatment of patients with metastatic adenocarcinoma of the pancreas after disease progression following gemcitabine-based therapy, and the combination therapy with Abraxane and gemcitabine became the first-line standard of care in these patients. As treatments for pancreatic cancer have shown limited success to date, combination therapies are expected, but the incremental cost may slow a new product adoption in the market, at least until the generic versions of Abraxane becomes available. In addition, we may also face competition from other agents seeking approval in conjunction with gemcitabine and Abraxane for patient recruitment and enrollment in our clinical trials, and potentially in commercialization. NewLink Genetics Corporation’s indoximod and Merrimack’s istiratumab are examples.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Duchenne Muscular Dystrophy</w:t>
      </w:r>
    </w:p>
    <w:p>
      <w:pPr>
        <w:spacing w:after="0" w:line="113"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If approved and launched commercially to treat DMD, pamrevlumab is expected to face competition from drugs that were recently approved in major markets such as the U.S., EU, and Japan.</w:t>
      </w:r>
    </w:p>
    <w:p>
      <w:pPr>
        <w:spacing w:after="0" w:line="1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September 19, 2016, the FDA approved Sarepta Therapeutics Inc.’s (“Sarepta”) Exondys 51® (eteplirsen). This was the first drug approved to treat DMD. Exondys 51® is approved to treat patients who have a mutation of the dystrophin gene amenable to exon 51 skipping therapy. This mutation represents a subset of approximately 13% of patients with DMD. In Europe, Sarepta received a negative opinion for its marketing application for eteplirsen from the EMA in September 2018.</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February 9, 2017, the FDA approved Marathon Pharmaceuticals’ (“Marathon”) corticosteroid Emflaza® (deflazacort) for the treatment of patients five years and older with DMD. Although approved for other indications outside of the U.S., this was the first approval for deflazacort in the U.S. and the first approval in the U.S. for the use of a corticosteroid to treat DMD. On March 16, 2016, Marathon announced it had sold the commercialization rights of Emflaza® to PTC Therapeutics.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PTC Therapeutics’ product Translarna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complete response letter in October 2017, as well as in its response to PTC Therapeutics’ appeal, that the FDA is unable to approve the application in its current form. While Translarna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targets a different set of DMD patients from those targeted by Sarepta’s Exondys 51®, it is also limited to a subset of patients who carry a specific mutation. Conversely, pamrevlumab is intended to treat DMD patients without limitation to type of mutation.</w:t>
      </w:r>
    </w:p>
    <w:p>
      <w:pPr>
        <w:spacing w:after="0" w:line="18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Catabasis Pharmaceuticals (“Catabasis”), Santhera Pharmaceuticals (“Santhera”) and Sarepta. Catabasis’ edasalonexent was reported to have preserved muscle function and slowed the progression of DMD compared to rates of change in the control period prior to treatment with edasalonexent in a Phase 2 study, and is currently undergoing Phase 3 development. Sarepta’s golodirsen, a new exon skipping agent, is also currently in Phase 3 development. Santhera’s Raxone®/Catena® (idebenone) for treatment of DMD has been rejected by the EMA, and the FDA requested additional clinical data from the Phase 3 trial currently ongoing in the U.S. and Europe. Santhera offers compassionate use of idebenone in patients with DMD in U.S. and UK.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MANUFACTURE AND SUPPLY</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historically and in the future plan to continue to enter into contractual arrangements with qualified third-party manufacturers to manufacture and package our products and product candidates for territories outside of China. We believe that this manufacturing strategy enables us to more efficiently direct financial resources to the research, development and commercialization of product candidates rather than diverting resources to establishing a significant internal manufacturing infrastructure, unless there is additional strategic value for establishing manufacturing capabilities, such as in China. As our product candidates proceed through development, we are discussing the timing of entry into longer term commercial supply agreements with key suppliers and manufacturers in order to meet the ongoing and planned clinical and commercial supply needs for ourselves and our partners. Our timing of entry into these agreements is based on the current development and commercialization plans for roxadustat, pamrevlumab and FG-5200.</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w:t>
      </w:r>
    </w:p>
    <w:p>
      <w:pPr>
        <w:spacing w:after="0" w:line="113"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8"/>
          <w:szCs w:val="18"/>
          <w:color w:val="auto"/>
        </w:rPr>
        <w:t>Roxadustat is a small-molecule drug manufactured from generally available commercial starting materials and chemical technologies and multi-purpose equipment available from many third party contract manufacturers. Outside of China we have used, and plan to continue to use, Shanghai SynTheAll Pharmaceutical Co., Ltd. (“WuXi STA”) and Catalent, Inc. (“Catalent”) to manufacture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649" w:right="279" w:bottom="1440" w:gutter="0" w:footer="0" w:header="0"/>
        </w:sectPr>
      </w:pPr>
    </w:p>
    <w:bookmarkStart w:id="42" w:name="page43"/>
    <w:bookmarkEnd w:id="42"/>
    <w:p>
      <w:pPr>
        <w:ind w:right="180"/>
        <w:spacing w:after="0" w:line="252" w:lineRule="auto"/>
        <w:rPr>
          <w:sz w:val="20"/>
          <w:szCs w:val="20"/>
          <w:color w:val="auto"/>
        </w:rPr>
      </w:pPr>
      <w:r>
        <w:rPr>
          <w:rFonts w:ascii="Times New Roman" w:cs="Times New Roman" w:eastAsia="Times New Roman" w:hAnsi="Times New Roman"/>
          <w:sz w:val="18"/>
          <w:szCs w:val="18"/>
          <w:color w:val="auto"/>
        </w:rPr>
        <w:t>roxadustat API and roxadustat drug product, respectively. WuXi STA is located in China and currently supplies our API globally except for China, for which it manufactures an intermediate to be further manufactured by FibroGen China. WuXi STA has passed inspections by several regulatory agencies, including the FDA and NMPA, and is Current Good Manufacturing Practice (“cGMP”) compliant. Catalent is located in the U.S. and supplies our drug product tablets globally except for Japan, where they are manufactured by Astellas, and China, where they are manufactured by FibroGen China. Catalent has passed several regulatory inspections, including by the FDA, and manufactures commercial products for other clients.</w:t>
      </w:r>
    </w:p>
    <w:p>
      <w:pPr>
        <w:spacing w:after="0" w:line="1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To date, we believe that roxadustat has been manufactured under cGMP and in compliance with applicable regulatory requirements for the manufacture of drug substance and drug product used in clinical trials and we and Astellas have performed audits of the existing roxadustat manufacturers. The intended commercial manufacturing route outside of China has been successfully scaled up to multiple hundred kilogram scale and produced several metric tons of roxadustat drug substance. We are in discussions with multiple parties regarding longer term commercial supply arrangements.</w:t>
      </w:r>
    </w:p>
    <w:p>
      <w:pPr>
        <w:spacing w:after="0" w:line="180"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 China, our Beijing facility received the Good Manufacturing Practice (“GMP”) license for Drug Substance and Drug Product. We plan to use drug product from our FibroGen Beijing manufacturing facility for commercial supply. We expect our Cangzhou manufacturing facility to be qualified and licensed for manufacture of roxadustat API for the China market later this year. We may also qualify a third party manufacturer to produce commercial API under the Marketing Authorization Holder System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Irix Pharmaceuticals, Inc.</w:t>
      </w:r>
    </w:p>
    <w:p>
      <w:pPr>
        <w:spacing w:after="0" w:line="113"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In July 2002, we and IRIX Pharmaceuticals, Inc. (“IRIX”), a third party manufacturer, entered into a Letter of Agreement for IRIX Pharmaceuticals Single Source Manufacturing Agreement (the “Letter of Agreement”), in connection with a contract manufacturing arrangement for clinical supplies of HIF-PH inhibitors, including roxadustat. The Letter of Agreement contained a service agreement that included terms and schedule for the delivery of clinical materials, and also included a term sheet for a single source agreement for the cGMP manufacture of HIF-PH inhibitors, including roxadustat. Specifically, pursuant to the Letter of Agreement, we and IRIX agreed to negotiate a single source manufacturing agreement that included a first right to negotiate a manufacturing contract for HIF-PH inhibitors, including roxadustat, provided that IRIX is able to match any third party bids within 5%, and the exclusive right to manufacture extends for five years after approval of an NDA. Any agreement would provide that no minimum amounts would be specified until appropriate by forecast, that we and our commercialization partner would have the rights to contract with independent third parties that exceed IRIX’s internal capabilities or in the event that we or our commercialization partner determines for reasons of continuity and security that such a need exists, provided that IRIX would supply a majority of the product if it is able to meet the requirements and the schedule required by us and our partner. Subsequent to the Letter of Agreement, we and IRIX have entered into several additional service agreements. IRIX has requested in writing that we honor the Letter of Agreement with respect to the single source manufacturing agreement. To date, we have offered to IRIX opportunities to bid for the manufacture of HIF-PH inhibitors, including roxadustat. In 2015, Patheon Pharmaceuticals Inc., a business unit of DPx Holdings B.V., acquired IRIX.</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Pamrevlumab</w:t>
      </w:r>
    </w:p>
    <w:p>
      <w:pPr>
        <w:spacing w:after="0" w:line="11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To date, pamrevlumab has been manufactured using specialized biopharmaceutical process techniques under an agreement with a qualified third party contract manufacturer, Boehringer Ingelheim. Our contract manufacturer is the sole source for the current clinical supply of the drug substance and drug product for pamrevlumab. Our contract manufacturer is only obligated to supply the amounts of pamrevlumab as agreed on pursuant to work orders that are executed from time to time under our agreement as we determine need for clinical material, and we are not required to make fixed or minimum annual purchases. Our existing agreement allows us to transfer the cell line manufacturing process to another third party manufacturer at our expense, and our contractor is obligated to provide reasonable technology transfer assistance in the event of such a transfer.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FG-5200</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manufacture of FG-5200 requires three distinct steps under cGMP and involves three parties in three locations. Our proprietary recombinant human collagen is produced under contract by a third party in Finland. After quality assurance release, we freeze-dry the material in our U.S. facility. We are still determining any facility licensing requirements for this step. The final step is the production of FG-5200, which will be done in a qualified aseptic manufacturing suite at the FibroGen Beijing manufacturing facility. After completion of the final validation of the sterile process (currently in progress), implants will be manufactured there for product registration testing, clinical testing, as well as for commercial use in the future.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clinical testing, manufacturing, labeling, storage, distribution, record keeping, advertising, promotion, import, export and marketing, among other things, of our product candidates are subject to extensive regulation by governmental authorities in the U.S. and other countries. The process of obtaining regulatory approvals and the subsequent compliance with appropriate federal, state, local and foreign statutes and regulations, including in Europe and China, requires the expenditure of substantial time and financial resources. Failure to comply with the applicable requirements at any time during the product development process, approval process or after approval may subject an applicant and/or sponsor to a variety of administrative or judicial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Product Approval Process</w:t>
      </w:r>
    </w:p>
    <w:p>
      <w:pPr>
        <w:spacing w:after="0" w:line="11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the U.S., the FDA regulates drugs and biological products, or biologics, under the Public Health Service Act, as well as the FDCA which is the primary law for regulation of drug products. Both drugs and biologics are subject to the regulations and guidance implementing these laws. Pharmaceutical products are also subject to regulation by other governmental agencies, such as the Federal Trade Commission, the Office of Inspector General of the U.S. Department of Health and Human Services, the Consumer Product Safety Commission and the Environmental Protection Agency. The clinical testing, manufacturing, labeling, storage, distribution, record keeping, advertising, promotion, import, export and marketing, among other things, of our product candidates are subject to extensive regulation by governmental authorities in the U.S. and other countries. The steps required before a drug or biologic may be approved for marketing in the U.S. generally include:</w:t>
      </w:r>
    </w:p>
    <w:p>
      <w:pPr>
        <w:spacing w:after="0" w:line="80" w:lineRule="exact"/>
        <w:rPr>
          <w:sz w:val="20"/>
          <w:szCs w:val="20"/>
          <w:color w:val="auto"/>
        </w:rPr>
      </w:pPr>
    </w:p>
    <w:p>
      <w:pPr>
        <w:ind w:left="1040" w:hanging="518"/>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and animal tests conducted under Good Laboratory Practices.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IND for human clinical testing, which must become effective before each human clinical trial commence.</w:t>
      </w:r>
    </w:p>
    <w:p>
      <w:pPr>
        <w:spacing w:after="0" w:line="110" w:lineRule="exact"/>
        <w:rPr>
          <w:rFonts w:ascii="Times New Roman" w:cs="Times New Roman" w:eastAsia="Times New Roman" w:hAnsi="Times New Roman"/>
          <w:sz w:val="18"/>
          <w:szCs w:val="18"/>
          <w:color w:val="auto"/>
        </w:rPr>
      </w:pPr>
    </w:p>
    <w:p>
      <w:pPr>
        <w:ind w:left="1040" w:right="360" w:hanging="518"/>
        <w:spacing w:after="0" w:line="273"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and conducted in accordance with Good Clinical Practices.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NDA, in the case of a small molecule drug product, or a BLA, in the case of a biologic product.</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review and approval of the NDA or BLA, as applicable.</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facilities at which the product is made to assess compliance with cGMPs.</w:t>
      </w:r>
    </w:p>
    <w:p>
      <w:pPr>
        <w:spacing w:after="0" w:line="217"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7"/>
          <w:szCs w:val="17"/>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 potentially unacceptable health risk.</w:t>
      </w:r>
    </w:p>
    <w:p>
      <w:pPr>
        <w:spacing w:after="0" w:line="14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Preclinical studies include laboratory evaluations of the product candidate, as well as animal studies to assess the potential safety and efficacy of the product candidate. Preclinical studies must be conducted in compliance with FDA regulations regarding GLPs. The results of the preclinical studies, together with manufacturing information and analytical data, are submitted to the FDA as part of the IND, which includes the results of preclinical testing and a protocol detailing, among other things, the objectives of the clinical trial, the parameters to be used in monitoring safety and the effectiveness criteria to be evaluated if the first phase or phases of the clinical trial lends themselves to an efficacy determination.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IND must become effective before clinical trials may be commenced.</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649" w:right="279" w:bottom="1440" w:gutter="0" w:footer="0" w:header="0"/>
        </w:sectPr>
      </w:pPr>
    </w:p>
    <w:bookmarkStart w:id="44" w:name="page45"/>
    <w:bookmarkEnd w:id="44"/>
    <w:p>
      <w:pPr>
        <w:ind w:right="20"/>
        <w:spacing w:after="0" w:line="249"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candidates to healthy volunteers, or subjects, or patients with the disease to be treated under the supervision of a qualified principal investigator. Clinical trials must be conducted under the supervision of one or more qualified principal investigators in accordance with GCPs and in accordance with protocols detailing the objectives of the applicable phase of the trial, dosing procedures, research subject selection and exclusion criteria and the safety and effectiveness criteria to be evaluated. Progress reports detailing the status of clinical trials must be submitted to the FDA annually. Sponsors must also timely report to the FDA serious and unexpected adverse events, any clinically important increase in the rate of a serious suspected adverse event over that listed in the protocol or investigator’s brochure, or any findings from other studies or tests that suggest a significant risk in humans exposed to the product candidate. Further, the protocol for each clinical trial must be reviewed and approved by an independent institutional review board (“IRB”), either centrally or individually at each institution at which the clinical trial will be conducted. The IRB will consider, among other things, ethical factors, and the safety of human subjects and the possible liability of the institution.</w:t>
      </w:r>
    </w:p>
    <w:p>
      <w:pPr>
        <w:spacing w:after="0" w:line="18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prior to approval, but the phases may overlap and different trials may be initiated with the same drug candidate within the same phase of development in similar or different patient populations. These phases generally include the following:</w:t>
      </w:r>
    </w:p>
    <w:p>
      <w:pPr>
        <w:spacing w:after="0" w:line="16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Phase 1 clinical trials represent the initial introduction of a product candidate into human subjects, frequently healthy volunteers. In Phase 1, the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 is usually tested for pharmacodynamic and pharmacokinetic properties such as safety, including adverse effects, dosage tolerance, absorption, distribution, metabolism and excretion.</w:t>
      </w:r>
    </w:p>
    <w:p>
      <w:pPr>
        <w:spacing w:after="0" w:line="17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Phase 2 clinical trials usually involve studies in a limited patient population to (1) evaluate the efficacy of the product candidate for specific indications,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 determine dosage tolerance and optimal dosage and (3) identify possible adverse effects and safety risks.</w:t>
      </w:r>
    </w:p>
    <w:p>
      <w:pPr>
        <w:spacing w:after="0" w:line="16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If a product candidate is found to be potentially effective and to have an acceptable safety profile in Phase 2 studies, the clinical trial program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to Phase 3 clinical trials to further evaluate clinical efficacy, optimal dosage and safety within an expanded patient population at geographically dispersed clinical study sites.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Phase 4. </w:t>
      </w:r>
      <w:r>
        <w:rPr>
          <w:rFonts w:ascii="Times New Roman" w:cs="Times New Roman" w:eastAsia="Times New Roman" w:hAnsi="Times New Roman"/>
          <w:sz w:val="18"/>
          <w:szCs w:val="18"/>
          <w:color w:val="auto"/>
        </w:rPr>
        <w:t>Phase 4 clinical trials are conducted after approval to gain additional experience from the treatment of patients in the intended therapeutic indication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document a clinical benefit in the case of drugs approved under accelerated approval regulations, or when otherwise requested by the FDA in the form of post-market requirements or commitments. Failure to promptly conduct any required Phase 4 clinical trials could result in withdrawal of approval.</w:t>
      </w:r>
    </w:p>
    <w:p>
      <w:pPr>
        <w:spacing w:after="0" w:line="17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detailed information on the manufacture, composition and quality of the product candidate, are submitted to the FDA in the form of an NDA (for a drug) or BLA (for a biologic), requesting approval to market the product. The application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Application</w:t>
      </w:r>
    </w:p>
    <w:p>
      <w:pPr>
        <w:spacing w:after="0" w:line="11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Once the NDA or BLA submission has been accepted for filing, which occurs, if at all, 60 days after submission, the FDA informs the applicant of the specific date by which the FDA intends to complete its review. This is typically 12 months from the date of submission. The review process is often extended by FDA requests for additional information or clarification. The FDA reviews NDAs and BLAs to determine, among other things, whether the proposed product is safe and effective for its intended use, and whether the product is being manufactured in accordance with cGMP to assure and preserve the product’s identity, strength, quality and purity. Before approving an NDA or BLA, the FDA may inspect the facilities at which the product is manufactured and will not approve the product unless the manufacturing facility complies with cGMPs and will also inspect clinical trial sites for integrity of data supporting safety and efficacy. During the approval process, the FDA also will determine whether a risk evaluation and mitigation strategy (“REMS”), is necessary to assure the safe use of the product. If the FDA concludes a REMS is needed, the sponsor of the application must submit a proposed REMS; the FDA will not approve the application without an approved REMS, if required. A REMS can substantially increase the costs of obtaining approval.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FDA will issue either an approval of the NDA or BLA or a complete response letter detailing the deficiencies and information required in order for reconsideration of the application.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Pediatric Exclusivity and Pediatric Use</w:t>
      </w:r>
    </w:p>
    <w:p>
      <w:pPr>
        <w:spacing w:after="0" w:line="11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Under the Best Pharmaceuticals for Children Act, certain drugs or biologics may obtain an additional six months of exclusivity in an indication, if the sponsor submits information requested in writing by the FDA (“Written Request”), relating to the use of the active moiety of the drug or biologic in children. The FDA may not issue a Written Request for studies on unapproved or approved indications or where it determines that information relating to the use of a drug or biologic in a pediatric population, or part of the pediatric population, may not produce health benefits in that population.</w:t>
      </w:r>
    </w:p>
    <w:p>
      <w:pPr>
        <w:spacing w:after="0" w:line="18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have not received a Written Request for such pediatric studies with respect to our product candidates, although we may ask the FDA to issue a Written Request for studies in the future. To receive the six-month pediatric market exclusivity, we would have to receive a Written Request from the FDA, conduct the requested studies in accordance with a written agreement with the FDA or, if there is no written agreement, in accordance with commonly accepted scientific principles, and submit reports of the studies. A Written Request may include studies for indications that are not currently in the labeling if the FDA determines that such information will benefit the public health. The FDA will accept the reports upon its determination that the studies were conducted in accordance with and are responsive to the original Written Request, agreement, or commonly accepted scientific principles, as appropriate, and that the reports comply with the FDA’s filing requirements.</w:t>
      </w:r>
    </w:p>
    <w:p>
      <w:pPr>
        <w:spacing w:after="0" w:line="18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studies for most drugs and biologicals, for a new active ingredient, new indication, new dosage form, new dosing regimen or new route of administration. Under PREA, original NDAs, BLAs and supplements thereto must contain a pediatric assessment unless the sponsor has received a deferral or waiver. The required assessment must include the evaluation of the safety and effectiveness of the product for the claimed indications in all relevant pediatric subpopulations and support dosing and administration for each pediatric subpopulation for which the product is safe and effective. The FDA, on its own initiative or at the request of the sponsor, may request a deferral of pediatric studies for some or all of the pediatric subpopulations. A deferral may be granted by FDA if they believe that additional safety or effectiveness data in the adult population needs to be collected before the pediatric studies begin. After April 2013, the FDA must send a non-compliance letter to any sponsor that fails to submit the required assessment, keep a deferral current or fails to submit a request for approval of a pediatric formulation.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11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Even after approval, drugs and biologics manufactured or distributed pursuant to FDA approvals are subject to continuous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5" w:lineRule="exact"/>
        <w:rPr>
          <w:sz w:val="20"/>
          <w:szCs w:val="20"/>
          <w:color w:val="auto"/>
        </w:rPr>
      </w:pPr>
    </w:p>
    <w:p>
      <w:pPr>
        <w:ind w:right="80"/>
        <w:spacing w:after="0" w:line="304" w:lineRule="auto"/>
        <w:rPr>
          <w:sz w:val="20"/>
          <w:szCs w:val="20"/>
          <w:color w:val="auto"/>
        </w:rPr>
      </w:pPr>
      <w:r>
        <w:rPr>
          <w:rFonts w:ascii="Times New Roman" w:cs="Times New Roman" w:eastAsia="Times New Roman" w:hAnsi="Times New Roman"/>
          <w:sz w:val="17"/>
          <w:szCs w:val="17"/>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4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entities involved in the manufacture and distribution of approved drugs and biologics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4"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also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9" w:lineRule="exact"/>
        <w:rPr>
          <w:sz w:val="20"/>
          <w:szCs w:val="20"/>
          <w:color w:val="auto"/>
        </w:rPr>
      </w:pPr>
    </w:p>
    <w:p>
      <w:pPr>
        <w:ind w:left="1040" w:hanging="518"/>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46" w:name="page47"/>
    <w:bookmarkEnd w:id="46"/>
    <w:p>
      <w:pPr>
        <w:ind w:left="1040" w:right="440" w:hanging="518"/>
        <w:spacing w:after="0" w:line="273"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BLAs or supplements to approved NDAs or BLAs, or suspension or revocation of product license approvals.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Prescription Drug Marketing Act</w:t>
      </w:r>
    </w:p>
    <w:p>
      <w:pPr>
        <w:spacing w:after="0" w:line="11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distribution of pharmaceutical products is subject to the Prescription Drug Marketing Act (“PDMA”), which regulates the distribution of drugs and drug samples at the federal level and sets minimum standards for the registration and regulation of drug distributors at the state level. Under the PDMA and state law, states require the registration of manufacturers and distributors who provide pharmaceuticals in that state, including in certain states manufacturers and distributors who ship pharmaceuticals into the state even if such manufacturers or distributors have no place of business within the state. The PDMA and state laws impose requirements and limitations upon drug sampling to ensure accountability in the distribution of samples. The PDMA sets forth civil and criminal penalties for violations of these and other provisions.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Fraud and Abuse and Data Privacy and Security and Transparency Laws and Regulations</w:t>
      </w:r>
    </w:p>
    <w:p>
      <w:pPr>
        <w:spacing w:after="0" w:line="113"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7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certain common activities from prosecution, the exemptions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intent standard under the Anti-Kickback Statute was amended by the Patient Protection and Affordable Care Act as amended by the Health Care and Education Reconciliation Act of 2010 (collectively “PPACA”), to a stricter intent standard such that a person or entity no longer needs to have actual knowledge of this statute or the specific intent to violate it in order to have committed a violation. In addition, PPACA codified case law that a claim including items or services resulting from a violation of the federal Anti-Kickback Statute constitutes a false or fraudulent claim for purposes of the civil False Claims Act (discussed below). Further,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439" w:right="279" w:bottom="1440" w:gutter="0" w:footer="0" w:header="0"/>
        </w:sectPr>
      </w:pPr>
    </w:p>
    <w:bookmarkStart w:id="47" w:name="page48"/>
    <w:bookmarkEnd w:id="47"/>
    <w:p>
      <w:pPr>
        <w:spacing w:after="0" w:line="248" w:lineRule="auto"/>
        <w:rPr>
          <w:sz w:val="20"/>
          <w:szCs w:val="20"/>
          <w:color w:val="auto"/>
        </w:rPr>
      </w:pPr>
      <w:r>
        <w:rPr>
          <w:rFonts w:ascii="Times New Roman" w:cs="Times New Roman" w:eastAsia="Times New Roman" w:hAnsi="Times New Roman"/>
          <w:sz w:val="18"/>
          <w:szCs w:val="18"/>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 The federal Health Insurance Portability and Accountability Act of 1996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9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addition, we may be subject to data privacy and security regulation by both the federal government and the states in which we conduct our business.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8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PPACA, and its implementing regulations, require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Also, many states have similar healthcare statutes or regulations that apply to items and services reimbursed under Medicaid and other state programs, or, in several states, apply regardless of the payor. Some states require the posting of information relating to clinical studies. In addition, California requires pharmaceutical companies to implement a comprehensive compliance program that includes a limit on expenditures for, or payments to, individual medical or health professionals.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1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both domestic and foreign markets, our sales of any approved products will depend in part on the availability of coverage and adequate reimbursement from third-party payors. Third-party payors include government health administrative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 In addition, significant uncertainty exists as to the coverage and reimbursement status of newly approved healthcare product candidates. The market for our products and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w:t>
      </w:r>
    </w:p>
    <w:p>
      <w:pPr>
        <w:spacing w:after="0" w:line="188"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products and our product candidates will be considered cost-effective. Because coverage and reimbursement determinations are made on a payor-by-payor basis, obtaining acceptable coverage and reimbursement from one payor does not guarantee that we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9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In addition, in many foreign countries, particularly the countries of the EU and China,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a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1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In the U.S. and foreign jurisdictions, there have been, and we expect there will continue to be, a number of legislative and regulatory changes to the healthcare system that could affect our future results of operations as we begin to directly commercialize our products. In particular, there have been and continue to be a number of initiatives at the U.S. federal and state level that seek to reduce healthcare costs.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(“MMA”). The MMA imposed new requirements for the distribution and pricing of prescription drugs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future products covered by a Part D prescription drug plan will likely be lower than the prices we might otherwise obtain from non-governmental payors.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non-governmental payors.</w:t>
      </w:r>
    </w:p>
    <w:p>
      <w:pPr>
        <w:spacing w:after="0" w:line="1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Moreover, on November 27, 2013, the federal Drug Supply Chain Security Act was signed into law, which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8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Furthermore, political, economic and regulatory influences are subjecting the healthcare industry in the U.S. to fundamental change. Initiatives to reduce the federal budget and debt and to reform healthcare coverage are increasing cost-containment efforts. We anticipate that Congress, state legislatures and the private sector will continue to review and assess alternative healthcare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 In March 2010, PPACA was signed into law. PPACA has the potential to substantially change the way healthcare is financed by both governmental and private insurers. Among other cost containment measures, PPACA established: an annual, nondeductible fee on any entity that manufactures or imports certain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and extended the Medicaid Drug Rebate program to utilization of prescriptions of individuals enrolled in Medicaid managed care organizations. In the future, there may continue to be additional proposals relating to the reform of the U.S. healthcare system, some of which could further limit the prices we are able to charge for our products, or the amounts of reimbursement available for our products.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Regulation in China</w:t>
      </w:r>
    </w:p>
    <w:p>
      <w:pPr>
        <w:spacing w:after="0" w:line="11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pharmaceutical industry in China is highly regulated. The primary regulatory authority is the NMPA, including its provincial and local branches. As a developer, manufacturer and supplier of drugs, we are subject to regulation and oversight by the NMPA and its provincial and local branches. The Drug Administration Law of China provides the basic legal framework for the administration of the production and sale of pharmaceuticals in China and covers the manufacturing, distributing, packaging, pricing and advertising of pharmaceutical products. Its implementing regulations set forth detailed rules with respect to the administration of pharmaceuticals in China. In addition, we are, and we will be, subject to other Chinese laws and regulations that are applicable to business operators, manufacturers and distributors in general.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Clinical Development</w:t>
      </w:r>
    </w:p>
    <w:p>
      <w:pPr>
        <w:spacing w:after="0" w:line="1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new drug must be approved by the NMPA before it can be manufactured and marketed for sale. To obtain NMPA approval, the applicant must conduct clinical trials, which must be approved by the NMPA and are subject to the NMPA’s supervision and inspection. There are four phases of clinical trials. Application for registration of new drugs requires completion of Phase 1, 2 and 3 of clinical trials, similar to the U.S. In addition, the NMPA may require the conduct of Phase 4 studies as a condition to approval.</w:t>
      </w:r>
    </w:p>
    <w:p>
      <w:pPr>
        <w:spacing w:after="0" w:line="18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Phase 4 studies are post-marketing studies to assess the therapeutic effectiveness of and adverse reactions to the new drug, including an evaluation of the benefits and risks, when used among the general population or specific groups, with findings used to inform adjustments to dosage, among other things.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and Approval to Market</w:t>
      </w:r>
    </w:p>
    <w:p>
      <w:pPr>
        <w:spacing w:after="0" w:line="115"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8"/>
          <w:szCs w:val="18"/>
          <w:color w:val="auto"/>
        </w:rPr>
        <w:t>China requires approval of the NDA as well as the manufacturing facility before a drug can be marketed in China. Approval and oversight are performed at national and provincial levels of the NMPA, involve multiple agencies and consist of various stages of approval.</w:t>
      </w:r>
    </w:p>
    <w:p>
      <w:pPr>
        <w:spacing w:after="0" w:line="1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Under the applicable drug registration regulations, drug registration applications are divided into three different types, namely Domestic NDA, Domestic Generic Drug Application, and Imported Drug Application. Drugs fall into one of three categories, namely chemical medicine, biological product or traditional Chinese or natural medicine.</w:t>
      </w:r>
    </w:p>
    <w:p>
      <w:pPr>
        <w:spacing w:after="0" w:line="17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FibroGen Beijing as a domestic entity has submitted a Domestic NDA under the Domestic Class 1 designation, which refers to a new drug which has never been marketed in any country.</w:t>
      </w:r>
    </w:p>
    <w:p>
      <w:pPr>
        <w:spacing w:after="0" w:line="1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order to obtain market authorization, FibroGen Beijing has submitted to the NMPA an NDA package that contains information similar to what is necessary for a U.S. NDA, including preclinical data, clinical data, technical data on API and drug product, and related stability data. The stability data has been generated from a three-batch registration campaign that was conducted at our Beijing facility, from which samples were successfully tested by the National Institutes for Food and Drug Control.</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NDA package was found acceptable to the NMPA, and FibroGen Beijing was granted a New Drug License confirming the drug as suitable for marketing in December 2018. In addition, FibroGen Beijing was granted a Manufacturing License which lists the Drug Approval Code as well as the name and address of the Manufacturing License holder. Manufacturing further requires a PPP as well as cGMP certification. In 2014, we received a PPP certifying that our manufacturing facility and manufacturing process in that facility are suitable for the manufacture of a drug for clinical or commercial purposes, but we will need to apply for another PPP for our Cangzhou manufacturing facility currently under construction. A PPP requires demonstration that the facility has: (i) legally qualified pharmaceutical and engineering professionals and necessary technical workers; (ii) the premises, facilities and hygienic environment required for drug manufacturing; (iii) institutions, personnel, instruments and equipment necessary to conduct quality control and testing for drugs to be produced; and (iv) rules and regulations to ensure the quality of drugs. The PPP is required prior to conducting the registration campaign for stability and other data for the NDA.</w:t>
      </w:r>
    </w:p>
    <w:p>
      <w:pPr>
        <w:spacing w:after="0" w:line="17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Shortly before NDA approval, FibroGen Beijing conducted a three-batch validation campaign, one of which was observed onsite by the NMPA. Following the successful completion of the validation campaign and associated inspection, FibroGen Beijing was granted a cGMP certification for the commercial production of roxadustat at our Beijing manufacturing facility. We plan to use drug product from our FibroGen Beijing manufacturing facility for commercial supply. We expect our Cangzhou manufacturing facility to be qualified and licensed for manufacture of roxadustat API for the China market later in 2019.</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Reimbursement, Hospital Listing, and Tendering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the </w:t>
      </w:r>
      <w:r>
        <w:rPr>
          <w:rFonts w:ascii="Times New Roman" w:cs="Times New Roman" w:eastAsia="Times New Roman" w:hAnsi="Times New Roman"/>
          <w:sz w:val="18"/>
          <w:szCs w:val="18"/>
          <w:i w:val="1"/>
          <w:iCs w:val="1"/>
          <w:color w:val="auto"/>
        </w:rPr>
        <w:t>“Commercialization”</w:t>
      </w:r>
      <w:r>
        <w:rPr>
          <w:rFonts w:ascii="Times New Roman" w:cs="Times New Roman" w:eastAsia="Times New Roman" w:hAnsi="Times New Roman"/>
          <w:sz w:val="18"/>
          <w:szCs w:val="18"/>
          <w:color w:val="auto"/>
        </w:rPr>
        <w:t xml:space="preserve"> discussion above in the section “</w:t>
      </w:r>
      <w:r>
        <w:rPr>
          <w:rFonts w:ascii="Times New Roman" w:cs="Times New Roman" w:eastAsia="Times New Roman" w:hAnsi="Times New Roman"/>
          <w:sz w:val="18"/>
          <w:szCs w:val="18"/>
          <w:i w:val="1"/>
          <w:iCs w:val="1"/>
          <w:color w:val="auto"/>
        </w:rPr>
        <w:t>Roxadustat for the Treatment of Anemia in Chronic Kidney Disease in China.</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Device Regulation</w:t>
      </w:r>
    </w:p>
    <w:p>
      <w:pPr>
        <w:spacing w:after="0" w:line="11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China, medical devices are classified into three different categories, Class I, Class II and Class III, depending on the degree of risk associated with each medical device and the extent of control needed to ensure safety and effectiveness. Classification of a medical device is important because the class to which a medical device is assigned determines, among other things, whether a manufacturer needs to obtain a production permit and whether clinical trials are required. Classification of a medical device also determines the types of registration required and the level of regulatory authority involved in effecting the product registration. In January 2016, we received the NMPA’s (then the China Food and Drug Administration) approval of our device classification application to designate FG-5200 corneal implants as a Domestic Class III medical device. Class III devices also require product registration and are regulated by the NMPA under the strictest regulatory control.</w:t>
      </w:r>
    </w:p>
    <w:p>
      <w:pPr>
        <w:spacing w:after="0" w:line="18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Before a Class III medical device can be manufactured for commercial distribution, a manufacturer must effect medical device registration by proving the safety and effectiveness of the medical device to the satisfaction of respective levels of the NMPA and clinical trials are required for registration of Class III medical devices. In order to conduct a clinical trial on a Class III medical device, the NMPA requires manufacturers to apply for and obtain in advance a favorable inspection result for the device from an inspection center jointly recognized by the NMPA and the State Administration of Quality Supervision, Inspection and Quarantine. The application for clinical trials involving a Class III medical device with high risk must be approved by the NMPA before the manufacturer may begin clinical trials. A registration application for a Class III medical device must provide required pre-clinical and clinical trial data and information about the medical device and its components regarding, among other things, device design, manufacturing and labeling. The NMPA must provide the application data to the technical evaluation institute for an evaluation opinion within three working days after its acceptance of the application package and decide, within twenty business days after its receipt of the evaluation opinion, whether the application for registration is approved. However, the time for conducting any detection, expert review and hearing process, if necessary, will not be counted in the abovementioned time limit. If the NMPA requires supplemental information, the approval process may take much longer. The registration is valid for five years and application is required for renewal upon expiration of the existing registration certificate. Once a device is approved, a manufacturer must possess a production permit from the provincial level food and drug administration before manufacturing Class III medical devices.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Regulation Outside of China</w:t>
      </w:r>
    </w:p>
    <w:p>
      <w:pPr>
        <w:spacing w:after="0" w:line="11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We are planning on seeking approval for roxadustat, and potentially for our other product candidates, in Europe, Japan and China as well as other countries. In order to market any product outside of the U.S., we would need to comply with numerous and varying regulatory requirements of other countries and jurisdictions regarding quality, safety and efficacy and governing, among other things, clinical trials, manufacturing,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other countries we are seeking approval in, including Europe and China, the approval process varies between countries and jurisdictions and can involve different amounts of product testing and additional administrative review periods. For example, in Europe, a sponsor must submit a CTA, much like an IND prior to the commencement of human clinical trials. A CTA must be submitted to each national health authority and an independent ethics committee.</w:t>
      </w:r>
    </w:p>
    <w:p>
      <w:pPr>
        <w:spacing w:after="0" w:line="186"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color w:val="auto"/>
        </w:rPr>
        <w:t>For other countries outside of the EU, such as China and the countries in Eastern Europe, Latin America or Asia, the requirements governing the conduct of clinical trials, product licensing, pricing, and reimbursement vary from country to country. The time required to obtain approval in other countries and jurisdictions might differ from or be longer than that required to obtain FDA approval. Regulatory approval in one country or jurisdiction does not ensure regulatory approval in another, but a failure or delay in obtaining regulatory approval in one country or jurisdiction may negatively impact the regulatory approval process in other countries.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Regulatory Exclusivity for Approved Products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The patent term restoration period is generally one-half the time between the effective date of an initial IND and the submission date of an NDA or BLA, plus the time between the submission date of the NDA or BLA and the approval of that product candidate application. Patent term restoration cannot, however, extend the remaining term of a patent beyond a total of 14 years from the product’s approval date. In addition, only one patent applicable to an approved product is eligible for the extension and the application for the extension must be submitted prior to the expiration of the patent. The U.S. Patent and Trademark Office, in consultation with the FDA, reviews and approves applications for any patent term extension or restoration. In the future, we expect to apply for restoration of patent term for patents relating to each of our product candidates in order to add patent life beyond the current expiration date of such patents, depending on the length of the clinical trials and other factors involved in the filing of the relevant NDA or BLA.</w:t>
      </w:r>
    </w:p>
    <w:p>
      <w:pPr>
        <w:spacing w:after="0" w:line="19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applications of companies seeking to reference another company’s NDA or BLA. The Hatch-Waxman Act provides a 5-year period of exclusivity to any approved NDA for a product containing a NCE never previously approved by FDA either alone or in combination with another active moiety. No application or abbreviated NDA directed to the same NCE may be submitted during the 5-year exclusivity period, except that such applications may be submitted after four years if they contain a certification of patent invalidity or non-infringement of the patents listed with the FDA by the innovator NDA.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Price Competition and Innovation Act</w:t>
      </w:r>
    </w:p>
    <w:p>
      <w:pPr>
        <w:spacing w:after="0" w:line="1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established an abbreviated pathway for the approval of biosimilar and interchangeable biological products. The abbreviated regulatory approval pathway establishes legal authority for the FDA to review and approve biosimilar biologics, including the possible designation of a biosimilar as “interchangeable” based on similarity to an existing branded product. Under the BPCIA, an application for a biosimilar product cannot be approved by the FDA until 12 years after the original branded product was approved under a BLA. However, an application may be submitted after four years if it contains a certification of patent invalidity or non-infringement to one of the patents listed with the FDA by the innovator BLA holder. The BPCIA is complex and is only beginning to be interpreted and implemented by the FDA. As a result, its ultimate impact, implementation, and interpretation are subject to uncertainty.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Act</w:t>
      </w:r>
    </w:p>
    <w:p>
      <w:pPr>
        <w:spacing w:after="0" w:line="11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Pamrevlumab has received orphan drug designation in IPF in the U.S. 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in any indication.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Orphan designation status in the EU has similar but not identical benefits in that jurisdiction.</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53" w:name="page54"/>
    <w:bookmarkEnd w:id="53"/>
    <w:p>
      <w:pPr>
        <w:ind w:right="20"/>
        <w:spacing w:after="0" w:line="267" w:lineRule="auto"/>
        <w:rPr>
          <w:sz w:val="20"/>
          <w:szCs w:val="20"/>
          <w:color w:val="auto"/>
        </w:rPr>
      </w:pPr>
      <w:r>
        <w:rPr>
          <w:rFonts w:ascii="Times New Roman" w:cs="Times New Roman" w:eastAsia="Times New Roman" w:hAnsi="Times New Roman"/>
          <w:sz w:val="17"/>
          <w:szCs w:val="17"/>
          <w:color w:val="auto"/>
        </w:rPr>
        <w:t>Products receiving orphan designation in the EU can receive ten years of market exclusivity, during which time no similar medicinal product for the same indication may be placed on the market.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 second applicant can establish that its product, although similar, is safer, more effective or otherwise clinically superior; the initial applicant consents to a second orphan medicinal product application; or the initial applicant cannot supply enough orphan medicinal product.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Country Data Exclusivity</w:t>
      </w:r>
    </w:p>
    <w:p>
      <w:pPr>
        <w:spacing w:after="0" w:line="1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EU also provides opportunities for additional market exclusivity. For example, in the EU, upon receiving marketing authorization, an NCE generally receives eight years of data exclusivity and an additional two years of market exclusivity. If granted, data exclusivity prevents regulatory authorities in the EU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w:t>
      </w:r>
    </w:p>
    <w:p>
      <w:pPr>
        <w:spacing w:after="0" w:line="1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In China, there is also an opportunity for data exclusivity for a period of six years for data included in an NDA applicable to a NCE. According to the Provisions for Drug Registration, the Chinese government protects undisclosed data from drug studies and prevents the approval of an application made by another company that uses the undisclosed data for the approved drug. In addition, if an approved drug manufactured in China qualifies as an innovative drug, such as Domestic Class 1, and the NMPA determines that it is appropriate to protect public health with respect to the safety and efficacy of the approved drug, the NMPA may elect to monitor such drug for up to five years. During this post-marketing observation period, the NMPA will not grant approval to another company to produce, change dosage form of or import the drug while the innovative drug is under observation. The approved manufacturer is required to provide an annual report to the regulatory department of the province, autonomous region or municipality directly under the central government where it is located. Each of the data exclusivity period and the observation period runs from the date of approval for production of the NCE or innovative drug, as the case may be.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ability to obtain and maintain patent and other intellectual property protection for our product candidates including compositions-of-matter, dosages, and formulations, manufacturing methods, and novel applications, uses and technological innovations related to our product candidates and core technologies. We also rely on trade secrets, know-how and continuing technological innovation to further develop and maintain our competitive position.</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Our policy is to seek to protect our proprietary position by, among other methods, filing U.S. and foreign patent applications related to our proprietary technologies, inventions and any improvements that we consider important to the development and implementation of our business and strategy. Our ability to maintain and solidify our proprietary position for our products and technologies will depend, in part, on our success in obtaining and enforcing valid patent claims. Additionally, we may benefit from a variety of regulatory frameworks in the U.S., Europe, China, and other territories that provide periods of non-patent-based exclusivity for qualifying drug products. </w:t>
      </w:r>
      <w:r>
        <w:rPr>
          <w:rFonts w:ascii="Times New Roman" w:cs="Times New Roman" w:eastAsia="Times New Roman" w:hAnsi="Times New Roman"/>
          <w:sz w:val="18"/>
          <w:szCs w:val="18"/>
          <w:i w:val="1"/>
          <w:iCs w:val="1"/>
          <w:color w:val="auto"/>
        </w:rPr>
        <w:t>Refer to “Government Regulation — Regulatory Exclusivity for Approved Products.”</w:t>
      </w:r>
    </w:p>
    <w:p>
      <w:pPr>
        <w:spacing w:after="0" w:line="18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We cannot ensure that patents will be granted with respect to any of our pending patent applications or with respect to any patent applications that may be filed by us in the future, nor can we ensure that any of our existing or subsequently granted patents will be useful in protecting our drug candidates, technological innovations, and processes. Additionally, any existing or subsequently granted patents may be challenged, invalidated, circumvented or infringed. We cannot guarantee that our intellectual property rights or proprietary position will be sufficient to permit us to take advantage of current market trends or otherwise to provide or protect competitive advantages. Furthermore, our competitors may be able to independently develop and commercialize similar products, or may be able to duplicate our technologies, business model, or strategy, without infringing our patents or otherwise using our intellectual property.</w:t>
      </w:r>
    </w:p>
    <w:p>
      <w:pPr>
        <w:spacing w:after="0" w:line="174"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Our extensive worldwide patent portfolio includes multiple granted and pending patent applications relating to roxadustat and pamrevlumab. Currently granted patents relating to composition-of-matter for roxadustat and for pamrevlumab are expected, for each product candidate, to expire in 2024 or 2025, in each case exclusive of any patent term extension that may be available. U.S. and foreign patents relating to crystalline forms of roxadustat are expected to expire in 2033, exclusive of any extension. Additional patents and patent applications relating to manufacturing processes, formulations, and various therapeutic uses, including treatment of specific indications and improvement of clinical parameters, provide further protection for product candidates.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54" w:name="page55"/>
    <w:bookmarkEnd w:id="54"/>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protection afforded by any particular patent depends upon many factors, including the type of patent, scope of coverage encompassed by the granted claims, availability of extensions of patent term, availability of legal remedies in the particular territory in which the patent is granted, and validity and enforceability of the patent. Changes in either patent laws or in the interpretation of patent laws in the U.S. and other countries could diminish our ability to protect our inventions and to enforce our intellectual property rights. Accordingly, we cannot predict with certainty the enforceability of any granted patent claims or of any claims that may be granted from our patent applications.</w:t>
      </w:r>
    </w:p>
    <w:p>
      <w:pPr>
        <w:spacing w:after="0" w:line="18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ability to maintain and solidify our proprietary position for our products and core technologies will depend on our success in obtaining effective claims and enforcing those claims once granted. We have been in the past and are currently involved in various administrative proceedings with respect to our patents and patent applications and may, as a result of our extensive portfolio, be involved in such proceedings in the future. Additionally, in the future, we may claim that a third party infringes our intellectual property or a third party may claim that we infringe its intellectual property. In any of the administrative proceedings or in litigation, we may incur significant expenses, damages, attorneys’ fees, costs of proceedings and experts’ fees, and management and employees may be required to spend significant time in connection with these actions.</w:t>
      </w:r>
    </w:p>
    <w:p>
      <w:pPr>
        <w:spacing w:after="0" w:line="18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Because of the extensive time required for clinical development and regulatory review of a product candidate we may develop, it is possible that any patent related to our product candidates may expire before any of our product candidates can be commercialized, or may remain in force for only a short period of time following commercialization, thereby reducing the advantage afforded by any such patent.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positions for our most advanced programs are summarized below.</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Patent Portfolio</w:t>
      </w:r>
    </w:p>
    <w:p>
      <w:pPr>
        <w:spacing w:after="0" w:line="1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roxadustat patent portfolio includes multiple granted U.S. patents offering protection for roxadustat, including protection for roxadustat composition-of-matter, for pharmaceutical compositions containing roxadustat, and for methods for treating anemia using roxadustat or its analogs. Exclusive of any patent term extension, the granted U.S. patents relating to the composition-of-matter of roxadustat are due to expire in 2024 or 2025, and granted foreign patents are due to expire in 2024. U.S. and foreign patents relating to crystalline forms of roxadustat are due to expire in 2033.</w:t>
      </w:r>
    </w:p>
    <w:p>
      <w:pPr>
        <w:spacing w:after="0" w:line="180"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 xml:space="preserve">We believe that, if roxadustat is approved, a full five-year patent term extension under the Hatch-Waxman act will be available for a granted U.S. patent relating to roxadustat, which extension would expire in 2029 or 2030, depending on the patent extended. </w:t>
      </w:r>
      <w:r>
        <w:rPr>
          <w:rFonts w:ascii="Times New Roman" w:cs="Times New Roman" w:eastAsia="Times New Roman" w:hAnsi="Times New Roman"/>
          <w:sz w:val="18"/>
          <w:szCs w:val="18"/>
          <w:i w:val="1"/>
          <w:iCs w:val="1"/>
          <w:color w:val="auto"/>
        </w:rPr>
        <w:t>Refer to “Government Regulation — Regulatory Exclusivity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Approved Products — U.S. Patent Term Restoration.”</w:t>
      </w:r>
    </w:p>
    <w:p>
      <w:pPr>
        <w:spacing w:after="0" w:line="1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We also hold various U.S. and foreign granted patents and pending patent applications directed to manufacturing processes, formulations, and methods for use of roxadustat.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China Patent Portfolio</w:t>
      </w:r>
    </w:p>
    <w:p>
      <w:pPr>
        <w:spacing w:after="0" w:line="113"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8"/>
          <w:szCs w:val="18"/>
          <w:color w:val="auto"/>
        </w:rPr>
        <w:t>Our roxadustat China patent portfolio includes granted patents covering roxadustat composition-of-matter, pharmaceutical compositions, methods of use, and manufacturing processes for roxadustat, as well as medicaments containing roxadustat for treating anemia and other conditions. Patents relating to roxadustat composition-of-matter and crystalline forms are due to expire in 2024 and 2033, respectively.</w:t>
      </w:r>
    </w:p>
    <w:p>
      <w:pPr>
        <w:spacing w:after="0" w:line="177"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 xml:space="preserve">We believe that roxadustat, as a new chemical entity, would be eligible for six years of data exclusivity in China. Furthermore, upon approval as a new drug, roxadustat may receive up to five years of market exclusivity under a NMPA-imposed new drug monitoring period. </w:t>
      </w:r>
      <w:r>
        <w:rPr>
          <w:rFonts w:ascii="Times New Roman" w:cs="Times New Roman" w:eastAsia="Times New Roman" w:hAnsi="Times New Roman"/>
          <w:sz w:val="18"/>
          <w:szCs w:val="18"/>
          <w:i w:val="1"/>
          <w:iCs w:val="1"/>
          <w:color w:val="auto"/>
        </w:rPr>
        <w:t>Refer to “Government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Exclusivity for Approved Products — Foreign Country Data Exclusivity.”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HIF Anemia-related Technologies Patent Portfolio</w:t>
      </w:r>
    </w:p>
    <w:p>
      <w:pPr>
        <w:spacing w:after="0" w:line="113"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We also have an extensive worldwide patent portfolio providing broad protection for proprietary technologies relating to the treatment of anemia and associated conditions. This portfolio currently contains granted patents and pending patent applications providing exclusivity for use of compounds falling within various and overlapping classes of HIF-PH inhibitors to achieve various therapeutic effects.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545" w:right="279" w:bottom="1440" w:gutter="0" w:footer="0" w:header="0"/>
        </w:sectPr>
      </w:pPr>
    </w:p>
    <w:bookmarkStart w:id="55" w:name="page56"/>
    <w:bookmarkEnd w:id="55"/>
    <w:p>
      <w:pPr>
        <w:ind w:right="240"/>
        <w:spacing w:after="0" w:line="259" w:lineRule="auto"/>
        <w:rPr>
          <w:sz w:val="20"/>
          <w:szCs w:val="20"/>
          <w:color w:val="auto"/>
        </w:rPr>
      </w:pPr>
      <w:r>
        <w:rPr>
          <w:rFonts w:ascii="Times New Roman" w:cs="Times New Roman" w:eastAsia="Times New Roman" w:hAnsi="Times New Roman"/>
          <w:sz w:val="18"/>
          <w:szCs w:val="18"/>
          <w:color w:val="auto"/>
        </w:rPr>
        <w:t>This portfolio reflects a series of discoveries we made from the initial days of our HIF program through the present time. Our research efforts have resulted in progressive innovation, and the corresponding patents and patent applications reflect the success of our HIF program. Such discoveries include the ability of HIF-PH inhibitors:</w:t>
      </w:r>
    </w:p>
    <w:p>
      <w:pPr>
        <w:spacing w:after="0" w:line="72" w:lineRule="exact"/>
        <w:rPr>
          <w:sz w:val="20"/>
          <w:szCs w:val="20"/>
          <w:color w:val="auto"/>
        </w:rPr>
      </w:pPr>
    </w:p>
    <w:p>
      <w:pPr>
        <w:ind w:left="1040" w:hanging="51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endogenous EPO in anemic CKD patients.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efficacy of EPO signaling.</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enhance EPO responsiveness of the bone marrow, for example, by increasing EPO receptor expression.</w:t>
      </w:r>
    </w:p>
    <w:p>
      <w:pPr>
        <w:spacing w:after="0" w:line="110" w:lineRule="exact"/>
        <w:rPr>
          <w:rFonts w:ascii="Times New Roman" w:cs="Times New Roman" w:eastAsia="Times New Roman" w:hAnsi="Times New Roman"/>
          <w:sz w:val="18"/>
          <w:szCs w:val="18"/>
          <w:color w:val="auto"/>
        </w:rPr>
      </w:pPr>
    </w:p>
    <w:p>
      <w:pPr>
        <w:ind w:left="1040" w:right="180" w:hanging="518"/>
        <w:spacing w:after="0" w:line="273"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overcome the suppressive and inhibitory effects of inflammatory cytokines, such as members of the interleukin-1 and IL-6 cytokine families, on EPO production and responsiveness.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effective metabolism of iron.</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iron absorption and bioavailability, as measured using clinical parameters such as percent TSAT%.</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overcome iron deficiency through effects on iron regulatory factors such as ferroportin and hepcidin.</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coordinated erythropoiesis resulting in increased CHr and increased mean corpuscular volume.</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improve kidney function.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representative granted U.S. patents relating to these and other inventions, including the projected expiration dates of these patents.</w:t>
      </w:r>
    </w:p>
    <w:p>
      <w:pPr>
        <w:spacing w:after="0" w:line="211"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PATENT NO.</w:t>
            </w:r>
          </w:p>
        </w:tc>
        <w:tc>
          <w:tcPr>
            <w:tcW w:w="100" w:type="dxa"/>
            <w:vAlign w:val="bottom"/>
          </w:tcPr>
          <w:p>
            <w:pPr>
              <w:spacing w:after="0"/>
              <w:rPr>
                <w:sz w:val="16"/>
                <w:szCs w:val="16"/>
                <w:color w:val="auto"/>
              </w:rPr>
            </w:pPr>
          </w:p>
        </w:tc>
        <w:tc>
          <w:tcPr>
            <w:tcW w:w="6500" w:type="dxa"/>
            <w:vAlign w:val="bottom"/>
            <w:gridSpan w:val="2"/>
          </w:tcPr>
          <w:p>
            <w:pPr>
              <w:ind w:left="30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DUE TO EXPIRE</w:t>
            </w:r>
          </w:p>
        </w:tc>
      </w:tr>
      <w:tr>
        <w:trPr>
          <w:trHeight w:val="198"/>
        </w:trPr>
        <w:tc>
          <w:tcPr>
            <w:tcW w:w="1220" w:type="dxa"/>
            <w:vAlign w:val="bottom"/>
            <w:tcBorders>
              <w:top w:val="single" w:sz="8" w:color="CFF0FC"/>
            </w:tcBorders>
            <w:shd w:val="clear" w:color="auto" w:fill="CFF0FC"/>
          </w:tcPr>
          <w:p>
            <w:pPr>
              <w:spacing w:after="0" w:line="199" w:lineRule="exact"/>
              <w:rPr>
                <w:sz w:val="20"/>
                <w:szCs w:val="20"/>
                <w:color w:val="auto"/>
              </w:rPr>
            </w:pPr>
            <w:r>
              <w:rPr>
                <w:rFonts w:ascii="Times New Roman" w:cs="Times New Roman" w:eastAsia="Times New Roman" w:hAnsi="Times New Roman"/>
                <w:sz w:val="18"/>
                <w:szCs w:val="18"/>
                <w:color w:val="auto"/>
              </w:rPr>
              <w:t>6,855,510</w:t>
            </w:r>
          </w:p>
        </w:tc>
        <w:tc>
          <w:tcPr>
            <w:tcW w:w="100" w:type="dxa"/>
            <w:vAlign w:val="bottom"/>
            <w:tcBorders>
              <w:top w:val="single" w:sz="8" w:color="CFF0FC"/>
            </w:tcBorders>
            <w:shd w:val="clear" w:color="auto" w:fill="CFF0FC"/>
          </w:tcPr>
          <w:p>
            <w:pPr>
              <w:spacing w:after="0"/>
              <w:rPr>
                <w:sz w:val="17"/>
                <w:szCs w:val="17"/>
                <w:color w:val="auto"/>
              </w:rPr>
            </w:pPr>
          </w:p>
        </w:tc>
        <w:tc>
          <w:tcPr>
            <w:tcW w:w="6420" w:type="dxa"/>
            <w:vAlign w:val="bottom"/>
            <w:tcBorders>
              <w:top w:val="single" w:sz="8" w:color="auto"/>
            </w:tcBorders>
            <w:shd w:val="clear" w:color="auto" w:fill="CFF0FC"/>
          </w:tcPr>
          <w:p>
            <w:pPr>
              <w:spacing w:after="0" w:line="199" w:lineRule="exact"/>
              <w:rPr>
                <w:sz w:val="20"/>
                <w:szCs w:val="20"/>
                <w:color w:val="auto"/>
              </w:rPr>
            </w:pPr>
            <w:r>
              <w:rPr>
                <w:rFonts w:ascii="Times New Roman" w:cs="Times New Roman" w:eastAsia="Times New Roman" w:hAnsi="Times New Roman"/>
                <w:sz w:val="18"/>
                <w:szCs w:val="18"/>
                <w:color w:val="auto"/>
              </w:rPr>
              <w:t>Pharmaceuticals and Methods for Treating Hypoxia and Screening Methods Therefor</w:t>
            </w:r>
          </w:p>
        </w:tc>
        <w:tc>
          <w:tcPr>
            <w:tcW w:w="8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line="199" w:lineRule="exact"/>
              <w:rPr>
                <w:sz w:val="20"/>
                <w:szCs w:val="20"/>
                <w:color w:val="auto"/>
              </w:rPr>
            </w:pPr>
            <w:r>
              <w:rPr>
                <w:rFonts w:ascii="Times New Roman" w:cs="Times New Roman" w:eastAsia="Times New Roman" w:hAnsi="Times New Roman"/>
                <w:sz w:val="18"/>
                <w:szCs w:val="18"/>
                <w:color w:val="auto"/>
              </w:rPr>
              <w:t>July 2022</w:t>
            </w:r>
          </w:p>
        </w:tc>
        <w:tc>
          <w:tcPr>
            <w:tcW w:w="140" w:type="dxa"/>
            <w:vAlign w:val="bottom"/>
            <w:tcBorders>
              <w:top w:val="single" w:sz="8" w:color="CFF0FC"/>
            </w:tcBorders>
            <w:shd w:val="clear" w:color="auto" w:fill="CFF0FC"/>
          </w:tcPr>
          <w:p>
            <w:pPr>
              <w:spacing w:after="0"/>
              <w:rPr>
                <w:sz w:val="17"/>
                <w:szCs w:val="17"/>
                <w:color w:val="auto"/>
              </w:rPr>
            </w:pPr>
          </w:p>
        </w:tc>
      </w:tr>
      <w:tr>
        <w:trPr>
          <w:trHeight w:val="2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8,466,172</w:t>
            </w:r>
          </w:p>
        </w:tc>
        <w:tc>
          <w:tcPr>
            <w:tcW w:w="10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Stabilization of Hypoxia Inducible Factor (HIF) Alpha</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December 2022</w:t>
            </w:r>
          </w:p>
        </w:tc>
      </w:tr>
      <w:tr>
        <w:trPr>
          <w:trHeight w:val="212"/>
        </w:trPr>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8,629,131</w:t>
            </w:r>
          </w:p>
        </w:tc>
        <w:tc>
          <w:tcPr>
            <w:tcW w:w="100" w:type="dxa"/>
            <w:vAlign w:val="bottom"/>
            <w:shd w:val="clear" w:color="auto" w:fill="CFF0FC"/>
          </w:tcPr>
          <w:p>
            <w:pPr>
              <w:spacing w:after="0"/>
              <w:rPr>
                <w:sz w:val="18"/>
                <w:szCs w:val="18"/>
                <w:color w:val="auto"/>
              </w:rPr>
            </w:pPr>
          </w:p>
        </w:tc>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Enhanced Erythropoiesis and Iron Metabolism</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June 2024</w:t>
            </w:r>
          </w:p>
        </w:tc>
      </w:tr>
      <w:tr>
        <w:trPr>
          <w:trHeight w:val="2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8,604,012</w:t>
            </w:r>
          </w:p>
        </w:tc>
        <w:tc>
          <w:tcPr>
            <w:tcW w:w="10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Enhanced Erythropoiesis and Iron Metabolism</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June 2024</w:t>
            </w:r>
          </w:p>
        </w:tc>
      </w:tr>
      <w:tr>
        <w:trPr>
          <w:trHeight w:val="212"/>
        </w:trPr>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8,609,646</w:t>
            </w:r>
          </w:p>
        </w:tc>
        <w:tc>
          <w:tcPr>
            <w:tcW w:w="100" w:type="dxa"/>
            <w:vAlign w:val="bottom"/>
            <w:shd w:val="clear" w:color="auto" w:fill="CFF0FC"/>
          </w:tcPr>
          <w:p>
            <w:pPr>
              <w:spacing w:after="0"/>
              <w:rPr>
                <w:sz w:val="18"/>
                <w:szCs w:val="18"/>
                <w:color w:val="auto"/>
              </w:rPr>
            </w:pPr>
          </w:p>
        </w:tc>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Enhanced Erythropoiesis and Iron Metabolism</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June 2024</w:t>
            </w:r>
          </w:p>
        </w:tc>
      </w:tr>
      <w:tr>
        <w:trPr>
          <w:trHeight w:val="2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8,604,013</w:t>
            </w:r>
          </w:p>
        </w:tc>
        <w:tc>
          <w:tcPr>
            <w:tcW w:w="10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Enhanced Erythropoiesis and Iron Metabolism</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June 2024</w:t>
            </w:r>
          </w:p>
        </w:tc>
      </w:tr>
      <w:tr>
        <w:trPr>
          <w:trHeight w:val="212"/>
        </w:trPr>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8,614,204</w:t>
            </w:r>
          </w:p>
        </w:tc>
        <w:tc>
          <w:tcPr>
            <w:tcW w:w="100" w:type="dxa"/>
            <w:vAlign w:val="bottom"/>
            <w:shd w:val="clear" w:color="auto" w:fill="CFF0FC"/>
          </w:tcPr>
          <w:p>
            <w:pPr>
              <w:spacing w:after="0"/>
              <w:rPr>
                <w:sz w:val="18"/>
                <w:szCs w:val="18"/>
                <w:color w:val="auto"/>
              </w:rPr>
            </w:pPr>
          </w:p>
        </w:tc>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Enhanced Erythropoiesis and Iron Metabolism</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June 2026</w:t>
            </w:r>
          </w:p>
        </w:tc>
      </w:tr>
      <w:tr>
        <w:trPr>
          <w:trHeight w:val="2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7,713,986</w:t>
            </w:r>
          </w:p>
        </w:tc>
        <w:tc>
          <w:tcPr>
            <w:tcW w:w="10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Compounds and Methods for Treatment of Chemotherapy-Induced Anemia</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June 2026</w:t>
            </w:r>
          </w:p>
        </w:tc>
      </w:tr>
      <w:tr>
        <w:trPr>
          <w:trHeight w:val="212"/>
        </w:trPr>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8,318,703</w:t>
            </w:r>
          </w:p>
        </w:tc>
        <w:tc>
          <w:tcPr>
            <w:tcW w:w="100" w:type="dxa"/>
            <w:vAlign w:val="bottom"/>
            <w:shd w:val="clear" w:color="auto" w:fill="CFF0FC"/>
          </w:tcPr>
          <w:p>
            <w:pPr>
              <w:spacing w:after="0"/>
              <w:rPr>
                <w:sz w:val="18"/>
                <w:szCs w:val="18"/>
                <w:color w:val="auto"/>
              </w:rPr>
            </w:pPr>
          </w:p>
        </w:tc>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Methods for Improving Kidney Function</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February 2027</w:t>
            </w:r>
          </w:p>
        </w:tc>
      </w:tr>
    </w:tbl>
    <w:p>
      <w:pPr>
        <w:spacing w:after="0" w:line="19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In addition to the U.S. patents listed above, our HIF anemia-related technologies portfolio includes corresponding foreign patents granted and patent applications pending in various territories worldwide.</w:t>
      </w:r>
    </w:p>
    <w:p>
      <w:pPr>
        <w:spacing w:after="0" w:line="1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Akebia and others have filed oppositions against certain European patents corresponding to some of the above-listed cases. In three of these proceedings, for FibroGen European Patent Nos. 1463823, 1633333, and 2322155, the European Patent Office has handed down decisions unfavorable to FibroGen. In the fourth of these proceedings, the European Patent Office issued a decision favorable to FibroGen, maintaining FibroGen European Patent No. 2322153. These decisions are currently under appeal, and these four patents are valid and enforceable pending resolution of the appeals. The ultimate outcomes of such proceedings remain uncertain, and ultimate resolution of such may take two to four years or longer. Akebia is also pursuing invalidation actions against corresponding patents in Canada and in Japan, and invalidation actions against corresponding patents in the United Kingdom have been initiated by GSK and by Akebia. While we believe these FibroGen patents will be upheld in relevant part, we note that narrowing or even revocation of any of these patents would not affect our exclusivity for roxadustat or our freedom-to-operate with respect to use of roxadustat for the treatment of anemia.</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Pamrevlumab Patent Portfolio</w:t>
      </w:r>
    </w:p>
    <w:p>
      <w:pPr>
        <w:spacing w:after="0" w:line="1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pamrevlumab patent portfolio includes U.S. patents providing composition-of-matter protection for pamrevlumab and related antibodies, and for methods of using such in the treatment of fibroproliferative disorders, including IPF, liver fibrosis, and pancreatic cancer. Exclusive of any patent term extension, U.S. patents relating to pamrevlumab composition-of-matter are due to expire in 2024 or 2025. Corresponding foreign patents are due to expire, exclusive of any patent term extension, in 2024.</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if pamrevlumab is approved, a full five-year patent term extension under the Hatch-Waxman act will be available for a granted patent relating to pamrevlumab, which extension would expire in 2029 or 2030, depending on the patent extended . In addition, we believe that pamrevlumab, if approved under a BLA, should qualify for the 12-year period of exclusivity currently permitted by the BPCIA. Refer to </w:t>
      </w:r>
      <w:r>
        <w:rPr>
          <w:rFonts w:ascii="Times New Roman" w:cs="Times New Roman" w:eastAsia="Times New Roman" w:hAnsi="Times New Roman"/>
          <w:sz w:val="18"/>
          <w:szCs w:val="18"/>
          <w:i w:val="1"/>
          <w:iCs w:val="1"/>
          <w:color w:val="auto"/>
        </w:rPr>
        <w:t>“Government Regulation — Regulatory Exclusivity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Approved Products.”</w:t>
      </w:r>
    </w:p>
    <w:p>
      <w:pPr>
        <w:spacing w:after="0" w:line="180"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8"/>
          <w:szCs w:val="18"/>
          <w:color w:val="auto"/>
        </w:rPr>
        <w:t>We also hold additional granted U.S. and foreign patents and pending patent applications directed to the use of pamrevlumab to treat IPF, DMD, pancreatic cancer, liver fibrosis, and other disorders.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 and Know-How</w:t>
      </w:r>
    </w:p>
    <w:p>
      <w:pPr>
        <w:spacing w:after="0" w:line="11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addition to patents, we rely upon proprietary trade secrets and know-how and continuing technological innovation to develop and maintain our competitive position. We seek to protect our proprietary information, in part, using confidentiality and other terms in agreements with our commercial partners, collaboration partners, consultants and employees. Such agreements are designed to protect our proprietary information, and may also grant us ownership of technologies that are developed through a relationship with a third party, such as through invention assignment provisions. Agreements may expire and we could lose the benefit of confidentiality, or our agreements may be breached and we may not have adequate remedies for any breach. In addition, our trade secrets may otherwise become known or be independently discovered by competitors.</w:t>
      </w:r>
    </w:p>
    <w:p>
      <w:pPr>
        <w:spacing w:after="0" w:line="184"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To the extent that our commercial partners, collaboration partners, employees and consultants use intellectual property owned by others in their work for us, disputes may arise as to the rights in related or resulting know-how and inventions.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Dana-Farber Cancer Institute</w:t>
      </w:r>
    </w:p>
    <w:p>
      <w:pPr>
        <w:spacing w:after="0" w:line="11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Effective March 2006, we entered into a license agreement with the Dana-Farber Cancer Institute (“DFCI”), under which we obtained an exclusive license to certain patent applications, patents and biological materials for all uses. The patent rights relate to inhibition of prolyl hydroxylation of the alpha subunit of hypoxia-inducible factor (HIFα), and include granted U.S. and foreign patents due to expire in 2022, exclusive of possible patent term extension. The licensed patents relate to use of HIF-PH inhibitors such as roxadustat.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DFCI agreement, we are obligated to pay DFCI for past and ongoing patent prosecution expenses for the licensed patents. We are also obligated to pay DFCI annual maintenance fees, development milestone payments of up to $425,000, sales milestone payments of up to $3 million, and a sub-single-digit royalty on net sales by us or our affiliates or sublicensees of products that are covered by the licensed patents or incorporate the licensed biological materials. In addition, each sublicense we grant is subject to a one-time fixed amount payment to DFCI.</w:t>
      </w:r>
    </w:p>
    <w:p>
      <w:pPr>
        <w:spacing w:after="0" w:line="1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Unless earlier terminated, the agreement will continue in effect, on a country-by-country basis, until the expiration of all licensed patents in a country or, if there is no patent covering a licensed product incorporating the licensed biological materials, until 20 years after the effective date of the agreement. DFCI may terminate the agreement for our uncured material breach, if we cease to carry on our business and development activities with respect to all licensed products, if we fail to comply with our insurance obligations, or if we are convicted of a felony related to the manufacture, use, sale or importation of licensed products. We may terminate the agreement at any time on prior written notice to DFCI.</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Miami</w:t>
      </w:r>
    </w:p>
    <w:p>
      <w:pPr>
        <w:spacing w:after="0" w:line="115"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In May 1997, we entered into a license agreement with the University of Miami (the “University”), amended in July 1999, under which we obtained an exclusive, worldwide license to certain patent applications and patents for all uses. The current patent rights include U.S. and foreign patents that relate to biologically active fragments of CTGF, and corresponding nucleic acids, proteins, and antibodies, and are due to expire in 2019 and 2022, exclusive of any patent term extension or adjustment that may be available. The licensed patents relate to pamrevlumab and related products.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University agreement, we are obligated to pay for all ongoing patent prosecution expenses for the licensed patents. We were also obligated to pay an upfront licensing fee of $21,500, all of which has been paid, and development milestone payments of up to $450,000, of which $50,000 has been paid, as well as an additional milestone payment, in the low hundreds of thousands of dollars, for each new indication for which we obtain approval for a licensed product, and a single digit royalty, subject to certain reductions, on net sales of licensed products by us or our affiliates or sublicensees.</w:t>
      </w:r>
    </w:p>
    <w:p>
      <w:pPr>
        <w:spacing w:after="0" w:line="18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Unless earlier terminated, the agreement will continue in effect, on a country-by-country basis, until the expiration of all licensed patents in a country. The University may terminate the agreement for our uncured material breach or bankruptcy. We may terminate the agreement for the University’s uncured material breach or at any time on prior written notice to the University.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Bristol-Myers Squibb Company (Medarex, Inc.)</w:t>
      </w:r>
    </w:p>
    <w:p>
      <w:pPr>
        <w:spacing w:after="0" w:line="11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Effective July 9, 1998 and as amended on June 30, 2001 and January 28, 2002, we entered into a research and commercialization agreement with Medarex, Inc. and its wholly-owned subsidiary GenPharm International, Inc. (now, collectively, part of Bristol-Myers Squibb Company (“Medarex”)) to develop fully human monoclonal antibodies for potential anti-fibrotic therapies. Under the agreement, Medarex was responsible for using its proprietary immunizable transgenic mice (“HuMAb-Mouse technology”) during a specified research period (“the Research Period”), to produce fully human antibodies against our proprietary antigen targets, including CTGF, for our exclusive use.</w:t>
      </w:r>
    </w:p>
    <w:p>
      <w:pPr>
        <w:spacing w:after="0" w:line="18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agreement granted us an option to obtain an exclusive worldwide, royalty-bearing, commercial license to develop antibodies derived from Medarex’s HuMAb-Mouse technology, for use in the development and commercialization of diagnostic and therapeutic products. In December 2002, we exercised that option with respect to twelve antibodies inclusive of the antibody from which pamrevlumab is derived. We granted back to Medarex an exclusive, worldwide, royalty-free, perpetual, irrevocable license, with the right to sublicense, to certain inventions created during the parties’ research collaboration, with such license limited to use by Medarex outside the scope of our licensed antibodies.</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a result of the exercise of our option to obtain the commercial license, Medarex is precluded from (i) knowingly using any technology involving immunizable transgenic mice containing unrearranged human immunoglobulin genes with any of our antigen targets that were the subject of the agreement, (ii) granting to a third party a commercial license that covers such antigen targets or those antibodies derived by Medarex during the Research Period, and (iii) using any antibodies derived by Medarex during the Research Period, except as permitted under the agreement for our benefit or to prosecute patent applications in accordance with the agreement.</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Medarex retained ownership of the patent rights relating to certain mice, mice materials, antibodies and hybridoma cell lines used by Medarex in connection with its activities under the agreement, and Medarex also owns certain claims in patents covering inventions that arise during the Research Period, which claims are directed to (i) compositions of matter (e.g., an antibody) except formulations of antibodies for therapeutic or diagnostic use, or (ii) methods of production. We own the patent rights to any inventions that arise during the Research Period that relate to antigens, as well as claims in patents covering inventions directed to</w:t>
      </w:r>
    </w:p>
    <w:p>
      <w:pPr>
        <w:ind w:right="60" w:firstLine="6"/>
        <w:spacing w:after="0" w:line="248" w:lineRule="auto"/>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use of an antibody, or (b) formulations of antibodies for therapeutic or diagnostic use. Upon exercise of our option to obtain the commercial license, we obtained the sole right but not obligation to control prosecution of patents relating solely to the licensed antibodies or products. Medarex has back-up patent prosecution rights in the event we decline to further prosecute or maintain such patents.</w:t>
      </w:r>
    </w:p>
    <w:p>
      <w:pPr>
        <w:spacing w:after="0" w:line="18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addition to research support payments by us to Medarex during the Research Period, and an upfront commercial license fee in the form of 181,819 shares of FibroGen Series D Convertible Preferred Stock paid upon exercise of our option, we committed development-related milestone payments of up to $11 million per therapeutic product containing a licensed antibody, and we have paid a $1 million development-related milestone, in the form of 133,333 shares of FibroGen Series G Convertible Preferred Stock, for pamrevlumab to date. At our election, the remaining milestone payments may be paid in common stock of FibroGen, Inc., or cash.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58" w:name="page59"/>
    <w:bookmarkEnd w:id="58"/>
    <w:p>
      <w:pPr>
        <w:ind w:right="40"/>
        <w:spacing w:after="0" w:line="250" w:lineRule="auto"/>
        <w:rPr>
          <w:sz w:val="20"/>
          <w:szCs w:val="20"/>
          <w:color w:val="auto"/>
        </w:rPr>
      </w:pPr>
      <w:r>
        <w:rPr>
          <w:rFonts w:ascii="Times New Roman" w:cs="Times New Roman" w:eastAsia="Times New Roman" w:hAnsi="Times New Roman"/>
          <w:sz w:val="18"/>
          <w:szCs w:val="18"/>
          <w:color w:val="auto"/>
        </w:rPr>
        <w:t>With respect to our sales and sales by our affiliates, the agreement also requires us to pay Medarex low single-digit royalties for licensed therapeutic products and low double-digit royalties plus certain capped sales-based bonus royalties for licensed diagnostic products. With respect to sales of licensed products by a sublicensee, we may elect to pay the foregoing royalties based on our sublicensee’s sales, or a percentage (in the high-teens) of all payments received by us from such sublicensee. We are also required to reimburse Medarex any pass-through royalties, if any, payable under Medarex’s upstream license agreements with Medical Research Council and DNX. Royalties payable by us under the agreement are on a licensed product-by-licensed product and country-by-country basis and subject to reductions in specified circumstances, and royalties are payable for a period until either expiration of patents covering the applicable licensed product or a specified number of years following the first commercial sale of such product in the applicable country.</w:t>
      </w:r>
    </w:p>
    <w:p>
      <w:pPr>
        <w:spacing w:after="0" w:line="18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Unless earlier terminated, the agreement will continue in effect for as long as there are royalty payment obligations by us or our sublicensees. Either party may terminate the agreement for certain material breaches by the other party, or for bankruptcy, insolvency or similar circumstances. In addition, we may also terminate the agreement for convenience upon written notice.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Party Filings</w:t>
      </w:r>
    </w:p>
    <w:p>
      <w:pPr>
        <w:spacing w:after="0" w:line="115" w:lineRule="exact"/>
        <w:rPr>
          <w:sz w:val="20"/>
          <w:szCs w:val="20"/>
          <w:color w:val="auto"/>
        </w:rPr>
      </w:pPr>
    </w:p>
    <w:p>
      <w:pPr>
        <w:jc w:val="both"/>
        <w:ind w:right="440"/>
        <w:spacing w:after="0" w:line="259"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which are owned by third parties, exist in the fields in which we are developing products. Because patent applications can take many years to issue, there may be currently pending applications, unknown to us, which may later result in granted patents that use of our product candidates or proprietary technologies may infringe.</w:t>
      </w:r>
    </w:p>
    <w:p>
      <w:pPr>
        <w:spacing w:after="0" w:line="177"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7"/>
          <w:szCs w:val="17"/>
          <w:color w:val="auto"/>
        </w:rPr>
        <w:t>If a third party claims that we infringe its intellectual property rights, we may face a number of issues, including but not limited to, litigation expenses, substantial damages, attorney fees, injunction, royalty payments, cross-licensing of our patents, redesign of our products, or processes and related fees and costs.</w:t>
      </w:r>
    </w:p>
    <w:p>
      <w:pPr>
        <w:spacing w:after="0" w:line="14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We may be exposed to, or threatened with, future litigation by third parties having patent or other intellectual property rights alleging that our products, product candidates, and/or proprietary technologies infringe their intellectual property rights. If one of these patents were to be found to cover our products, product candidates, proprietary technologies, or their uses, we could be required to pay damages and could be restricted from commercializing our products, product candidates or using our proprietary technologies unless we obtain a license to the patent. A license may not be available to us on acceptable terms, if at all. In addition, during litigation, the patent holder might obtain a preliminary injunction or other equitable right, which could prohibit us from making, using or selling our products, technologies, or methods.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January 31, 2019, we had 461 full-time employees, 135 of whom held Ph.D. or M.D. degrees, 359 of whom were engaged in research and development and 102 of whom were engaged in business development, finance, information systems, facilities, human resources or administrative support. None of our U.S. employees are represented by a labor union. The employees of FibroGen Beijing are represented by a labor union under the China Labor Union Law. None of our employees have entered into a collective agreement with us. We consider our employee relations to be good.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Our lease in China expires in 2021. We are constructing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13"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7"/>
          <w:szCs w:val="17"/>
          <w:color w:val="auto"/>
        </w:rPr>
        <w:t>Information regarding our revenues, net loss and total assets is contained in our consolidated financial statements under Item 8 of this Annual Report, which information is incorporated by reference here. For the specifics of our segment and geographic revenue, refer to Note 14 to our consolidated financial statements.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59" w:name="page60"/>
    <w:bookmarkEnd w:id="59"/>
    <w:p>
      <w:pPr>
        <w:ind w:right="40"/>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for fiscal years ended December 31, 2018, 2017 and 2016 were $235.8 million, $196.5 million, and $187.2 million, respectively. We expect our research and development expenses to continue to increase in the future as we advance our product candidates through clinical trials and expand our product candidate portfolio.</w:t>
      </w:r>
    </w:p>
    <w:p>
      <w:pPr>
        <w:spacing w:after="0" w:line="177" w:lineRule="exact"/>
        <w:rPr>
          <w:sz w:val="20"/>
          <w:szCs w:val="20"/>
          <w:color w:val="auto"/>
        </w:rPr>
      </w:pPr>
    </w:p>
    <w:p>
      <w:pPr>
        <w:ind w:right="80"/>
        <w:spacing w:after="0" w:line="304" w:lineRule="auto"/>
        <w:rPr>
          <w:sz w:val="20"/>
          <w:szCs w:val="20"/>
          <w:color w:val="auto"/>
        </w:rPr>
      </w:pPr>
      <w:r>
        <w:rPr>
          <w:rFonts w:ascii="Times New Roman" w:cs="Times New Roman" w:eastAsia="Times New Roman" w:hAnsi="Times New Roman"/>
          <w:sz w:val="17"/>
          <w:szCs w:val="17"/>
          <w:color w:val="auto"/>
        </w:rPr>
        <w:t>Our revenue to date has been generated primarily from our collaboration agreements with Astellas and AstraZeneca for the development and commercialization of roxadustat. For fiscal years ended December 31, 2018, 2017 and 2016, substantially all of our revenue was related to our collaboration agreements.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3"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Our internet website address is www.fibrogen.com.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6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(the “Exchange Act”), are available free of charge through our website as soon as reasonably practicable after they are electronically filed with or furnished to the Securities and Exchange Commission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incorporated in 1993 in Delaware. Our headquarters are located at 409 Illinois Street, San Francisco, California 94158 and our telephone number is</w:t>
      </w:r>
    </w:p>
    <w:p>
      <w:pPr>
        <w:spacing w:after="0" w:line="24" w:lineRule="exact"/>
        <w:rPr>
          <w:sz w:val="20"/>
          <w:szCs w:val="20"/>
          <w:color w:val="auto"/>
        </w:rPr>
      </w:pPr>
    </w:p>
    <w:p>
      <w:pPr>
        <w:ind w:firstLine="6"/>
        <w:spacing w:after="0" w:line="251" w:lineRule="auto"/>
        <w:tabs>
          <w:tab w:leader="none" w:pos="4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978-1200. Our website address is www.FibroGen.com. The information contained on, or that can be accessed through, our website is not part of, and is not incorporated into, this Annual Report.</w:t>
      </w:r>
    </w:p>
    <w:p>
      <w:pPr>
        <w:spacing w:after="0" w:line="18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Our subsidiaries consist of the following: 1) FibroGen Europe Oy (“FibroGen Europe”), a majority owned entity incorporated in Finland in 1996; 2) Skin Sciences, Inc., a majority owned entity incorporated in the State of Delaware in 1995; 3) FibroGen International (Cayman) Limited, a wholly owned entity incorporated in the Cayman Islands in 2011; 4) FibroGen China Anemia Holdings Ltd., a majority owned entity incorporated in the Cayman Islands in 2012; 5) FibroGen International (Hong Kong) Limited, a majority owned entity incorporated in Hong Kong in 2011; and 6) FibroGen (China) Medical Technology Development Co., Ltd., a majority owned entity incorporated in China in 2011.</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“FibroGen,” the FibroGen logo and other trademarks or service marks of FibroGen, Inc. appearing in this Annual Report are the property of FibroGen, Inc. This Annual Report contains additional trade names, trademarks and service marks of others, which are the property of their respective owners. We do not intend our use of display of other companies’ trade names, trademarks or service marks to imply a relationship with, or endorsement or sponsorship of us by, these other companies.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545" w:right="2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History of Operating Losses</w:t>
      </w:r>
    </w:p>
    <w:p>
      <w:pPr>
        <w:spacing w:after="0" w:line="10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5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are a clinical-stage biopharmaceutical company with two lead product candidates in clinical development, roxadustat in anemia in chronic kidney disease (“CKD”) and myelodysplastic syndromes (“MDS”), and pamrevlumab (FG-3019) in idiopathic pulmonary fibrosis (“IPF”), pancreatic cancer and Duchenne muscular dystrophy (“DMD”).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each year since our inception. We have not generated any revenue based on commercial drug product sales to date. We continue to incur significant research and development and other expenses related to our ongoing operations. Our net loss for the year ended December 31, 2018 was approximately $86.4 million, and our net loss for the years ended December 31, 2017, and 2016, recast from amounts previously reported due to the adoption of the new revenue standards, were approximately $120.9 million and $58.1 million, respectively. As of December 31, 2018, we had an accumulated deficit of $715.8 million. As of December 31, 2018, we had capital resources consisting of cash, cash equivalents and short-term investments of $621.4 million plus $55.8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and despite our expectation to launch commercialization efforts in China for roxadustat for the treatment of anemia caused by CKD in dialysis patients, we anticipate we will continue to incur losses for the foreseeable future, and we anticipate these losses will increase as we continue our development of and seek regulatory approval for our product candidates and in our commercialization efforts.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more than 8,000 patients for our U.S. and European programs alone.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11" w:lineRule="exact"/>
        <w:rPr>
          <w:sz w:val="20"/>
          <w:szCs w:val="20"/>
          <w:color w:val="auto"/>
        </w:rPr>
      </w:pPr>
    </w:p>
    <w:p>
      <w:pPr>
        <w:ind w:left="1040" w:hanging="5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10" w:lineRule="exact"/>
        <w:rPr>
          <w:rFonts w:ascii="Times New Roman" w:cs="Times New Roman" w:eastAsia="Times New Roman" w:hAnsi="Times New Roman"/>
          <w:sz w:val="18"/>
          <w:szCs w:val="18"/>
          <w:color w:val="auto"/>
        </w:rPr>
      </w:pPr>
    </w:p>
    <w:p>
      <w:pPr>
        <w:ind w:left="1040" w:right="240" w:hanging="518"/>
        <w:spacing w:after="0" w:line="273"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development efforts for our product candidates, such as pamrevlumab, that are not subject to reimbursement from our collaboration partners;</w:t>
      </w:r>
    </w:p>
    <w:p>
      <w:pPr>
        <w:spacing w:after="0" w:line="58" w:lineRule="exact"/>
        <w:rPr>
          <w:rFonts w:ascii="Times New Roman" w:cs="Times New Roman" w:eastAsia="Times New Roman" w:hAnsi="Times New Roman"/>
          <w:sz w:val="18"/>
          <w:szCs w:val="18"/>
          <w:color w:val="auto"/>
        </w:rPr>
      </w:pPr>
    </w:p>
    <w:p>
      <w:pPr>
        <w:ind w:left="1040" w:right="200" w:hanging="518"/>
        <w:spacing w:after="0" w:line="304" w:lineRule="auto"/>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34" w:lineRule="exact"/>
        <w:rPr>
          <w:rFonts w:ascii="Times New Roman" w:cs="Times New Roman" w:eastAsia="Times New Roman" w:hAnsi="Times New Roman"/>
          <w:sz w:val="17"/>
          <w:szCs w:val="17"/>
          <w:color w:val="auto"/>
        </w:rPr>
      </w:pPr>
    </w:p>
    <w:p>
      <w:pPr>
        <w:ind w:left="1040" w:hanging="5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collaborations and entry into new collaborations;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unreimbursed costs necessary to commercialize products in territories in which our product candidates are approved for sale;</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from any future sales of our products as well as revenue earned from profit share, royalties and milestones;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reimbursement or third party payor pricing available to our products;</w:t>
      </w:r>
    </w:p>
    <w:p>
      <w:pPr>
        <w:spacing w:after="0" w:line="110" w:lineRule="exact"/>
        <w:rPr>
          <w:rFonts w:ascii="Times New Roman" w:cs="Times New Roman" w:eastAsia="Times New Roman" w:hAnsi="Times New Roman"/>
          <w:sz w:val="18"/>
          <w:szCs w:val="18"/>
          <w:color w:val="auto"/>
        </w:rPr>
      </w:pPr>
    </w:p>
    <w:p>
      <w:pPr>
        <w:ind w:left="1040" w:right="700" w:hanging="518"/>
        <w:spacing w:after="0" w:line="273"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manufacturing operations and obtaining third party commercial supplies of our products, if any, manufactured in accordance with regulatory requirements;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domestic and foreign operations, including operations in China;</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our commercialization efforts for roxadustat for the treatment of anemia caused by CKD in dialysis patients in China;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the filing, prosecution, maintenance and defense of our extensive patent portfolio and other intellectual property rights.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of our recent revenue has been earned from collaboration partners for our product candidates under development.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revenues recognized in recent years have been from our collaboration partners.</w:t>
      </w:r>
    </w:p>
    <w:p>
      <w:pPr>
        <w:spacing w:after="0" w:line="217"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6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If either or both of these collaborations were to be terminated, we could require significant additional capital in order to proceed with development and commercialization of our product candidates, including with respect to our expected commercialization for roxadustat for the treatment of anemia caused by CKD in dialysis patients in China,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87"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5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roxadustat, and our second compound in development, pamrevlumab.</w:t>
      </w:r>
    </w:p>
    <w:p>
      <w:pPr>
        <w:spacing w:after="0" w:line="11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To date, we have invested a substantial portion of our efforts and financial resources in the research and development of roxadustat and pamrevlumab. While we have received approval of our NDA for roxadustat in China for CKD anemia in dialysis patients, we will need to make substantial additional investments in both the development and commercialization of roxadustat worldwide and in various indications. Our near-term prospects, including maintaining our existing collaborations with Astellas and AstraZeneca, will depend heavily on successful Phase 3 development and commercialization of roxadustat, including the commercialization of roxadustat for anemia associated with CKD in dialysis dependent patients in China, expected during the second half of 2019.</w:t>
      </w:r>
    </w:p>
    <w:p>
      <w:pPr>
        <w:spacing w:after="0" w:line="16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Our other lead product candidate, pamrevlumab, is currently in clinical development for IPF, pancreatic cancer and DMD.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DMD,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9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and commercial success of roxadustat and pamrevlumab will depend on a number of factors, including the following:</w:t>
      </w:r>
    </w:p>
    <w:p>
      <w:pPr>
        <w:spacing w:after="0" w:line="111" w:lineRule="exact"/>
        <w:rPr>
          <w:sz w:val="20"/>
          <w:szCs w:val="20"/>
          <w:color w:val="auto"/>
        </w:rPr>
      </w:pPr>
    </w:p>
    <w:p>
      <w:pPr>
        <w:ind w:left="1040" w:right="60" w:hanging="518"/>
        <w:spacing w:after="0" w:line="259"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completion of data analyses from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71"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initiation and completion of our Phase 2 and Phase 3 clinical trials for pamrevlumab, including in IPF, pancreatic cancer and DMD;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safety and efficacy of our product candidates to the satisfaction of the relevant regulatory authorities;</w:t>
      </w:r>
    </w:p>
    <w:p>
      <w:pPr>
        <w:spacing w:after="0" w:line="110" w:lineRule="exact"/>
        <w:rPr>
          <w:rFonts w:ascii="Times New Roman" w:cs="Times New Roman" w:eastAsia="Times New Roman" w:hAnsi="Times New Roman"/>
          <w:sz w:val="18"/>
          <w:szCs w:val="18"/>
          <w:color w:val="auto"/>
        </w:rPr>
      </w:pPr>
    </w:p>
    <w:p>
      <w:pPr>
        <w:ind w:left="1040" w:right="140" w:hanging="518"/>
        <w:spacing w:after="0" w:line="273"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58" w:lineRule="exact"/>
        <w:rPr>
          <w:rFonts w:ascii="Times New Roman" w:cs="Times New Roman" w:eastAsia="Times New Roman" w:hAnsi="Times New Roman"/>
          <w:sz w:val="18"/>
          <w:szCs w:val="18"/>
          <w:color w:val="auto"/>
        </w:rPr>
      </w:pPr>
    </w:p>
    <w:p>
      <w:pPr>
        <w:ind w:left="1040" w:right="540" w:hanging="518"/>
        <w:spacing w:after="0" w:line="273"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foreign regulatory authorities, including pricing and reimbursement determinations;</w:t>
      </w:r>
    </w:p>
    <w:p>
      <w:pPr>
        <w:spacing w:after="0" w:line="58" w:lineRule="exact"/>
        <w:rPr>
          <w:rFonts w:ascii="Times New Roman" w:cs="Times New Roman" w:eastAsia="Times New Roman" w:hAnsi="Times New Roman"/>
          <w:sz w:val="18"/>
          <w:szCs w:val="18"/>
          <w:color w:val="auto"/>
        </w:rPr>
      </w:pPr>
    </w:p>
    <w:p>
      <w:pPr>
        <w:ind w:left="1040" w:right="20" w:hanging="518"/>
        <w:spacing w:after="0" w:line="273"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commercialize our product candidates, if approved, for marketing and sale by the FDA or foreign regulatory authorities, whether alone or in collaboration with others;</w:t>
      </w:r>
    </w:p>
    <w:p>
      <w:pPr>
        <w:spacing w:after="0" w:line="58" w:lineRule="exact"/>
        <w:rPr>
          <w:rFonts w:ascii="Times New Roman" w:cs="Times New Roman" w:eastAsia="Times New Roman" w:hAnsi="Times New Roman"/>
          <w:sz w:val="18"/>
          <w:szCs w:val="18"/>
          <w:color w:val="auto"/>
        </w:rPr>
      </w:pPr>
    </w:p>
    <w:p>
      <w:pPr>
        <w:ind w:left="1040" w:right="40" w:hanging="518"/>
        <w:spacing w:after="0" w:line="273"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educating health care providers and patients about the benefits, risks, administration and use of our product candidates, if approved;</w:t>
      </w:r>
    </w:p>
    <w:p>
      <w:pPr>
        <w:spacing w:after="0" w:line="122" w:lineRule="exact"/>
        <w:rPr>
          <w:rFonts w:ascii="Times New Roman" w:cs="Times New Roman" w:eastAsia="Times New Roman" w:hAnsi="Times New Roman"/>
          <w:sz w:val="17"/>
          <w:szCs w:val="17"/>
          <w:color w:val="auto"/>
        </w:rPr>
      </w:pPr>
    </w:p>
    <w:p>
      <w:pPr>
        <w:ind w:left="1040" w:hanging="518"/>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approved, as safe and effective by patients and the healthcare community;</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enter into relationships with large dialysis organizations involving the administration of roxadustat to dialysis patients;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maintenance of compliance with all regulatory requirements applicable to our product candidates;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an acceptable safety profile of our products following any approval;</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competitive treatments;</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649" w:right="279" w:bottom="1440" w:gutter="0" w:footer="0" w:header="0"/>
        </w:sectPr>
      </w:pPr>
    </w:p>
    <w:bookmarkStart w:id="63" w:name="page64"/>
    <w:bookmarkEnd w:id="63"/>
    <w:p>
      <w:pPr>
        <w:ind w:left="1040" w:hanging="518"/>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sustain an adequate level of pricing or reimbursement for our products by third party payors;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enforce successfully our intellectual property rights for our product candidates and against the products of potential competitors; and</w:t>
      </w:r>
    </w:p>
    <w:p>
      <w:pPr>
        <w:spacing w:after="0" w:line="122" w:lineRule="exact"/>
        <w:rPr>
          <w:rFonts w:ascii="Times New Roman" w:cs="Times New Roman" w:eastAsia="Times New Roman" w:hAnsi="Times New Roman"/>
          <w:sz w:val="17"/>
          <w:szCs w:val="17"/>
          <w:color w:val="auto"/>
        </w:rPr>
      </w:pPr>
    </w:p>
    <w:p>
      <w:pPr>
        <w:ind w:left="1040" w:hanging="518"/>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or succeed in third party patent interference or patent infringement claims.</w:t>
      </w:r>
    </w:p>
    <w:p>
      <w:pPr>
        <w:spacing w:after="0" w:line="217" w:lineRule="exact"/>
        <w:rPr>
          <w:sz w:val="20"/>
          <w:szCs w:val="20"/>
          <w:color w:val="auto"/>
        </w:rPr>
      </w:pPr>
    </w:p>
    <w:p>
      <w:pPr>
        <w:jc w:val="both"/>
        <w:ind w:right="580"/>
        <w:spacing w:after="0" w:line="259" w:lineRule="auto"/>
        <w:rPr>
          <w:sz w:val="20"/>
          <w:szCs w:val="20"/>
          <w:color w:val="auto"/>
        </w:rPr>
      </w:pPr>
      <w:r>
        <w:rPr>
          <w:rFonts w:ascii="Times New Roman" w:cs="Times New Roman" w:eastAsia="Times New Roman" w:hAnsi="Times New Roman"/>
          <w:sz w:val="18"/>
          <w:szCs w:val="18"/>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9"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commercialization efforts for roxadustat in China are unsuccessful, our business, financial condition and results of operations will be materially harmed.</w:t>
      </w:r>
    </w:p>
    <w:p>
      <w:pPr>
        <w:spacing w:after="0" w:line="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have invested and continue to invest a significant portion of our efforts and financial resources in the development, approval and now commercialization of roxadustat for the treatment of anemia caused by CKD in dialysis patients in China, as well as in other indications and other geographic regions. With the marketing authorization received from the National Medical Products Administration (“NMPA”) of roxadustat for the treatment of anemia caused by CKD in dialysis patients in China, we plan to launch commercialization efforts in China in the third quarter of 2019 with our commercialization partner AstraZeneca.</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of commercialization of roxadustat in China will depend on numerous factors in China, including:</w:t>
      </w:r>
    </w:p>
    <w:p>
      <w:pPr>
        <w:spacing w:after="0" w:line="111" w:lineRule="exact"/>
        <w:rPr>
          <w:sz w:val="20"/>
          <w:szCs w:val="20"/>
          <w:color w:val="auto"/>
        </w:rPr>
      </w:pPr>
    </w:p>
    <w:p>
      <w:pPr>
        <w:ind w:left="1040" w:hanging="5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the marketing, sales, and distribution of the product along with our collaboration partner AstraZeneca;</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negotiating a cost effective reimbursed price with the government in China;</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roxadustat by state-owned and state-controlled hospitals, physicians, patients and the healthcare community;</w:t>
      </w:r>
    </w:p>
    <w:p>
      <w:pPr>
        <w:spacing w:after="0" w:line="108" w:lineRule="exact"/>
        <w:rPr>
          <w:rFonts w:ascii="Times New Roman" w:cs="Times New Roman" w:eastAsia="Times New Roman" w:hAnsi="Times New Roman"/>
          <w:sz w:val="18"/>
          <w:szCs w:val="18"/>
          <w:color w:val="auto"/>
        </w:rPr>
      </w:pPr>
    </w:p>
    <w:p>
      <w:pPr>
        <w:ind w:left="1040" w:right="560" w:hanging="518"/>
        <w:spacing w:after="0" w:line="27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pricing and placement of roxadustat on China’s Medical Insurance Catalogs. Refer to “</w:t>
      </w:r>
      <w:r>
        <w:rPr>
          <w:rFonts w:ascii="Times New Roman" w:cs="Times New Roman" w:eastAsia="Times New Roman" w:hAnsi="Times New Roman"/>
          <w:sz w:val="18"/>
          <w:szCs w:val="18"/>
          <w:i w:val="1"/>
          <w:iCs w:val="1"/>
          <w:color w:val="auto"/>
        </w:rPr>
        <w:t>Business – Government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in China</w:t>
      </w:r>
      <w:r>
        <w:rPr>
          <w:rFonts w:ascii="Times New Roman" w:cs="Times New Roman" w:eastAsia="Times New Roman" w:hAnsi="Times New Roman"/>
          <w:sz w:val="18"/>
          <w:szCs w:val="18"/>
          <w:color w:val="auto"/>
        </w:rPr>
        <w:t>”;</w:t>
      </w:r>
    </w:p>
    <w:p>
      <w:pPr>
        <w:spacing w:after="0" w:line="55"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establishing and maintaining commercial manufacturing with third parties;</w:t>
      </w:r>
    </w:p>
    <w:p>
      <w:pPr>
        <w:spacing w:after="0" w:line="110" w:lineRule="exact"/>
        <w:rPr>
          <w:rFonts w:ascii="Times New Roman" w:cs="Times New Roman" w:eastAsia="Times New Roman" w:hAnsi="Times New Roman"/>
          <w:sz w:val="18"/>
          <w:szCs w:val="18"/>
          <w:color w:val="auto"/>
        </w:rPr>
      </w:pPr>
    </w:p>
    <w:p>
      <w:pPr>
        <w:ind w:left="1040" w:right="180" w:hanging="518"/>
        <w:spacing w:after="0" w:line="273"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manufacturing our drug substances and drug products through our subsidiary FibroGen (China) Medical Technology Development Co., Ltd. (“FibroGen Beijing”);</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 authorization for roxadustat for anemia caused by CKD in non-dialysis patients;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arranging for and passing the inspection of our clinical sites by the NMPA;</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AstraZeneca is able to recruit and retain adequate numbers of effective sales and marketing personnel for the sale of roxadustat;</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compete successfully as a new entrant in the treatment of anemia caused by CKD in dialysis patients in China; and</w:t>
      </w:r>
    </w:p>
    <w:p>
      <w:pPr>
        <w:spacing w:after="0" w:line="110" w:lineRule="exact"/>
        <w:rPr>
          <w:rFonts w:ascii="Times New Roman" w:cs="Times New Roman" w:eastAsia="Times New Roman" w:hAnsi="Times New Roman"/>
          <w:sz w:val="18"/>
          <w:szCs w:val="18"/>
          <w:color w:val="auto"/>
        </w:rPr>
      </w:pPr>
    </w:p>
    <w:p>
      <w:pPr>
        <w:ind w:left="1040" w:right="20" w:hanging="518"/>
        <w:spacing w:after="0" w:line="273"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maintain sufficient funding to cover the costs and expenses associated with creating and sustaining a capable sales and marketing organization and related commercial infrastructure.</w:t>
      </w:r>
    </w:p>
    <w:p>
      <w:pPr>
        <w:spacing w:after="0" w:line="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Successful commercialization of roxadustat will require significant resources and time, and there is a risk that we may not successfully commercialize roxadustat. If we do not achieve one or more of these factors in a timely manner or at all, we could experience significant delays or an inability to successfully commercialize roxadustat and generate revenues, which would deprive us from additional working capital and would materially harm our business. If we do not successfully commercialize roxadustat in China, our collaboration partners and third parties may also lose confidence in our ability to execute in commercialization efforts and become less likely to collaborate with us, and our business may be harmed.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439" w:right="299" w:bottom="1440" w:gutter="0" w:footer="0" w:header="0"/>
        </w:sectPr>
      </w:pPr>
    </w:p>
    <w:bookmarkStart w:id="64" w:name="page65"/>
    <w:bookmarkEnd w:id="64"/>
    <w:p>
      <w:pPr>
        <w:ind w:right="2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a Company, we have no commercialization experience, and the time and resources to develop such experience are significant. If we fail to achieve and sustain commercial success for roxadustat in China, either directly or with AstraZeneca, our business would be harmed.</w:t>
      </w:r>
    </w:p>
    <w:p>
      <w:pPr>
        <w:spacing w:after="0" w:line="5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Commercializing roxadustat in China with AstraZeneca will require us to establish commercialization systems, including but not limited to, medical affairs, sales, pharmacovigilance, supply-chain, and distribution capabilities to perform our portion of the collaborative efforts. These efforts will require resources and time. In particular, significant resources may be necessary to successfully market, sell and distribute roxadustat to patients with anemia caused by CKD in dialysis patients. If we, along with AstraZeneca, are not successful in setting our marketing, pricing and reimbursement strategy, facilitating adoption by hospitals in China, recruiting sales and marketing personnel or in building a sales and marketing infrastructure, we will have difficulty commercializing roxadustat, which would adversely affect our business and financial condition.</w:t>
      </w:r>
    </w:p>
    <w:p>
      <w:pPr>
        <w:spacing w:after="0" w:line="286"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we evolve from a company primarily involved in research and development to a company potentially involved in commercialization, we may encounter difficulties in managing our growth and expanding our operations successfully.</w:t>
      </w:r>
    </w:p>
    <w:p>
      <w:pPr>
        <w:spacing w:after="0" w:line="5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If we are successful in advancing roxadustat and our other product candidates through the development stage towards commercialization, we will need to expand our organization, including adding marketing and sales capabilities or continuing to contract with third parties to provide these capabilities for us. As our operations expand, we expect that we will also need to manage our existing and additional relationships with various collaborative partners, suppliers and other third parties. Future growth will impose significant added responsibilities on our organization, in particular on management. Our future financial performance and our ability to commercialize roxadustat and our other product candidates and to compete effectively will depend, in part, on our ability to manage any future growth effectively. To that end, we may not be able to manage our growth efforts effectively, and hire, train and integrate additional management, administrative and sales and marketing personnel, and our failure to accomplish any of these activities could prevent us from successfully growing our company.</w:t>
      </w:r>
    </w:p>
    <w:p>
      <w:pPr>
        <w:spacing w:after="0" w:line="275" w:lineRule="exact"/>
        <w:rPr>
          <w:sz w:val="20"/>
          <w:szCs w:val="20"/>
          <w:color w:val="auto"/>
        </w:rPr>
      </w:pPr>
    </w:p>
    <w:p>
      <w:pPr>
        <w:jc w:val="both"/>
        <w:ind w:right="24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Although FibroGen Beijing obtained regulatory approval for roxadustat in China in December 2018, we may be unable to obtain regulatory approval for our product candidates in other countries, or such approval may be delayed or limited, due to a number of factors, many of which are beyond our control.</w:t>
      </w:r>
    </w:p>
    <w:p>
      <w:pPr>
        <w:spacing w:after="0" w:line="3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8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7"/>
          <w:szCs w:val="17"/>
          <w:color w:val="auto"/>
        </w:rPr>
        <w:t>Even though FibroGen Beijing obtained regulatory approval for roxadustat in China, we have not obtained regulatory approval for any of our product candidates in other countries and it is possible that roxadustat and pamrevlumab will never receive regulatory approval in other countries. Other regulatory authorities may take actions or impose requirements that delay, limit or deny approval of roxadustat or pamrevlumab for many reasons, including, among others:</w:t>
      </w:r>
    </w:p>
    <w:p>
      <w:pPr>
        <w:spacing w:after="0" w:line="53" w:lineRule="exact"/>
        <w:rPr>
          <w:sz w:val="20"/>
          <w:szCs w:val="20"/>
          <w:color w:val="auto"/>
        </w:rPr>
      </w:pPr>
    </w:p>
    <w:p>
      <w:pPr>
        <w:ind w:left="1040" w:right="40" w:hanging="518"/>
        <w:spacing w:after="0" w:line="273"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demonstrate that a product candidate’s clinical and other benefits outweigh its safety risks;</w:t>
      </w:r>
    </w:p>
    <w:p>
      <w:pPr>
        <w:spacing w:after="0" w:line="110" w:lineRule="exact"/>
        <w:rPr>
          <w:rFonts w:ascii="Times New Roman" w:cs="Times New Roman" w:eastAsia="Times New Roman" w:hAnsi="Times New Roman"/>
          <w:sz w:val="18"/>
          <w:szCs w:val="18"/>
          <w:color w:val="auto"/>
        </w:rPr>
      </w:pPr>
    </w:p>
    <w:p>
      <w:pPr>
        <w:ind w:left="1040" w:right="440" w:hanging="518"/>
        <w:spacing w:after="0" w:line="273"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exhibit an unacceptable safety signal as they advance through clinical trials, in particular controlled Phase 3 trials;</w:t>
      </w:r>
    </w:p>
    <w:p>
      <w:pPr>
        <w:spacing w:after="0" w:line="110" w:lineRule="exact"/>
        <w:rPr>
          <w:rFonts w:ascii="Times New Roman" w:cs="Times New Roman" w:eastAsia="Times New Roman" w:hAnsi="Times New Roman"/>
          <w:sz w:val="18"/>
          <w:szCs w:val="18"/>
          <w:color w:val="auto"/>
        </w:rPr>
      </w:pPr>
    </w:p>
    <w:p>
      <w:pPr>
        <w:ind w:left="1040" w:right="480" w:hanging="518"/>
        <w:spacing w:after="0" w:line="273"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research organizations (“CROs”) that conduct clinical trials on our behalf may take actions outside of our control that materially adversely impact our clinical trials;</w:t>
      </w:r>
    </w:p>
    <w:p>
      <w:pPr>
        <w:spacing w:after="0" w:line="58" w:lineRule="exact"/>
        <w:rPr>
          <w:rFonts w:ascii="Times New Roman" w:cs="Times New Roman" w:eastAsia="Times New Roman" w:hAnsi="Times New Roman"/>
          <w:sz w:val="18"/>
          <w:szCs w:val="18"/>
          <w:color w:val="auto"/>
        </w:rPr>
      </w:pPr>
    </w:p>
    <w:p>
      <w:pPr>
        <w:ind w:left="1040" w:right="840" w:hanging="518"/>
        <w:spacing w:after="0" w:line="273"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bookmarkStart w:id="65" w:name="page66"/>
    <w:bookmarkEnd w:id="65"/>
    <w:p>
      <w:pPr>
        <w:ind w:left="1040" w:hanging="518"/>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not agree with our interpretation of the data from our preclinical trials and clinical trials;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may not perform or complete their clinical programs in a timely manner, or at all; or</w:t>
      </w:r>
    </w:p>
    <w:p>
      <w:pPr>
        <w:spacing w:after="0" w:line="110" w:lineRule="exact"/>
        <w:rPr>
          <w:rFonts w:ascii="Times New Roman" w:cs="Times New Roman" w:eastAsia="Times New Roman" w:hAnsi="Times New Roman"/>
          <w:sz w:val="18"/>
          <w:szCs w:val="18"/>
          <w:color w:val="auto"/>
        </w:rPr>
      </w:pPr>
    </w:p>
    <w:p>
      <w:pPr>
        <w:ind w:left="1040" w:right="120" w:hanging="518"/>
        <w:spacing w:after="0" w:line="273"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65"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7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In China, the NMPA required that FibroGen Beijing conduct three clinical studies as a post-approval commitment: (i) a post-approval safety study in 2,000 patients; (ii) a drug-intensive monitoring study in 1,000 patients; and (iii) a dosing optimization study in approximately 300 patients on dialysis. Furthermore, in the U.S.,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70"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w:t>
      </w:r>
    </w:p>
    <w:p>
      <w:pPr>
        <w:spacing w:after="0" w:line="18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have conducted a limited number of Phase 2 clinical trials with pamrevlumab. We have conducted a randomized placebo-controlled study in 103 IPF patients with sub-studies in an additional 57 IPF patients comparing pamrevlumab to one of two standards of care, an open-label Phase 2 dose escalation study of pamrevlumab for IPF in 89 patients and a randomized double-blind placebo controlled study for liver fibrosis in subjects with hepatitis B, and we are currently conducting an open-label randomized, active-control, neoadjuvant Phase 2 trial in pancreatic cancer combining pamrevlumab with nab-paclitaxel plus gemcitabine in 37 patients. We cannot be sure that the results we have received to date from these trials will be substantiated in larger, well-controlled Phase 3 clinical trials, that larger trials will demonstrate the safety and efficacy of pamrevlumab for these or other indications, that further studies will provide benefits over existing approved products or that new safety issues will not be uncovered in further trials. In addition, while we believe that the limited animal and human studies conducted to date suggest that pamrevlumab has the potential to arrest or reverse fibrosis and reduce tumor mass in some patients or diseases, we cannot be sure that these results will be indicative of the effects of pamrevlumab in larger human trials. In addition, the IPF and pancreatic cancer patient populations are extremely ill and routinely experience SAEs, including death, which may be attributed to pamrevlumab in a manner that negatively impacts the safety profile of our product candidate. If the additional clinical trials that we are planning or are currently conducting for pamrevlumab do not show favorable efficacy results or result in safety concerns, or if we do not meet our clinical endpoints with statistical significance, or demonstrate an acceptable risk-benefit profile, we may be prevented from or delayed in obtaining regulatory approval for pamrevlumab in one or both of these indications.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66" w:name="page67"/>
    <w:bookmarkEnd w:id="66"/>
    <w:p>
      <w:pPr>
        <w:ind w:right="20"/>
        <w:spacing w:after="0" w:line="247" w:lineRule="auto"/>
        <w:rPr>
          <w:sz w:val="20"/>
          <w:szCs w:val="20"/>
          <w:color w:val="auto"/>
        </w:rPr>
      </w:pPr>
      <w:r>
        <w:rPr>
          <w:rFonts w:ascii="Times New Roman" w:cs="Times New Roman" w:eastAsia="Times New Roman" w:hAnsi="Times New Roman"/>
          <w:sz w:val="18"/>
          <w:szCs w:val="18"/>
          <w:color w:val="auto"/>
        </w:rPr>
        <w:t>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information to the FDA. While we have not seen similar safety concerns involving roxadustat to date, some of the safety concerns associated with the treatment of patients with anemia in CKD using erythropoiesis stimulating agents (“ESAs”) did not emerge for many years until placebo-controlled studies had been conducted in large numbers of patients. And while the data monitoring committee for our U.S. and Europe Phase 3 anemia trials has consistently determined that our trials should continue without modification to the protocol, safety issues may still be discovered upon review of unblinded major adverse cardiac event (“MACE”) or other data.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by up to 10 hours,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Our Phase 3 trials include a MACE safety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Phase 3 clinical trials may identify unanticipated safety concerns in the patient population under study. The FDA has also informed us that the MACE endpoint will need to be evaluated separately for our Phase 3 trials in non-dialysis dependent (“NDD”)-CKD patients and our Phase 3 trials in dialysis dependent (“DD”)-CKD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9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In addition, we cannot be sure that the potential advantages we believe roxadustat may have for treatment of patients with anemia in CKD, as compared to the use of ESAs, will be substantiated by our larger U.S. and European Phase 3 clinical trials, or that we will be able to include a discussion of such advantages in our labeling should we obtain approval. We believe that roxadustat may have certain benefits as compared to ESAs based on the data from our Phase 2 clinical trials and China Phase 3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clinical trials to date, and our understanding of the likely mechanisms of action for roxadustat. Some of these benefits, such as those associated with the apparent effects on blood pressure and cholesterol, are not fully understood and, even if roxadustat receives marketing approval in additional countries beyond China,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hemoglobin levels have not been fully elucidated. While we believe that the issues giving rise to these concerns with ESAs are likely due to factors other than the hemoglobin levels achieved, we cannot be certain that roxadustat will not be associated with similar, or more severe, safety concerns.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67" w:name="page68"/>
    <w:bookmarkEnd w:id="67"/>
    <w:p>
      <w:pPr>
        <w:ind w:right="60"/>
        <w:spacing w:after="0" w:line="251"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may face similar setbacks. In addition, the CKD patient population has many afflictions that may cause severe illness or death, which may be attributed to roxadustat in a manner that negatively impacts the safety profile of our product candidate. The results of our completed Phase 3 clinical trials for roxadustat demonstrated efficacy, as all primary efficacy endpoints were met with statistical significance. The analysis of adverse events for reporting of MACE is ongoing; there may be unanticipated safety concerns or adverse events that prevent from or delay obtaining marketing approval for roxadustat, and even if we obtain marketing approval, any sales of roxadustat may suffer.</w:t>
      </w:r>
    </w:p>
    <w:p>
      <w:pPr>
        <w:spacing w:after="0" w:line="286"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Phase 3 clinical trials in roxadustat or Phase 2 clinical trials in pamrevlumab will need to be redesigned based on interim results, be able to achieve sufficient enrollment or be completed on schedule, if at all.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or terminated for a variety of reasons, including delay or failure to:</w:t>
      </w:r>
    </w:p>
    <w:p>
      <w:pPr>
        <w:spacing w:after="0" w:line="111" w:lineRule="exact"/>
        <w:rPr>
          <w:sz w:val="20"/>
          <w:szCs w:val="20"/>
          <w:color w:val="auto"/>
        </w:rPr>
      </w:pPr>
    </w:p>
    <w:p>
      <w:pPr>
        <w:ind w:left="1040" w:hanging="518"/>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physician or patient safety concerns that arise during the course of the trial;</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or institutional review board (“IRB”) approval or guidance;</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timely agreement on acceptable terms with prospective CROs and clinical trial sites;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enroll and retain patients through the completion of the trial;</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clinical sites in compliance with clinical trial protocols;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product candidate for use in clinical trials.</w:t>
      </w:r>
    </w:p>
    <w:p>
      <w:pPr>
        <w:spacing w:after="0" w:line="21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8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79" w:lineRule="exact"/>
        <w:rPr>
          <w:sz w:val="20"/>
          <w:szCs w:val="20"/>
          <w:color w:val="auto"/>
        </w:rPr>
      </w:pPr>
    </w:p>
    <w:p>
      <w:pPr>
        <w:ind w:left="1040" w:hanging="518"/>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3 clinical trial development plan becoming longer and more extensive;</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Times New Roman" w:cs="Times New Roman" w:eastAsia="Times New Roman" w:hAnsi="Times New Roman"/>
          <w:sz w:val="18"/>
          <w:szCs w:val="18"/>
          <w:i w:val="1"/>
          <w:iCs w:val="1"/>
          <w:color w:val="auto"/>
        </w:rPr>
        <w:t>Business — Our Development Program for Roxadustat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 Pamrevlumab for the Treatment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Fibrosis and Cancer</w:t>
      </w:r>
      <w:r>
        <w:rPr>
          <w:rFonts w:ascii="Times New Roman" w:cs="Times New Roman" w:eastAsia="Times New Roman" w:hAnsi="Times New Roman"/>
          <w:sz w:val="18"/>
          <w:szCs w:val="18"/>
          <w:color w:val="auto"/>
        </w:rPr>
        <w:t>” for a discussion of the adverse events and SAEs that have emerged in clinical trials of roxadustat and pamrevlumab.</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9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69"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5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2" w:lineRule="exact"/>
        <w:rPr>
          <w:sz w:val="20"/>
          <w:szCs w:val="20"/>
          <w:color w:val="auto"/>
        </w:rPr>
      </w:pPr>
    </w:p>
    <w:p>
      <w:pPr>
        <w:ind w:left="1040" w:hanging="5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110" w:lineRule="exact"/>
        <w:rPr>
          <w:rFonts w:ascii="Times New Roman" w:cs="Times New Roman" w:eastAsia="Times New Roman" w:hAnsi="Times New Roman"/>
          <w:sz w:val="18"/>
          <w:szCs w:val="18"/>
          <w:color w:val="auto"/>
        </w:rPr>
      </w:pPr>
    </w:p>
    <w:p>
      <w:pPr>
        <w:ind w:left="1040" w:right="80" w:hanging="518"/>
        <w:spacing w:after="0" w:line="273"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of the potential advantages of our product candidates being studied in relation to available therapies or other products under development;</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our trial sites’ efforts to facilitate timely enrollment in clinical trials;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21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69" w:name="page70"/>
    <w:bookmarkEnd w:id="69"/>
    <w:p>
      <w:pPr>
        <w:ind w:right="26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If we or third party manufacturers and other service providers on which we rely cannot manufacture sufficient quantities of our product candidates, or at sufficient quality, or perform other services we require, we may experience delays in development, regulatory approval, launch or commercialization.</w:t>
      </w:r>
    </w:p>
    <w:p>
      <w:pPr>
        <w:spacing w:after="0" w:line="3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and manage our product candidates at sufficient yields and at commercial scale. Although we have entered into commercial supply agreements for the manufacture of some of our raw materials, we have not yet entered into commercial supply agreements with all of our third-party manufacturers. . We are continuing to negotiate and expect to enter into commercial supply agreements and other supply management agreements with third-party manufacturers, but we may not be able to enter into these agreements with satisfactory terms or on a timely manner.</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w:t>
      </w:r>
    </w:p>
    <w:p>
      <w:pPr>
        <w:spacing w:after="0" w:line="18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For example, prior to agreement with regulatory authorities on the scope of our Phase 3 IPF trial design, there is uncertainty as to whether our supply plans will meet our clinical requirements in a timely manner. Any delay or interruption in the supply of our product candidates or products could have a material adverse effect on our business and operations.</w:t>
      </w:r>
    </w:p>
    <w:p>
      <w:pPr>
        <w:spacing w:after="0" w:line="184" w:lineRule="exact"/>
        <w:rPr>
          <w:sz w:val="20"/>
          <w:szCs w:val="20"/>
          <w:color w:val="auto"/>
        </w:rPr>
      </w:pPr>
    </w:p>
    <w:p>
      <w:pPr>
        <w:jc w:val="both"/>
        <w:ind w:right="380"/>
        <w:spacing w:after="0" w:line="259" w:lineRule="auto"/>
        <w:rPr>
          <w:sz w:val="20"/>
          <w:szCs w:val="20"/>
          <w:color w:val="auto"/>
        </w:rPr>
      </w:pPr>
      <w:r>
        <w:rPr>
          <w:rFonts w:ascii="Times New Roman" w:cs="Times New Roman" w:eastAsia="Times New Roman" w:hAnsi="Times New Roman"/>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which difficulties may include:</w:t>
      </w:r>
    </w:p>
    <w:p>
      <w:pPr>
        <w:spacing w:after="0" w:line="72" w:lineRule="exact"/>
        <w:rPr>
          <w:sz w:val="20"/>
          <w:szCs w:val="20"/>
          <w:color w:val="auto"/>
        </w:rPr>
      </w:pPr>
    </w:p>
    <w:p>
      <w:pPr>
        <w:ind w:left="1040" w:right="940" w:hanging="518"/>
        <w:spacing w:after="0" w:line="273"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 in particular for biologic products such as pamrevlumab, which is a monoclonal antibody;</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issues, including coordination of multiple contractors in our supply chain and securing necessary licenses (such as export licenses);</w:t>
      </w:r>
    </w:p>
    <w:p>
      <w:pPr>
        <w:spacing w:after="0" w:line="122" w:lineRule="exact"/>
        <w:rPr>
          <w:rFonts w:ascii="Times New Roman" w:cs="Times New Roman" w:eastAsia="Times New Roman" w:hAnsi="Times New Roman"/>
          <w:sz w:val="17"/>
          <w:szCs w:val="17"/>
          <w:color w:val="auto"/>
        </w:rPr>
      </w:pPr>
    </w:p>
    <w:p>
      <w:pPr>
        <w:ind w:left="1040" w:hanging="518"/>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availability and shelf life requirements of raw materials and supplies;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or forecasting limitations and scheduling availability in contracted facilities; and</w:t>
      </w:r>
    </w:p>
    <w:p>
      <w:pPr>
        <w:spacing w:after="0" w:line="110" w:lineRule="exact"/>
        <w:rPr>
          <w:rFonts w:ascii="Times New Roman" w:cs="Times New Roman" w:eastAsia="Times New Roman" w:hAnsi="Times New Roman"/>
          <w:sz w:val="18"/>
          <w:szCs w:val="18"/>
          <w:color w:val="auto"/>
        </w:rPr>
      </w:pPr>
    </w:p>
    <w:p>
      <w:pPr>
        <w:ind w:left="1040" w:right="460" w:hanging="518"/>
        <w:spacing w:after="0" w:line="273"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floods, storms, earthquakes, tsunamis, and droughts, or accidents such as fire, that affect facilities, possibly limit or postpone production, and increase costs.</w:t>
      </w:r>
    </w:p>
    <w:p>
      <w:pPr>
        <w:spacing w:after="0" w:line="267" w:lineRule="exact"/>
        <w:rPr>
          <w:sz w:val="20"/>
          <w:szCs w:val="20"/>
          <w:color w:val="auto"/>
        </w:rPr>
      </w:pPr>
    </w:p>
    <w:p>
      <w:pPr>
        <w:ind w:right="7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Times New Roman" w:cs="Times New Roman" w:eastAsia="Times New Roman" w:hAnsi="Times New Roman"/>
          <w:sz w:val="17"/>
          <w:szCs w:val="17"/>
          <w:i w:val="1"/>
          <w:iCs w:val="1"/>
          <w:color w:val="auto"/>
        </w:rPr>
        <w:t>Business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Roxadustat for the Treatment of Anemia in Chronic Kidney Disease — Limitations of the Current Standard of Care for Anemia in CKD</w:t>
      </w:r>
      <w:r>
        <w:rPr>
          <w:rFonts w:ascii="Times New Roman" w:cs="Times New Roman" w:eastAsia="Times New Roman" w:hAnsi="Times New Roman"/>
          <w:sz w:val="17"/>
          <w:szCs w:val="17"/>
          <w:color w:val="auto"/>
        </w:rPr>
        <w:t>”. In addition, in the past,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hemoglobin targets and other warnings that derive from the lack of clarity regarding the basis for the safety issues associated with ESAs, even if our Phase 3 clinical trials do not themselves raise safety concerns.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70" w:name="page71"/>
    <w:bookmarkEnd w:id="70"/>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not successfully commercialized any drug product. Therefore, we may not be able to efficiently execute our development and commercialization plans.</w:t>
      </w:r>
    </w:p>
    <w:p>
      <w:pPr>
        <w:spacing w:after="0" w:line="5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are currently conducting Phase 2 clinical trials for pamrevlumab and plan on initiating Phase 3 clinical trials for pamrevlumab in the future. We have initiated Phase 3 clinical trials of roxadustat. The conduct of Phase 3 clinical trials and the submission of a successful New Drug Application (“NDA”) is a complicated process. As an organization, we have not completed a Phase 3 clinical trial before outside of China, where we received marketing authorization in December 2018 from the NMPA for the treatment of anemia caused by CKD in dialysis patients. We have limited experience in preparing, submitting and prosecuting regulatory filings, and have not received approval for an NDA before outside of China.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in March 2016, the State Drug Administration, now known as the NMPA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In China, the clinical site inspections confirmed our compliance with GCP regulations and supported our approval. However, we cannot assure you that upon inspection by a regulatory authority in other regions, such regulatory authority will determine that any of our clinical trials comply with GCP requirements or that our results will be deemed authentic or may be used in support of our regulatory submissions.</w:t>
      </w:r>
    </w:p>
    <w:p>
      <w:pPr>
        <w:spacing w:after="0" w:line="295"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5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77"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59" w:lineRule="exact"/>
        <w:rPr>
          <w:sz w:val="20"/>
          <w:szCs w:val="20"/>
          <w:color w:val="auto"/>
        </w:rPr>
      </w:pPr>
    </w:p>
    <w:p>
      <w:pPr>
        <w:ind w:left="1040" w:hanging="518"/>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geographically dispersed sales and marketing teams;</w:t>
      </w:r>
    </w:p>
    <w:p>
      <w:pPr>
        <w:spacing w:after="0" w:line="110" w:lineRule="exact"/>
        <w:rPr>
          <w:rFonts w:ascii="Times New Roman" w:cs="Times New Roman" w:eastAsia="Times New Roman" w:hAnsi="Times New Roman"/>
          <w:sz w:val="18"/>
          <w:szCs w:val="18"/>
          <w:color w:val="auto"/>
        </w:rPr>
      </w:pPr>
    </w:p>
    <w:p>
      <w:pPr>
        <w:ind w:left="1040" w:right="160" w:hanging="518"/>
        <w:spacing w:after="0" w:line="273"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bookmarkStart w:id="71" w:name="page72"/>
    <w:bookmarkEnd w:id="71"/>
    <w:p>
      <w:pPr>
        <w:ind w:right="40"/>
        <w:spacing w:after="0" w:line="255" w:lineRule="auto"/>
        <w:rPr>
          <w:sz w:val="20"/>
          <w:szCs w:val="20"/>
          <w:color w:val="auto"/>
        </w:rPr>
      </w:pPr>
      <w:r>
        <w:rPr>
          <w:rFonts w:ascii="Times New Roman" w:cs="Times New Roman" w:eastAsia="Times New Roman" w:hAnsi="Times New Roman"/>
          <w:sz w:val="18"/>
          <w:szCs w:val="18"/>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substantial competition, which may result in others discovering, developing or commercializing products before, or more successfully, than we do.</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 xml:space="preserve">If roxadustat is approved and launched commercially, competing drugs are expected to include ESAs, particularly in those patient segments where ESAs are used. Currently available ESAs include epoetin alfa (EPOGEN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Amgen Inc. in the U.S., Procrit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Erypo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/Eprex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Johnson &amp; Johnson Inc., and Espo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Kyowa Hakko Kirin in Japan and China), darbepoetin (Amgen/Kyowa Hakko Kirin’s Aranesp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NESP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Mircera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marketed by Hoffmann-La Roche (“Roche”) outside of the U.S. and by Vifor Pharma (“Vifor”), a Roche licensee, in the U.S. and Puerto Rico, as well as biosimilar versions of these currently marketed ESA products. ESAs have been used in the treatment of anemia in CKD for more than 20 years, serving a significant majority of DD-CKD patients. While NDD-CKD patients who are not under the care of nephrologists, including those with diabetes and hypertension, do not typically receive ESAs and are often left untreated, some patients under nephrology care may be receiving ESA therapy. It may be difficult to encourage healthcare providers and patients to switch to roxadustat from products with which they have become familiar.</w:t>
      </w:r>
    </w:p>
    <w:p>
      <w:pPr>
        <w:spacing w:after="0" w:line="18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may also face competition from potential new anemia therapies currently in clinical development, including in those patient segments not currently addressed by ESAs. Companies such as GlaxoSmithKline plc (“GSK”), Bayer Corporation (“Bayer”), Akebia Therapeutics, Inc. (“Akebia”), and Japan Tobacco, are currently developing HIF prolyl hydroxylase (“HIF-PH”) inhibitors for anemia in CKD indications. Akebia is currently conducting Phase 3 studies in NDD– CKD and DD-CKD, as well as additional Phase 1 and Phase 2 studies. In Japan, Mitsubishi Tanabe Pharmaceutical Corporation, Akebia’s collaboration partner, started a Phase 3 program in November 2017. GSK is conducting global Phase 3 studies in NDD-CKD and DD-CKD as well as Japan Phase 3 studies. GSK and Kyowa Hakko Kirin announced in November 2018 that the two companies signed a strategic commercialization deal in Japan for daprodustat. Bayer has completed global Phase 2 studies and announced in May 2017 its HIF-PH inhibitor is now in continued development in Japan only, and its Japan Phase 3 studies in NDD-CKD and DD-CKD are underway. Japan Tobacco is also conducting Phase 3 studies in NDD-CKD and DD-CKD in Japan only. Some of these product candidates may enter the market prior to roxadustat.</w:t>
      </w:r>
    </w:p>
    <w:p>
      <w:pPr>
        <w:spacing w:after="0" w:line="186"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In addition, there are other companies developing biologic therapies for the treatment of other anemia indications that we may also seek to pursue in the future, including anemia of MDS. For example, Acceleron Pharma Inc., in partnership with Celgene Corporation (“Celgene”), is in Phase 3 development of protein therapeutic candidates to treat anemia and associated complications in patients with ß-thalassemia and MDS, and has received orphan drug status from the European Medicines Agency (“EMA”) and FDA for these indications. Celgene announced in July 2018 that it plans to submit a marketing approval application for luspatercept in the U.S. and European Union (“EU”) in the first half of 2019. There may also be new therapies for renal-related diseases that could limit the market or level of reimbursement available for roxadustat if and when it is commercialized.</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NMPA to conduct trials in China to support its ex-China regulatory filings. Furthermore, while it is too early to understand how the NMPA will implement its recently approved guidelines to allow multinational companies to use their ex-China clinical data in their NDAs in China, these guidelines could in theory allow competitors to accelerate their NDA applications in China. Akebia announced in December 2015 that it has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also announced in 2016 its plan on beginning a Phase 1 clinical trial of a HIF-PH inhibitor for the China market.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72" w:name="page73"/>
    <w:bookmarkEnd w:id="72"/>
    <w:p>
      <w:pPr>
        <w:ind w:right="100"/>
        <w:spacing w:after="0" w:line="251" w:lineRule="auto"/>
        <w:rPr>
          <w:sz w:val="20"/>
          <w:szCs w:val="20"/>
          <w:color w:val="auto"/>
        </w:rPr>
      </w:pPr>
      <w:r>
        <w:rPr>
          <w:rFonts w:ascii="Times New Roman" w:cs="Times New Roman" w:eastAsia="Times New Roman" w:hAnsi="Times New Roman"/>
          <w:sz w:val="18"/>
          <w:szCs w:val="18"/>
          <w:color w:val="auto"/>
        </w:rPr>
        <w:t xml:space="preserve">The first biosimilar ESAs, Pfizer’s Retacrit® (epoetin zeta), entered the U.S. market in November 2018. Market penetration of Retacrit® (epoetin zeta) and the potential addition of other biosimilar ESAs, currently under development, may alter the competitive and pricing landscape of anemia therapy in DD-CKD patients under the end stage renal disease bundle. The patents for Amgen’s epoetin alfa, EPOGEN, expired in 2004 in the EU, and the final material patents in the U.S. expired in May 2015. Several biosimilar versions of currently marketed ESAs are available for sale in the EU, China and other territories. In the U.S., a few ESA biosimilars are currently under development. Sandoz, a division of Novartis, markets Binocrit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(epoetin alfa) in Europe and may file a biosimilar Biologics License Application (“BLA”) in the U.S.</w:t>
      </w:r>
    </w:p>
    <w:p>
      <w:pPr>
        <w:spacing w:after="0" w:line="18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majority of the current CKD anemia market focuses on dialysis patients, who visit dialysis centers on a regular basis, typically three-times a week, and anemia therapies are administered as part of the visit. Two of the largest operators of dialysis clinics in the U.S., DaVita Healthcare Partners Inc. (“DaVita”) and Fresenius Medical Care AG &amp; Co. KGaA (“Fresenius”), collectively provide dialysis care to approximately 70% of U.S. dialysis patients, and therefore have historically won long-term contracts including rebate terms with Amgen. In January 2017, DaVita entered into a new 6-year sourcing and supply agreement with Amgen that is effective through 2022. Fresenius’ contract with Amgen expired in 2015, and Fresenius is now administering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a significant portion of its U.S. dialysis patients since Mircera was made available by Vifor. Successful penetration of this market may require a significant agreement with Fresenius or DaVita on favorable terms and on a timely basis.</w:t>
      </w:r>
    </w:p>
    <w:p>
      <w:pPr>
        <w:spacing w:after="0" w:line="22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If pamrevlumab is approved and launched commercially to treat IPF, competing drugs are expected to include Roche’s Esbriet® (pirfenidone) and Boehringer Ingelheim Pharma GmbH &amp; Co. KG’s Ofev® (nintedanib). Nintedanib is also in development for non-small cell lung cancer and ovarian cancer. Other potential competitive product candidates in development for IPF include Biogen-Idec’s BG-00011, Galapagos NV’s GLPG1690, Kadmon Holdings, Inc.’s KD025, Prometic Life Sciences Inc.’s PBI-4050, and Promedior Inc.’s PRM-151. Galapagos initiated a Phase 3 study for GLPG 1690 in December 2018.</w:t>
      </w:r>
    </w:p>
    <w:p>
      <w:pPr>
        <w:spacing w:after="0" w:line="16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If pamrevlumab is approved and launched commercially to treat locally advanced pancreatic cancer patients who are not candidates for surgical resection, pamrevlumab may face competition from agents seeking approval in combination with gemcitibine and nab-paclitaxel from companies such as NewLink Genetics Corporation and Halozyme Therapeutics, Inc. Gemcitabine and/or nab-paclitaxel are the current standard of care in the first-line treatment of metastatic pancreatic cancer. Celgene Corporation’s Abraxane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(nab-paclitaxel) was launched in the U.S. and Europe in 2013 and 2014, and was the first drug approved in this disease in nearly a decade.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pamrevlumab is approved and launched commercially to treat DMD, pamrevlumab may face competition for some patients from Sarepta Therapeutics,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(“Sarepta”), as well as PTC Therapeutics, Santhera Pharmaceuticals, and Catabasis Pharmaceuticals.</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Sarepta is researching and developing clinical candidates for many of the specific mutations in the dystrophin gene and received accelerated approval in the U.S. for its first, drug Exondys 51® (eteplirsen) for patients who have a confirmed mutation in the DMD gene that is amenable to exon 51 skipping. This mutation represents a subset of approximately 13% of patients with DMD. Sarepta recently received a negative opinion from the EMA regarding its eteplirsen application in September 2018. In addition to etepliresen, Sarepta has two additional exon skipping programs in Phase 3 development, each of which targets approximately 8% of patients with DMD. Sarepta is also developing gene therapies for the treatment of DMD and reported positive preliminary results from a Phase 1/2a program in June 2018.</w:t>
      </w:r>
    </w:p>
    <w:p>
      <w:pPr>
        <w:spacing w:after="0" w:line="184"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color w:val="auto"/>
        </w:rPr>
        <w:t>Marathon Pharmaceuticals received approval for its drug Emflaza (deflazacort) on February 9, 2017 and on March 16, 2017 announced that it had sold the commercialization rights to Emflaza to PTC Therapeutics.</w:t>
      </w:r>
    </w:p>
    <w:p>
      <w:pPr>
        <w:spacing w:after="0" w:line="16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PTC Therapeutics’ product ataluren (Translarna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received conditional approval in Europe in 2014, which was renewed in November 2016 with a request for a new randomized placebo-controlled 18-month study by the Committee for Medicinal Products for Human Use of the EMA, while the FDA stated in its complete response letter in October of 2017 that the FDA is unable to approve the application in its current form. Translarna targets a different set of DMD patients from those being targeted by Sarepta’s existing exon-skipping therapeutic candidate; however, it is also limited to a subset of patients who carry a specific mutation.</w:t>
      </w:r>
    </w:p>
    <w:p>
      <w:pPr>
        <w:spacing w:after="0" w:line="18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 xml:space="preserve">While pamrevlumab and some other potential competitors are intended to treat DMD patients regardless of the specific mutation, there can be no assurance that clinical trials will support broadly treating DMD patients. For example, Santhera Pharmaceuticals reported positive Phase 3 data with its drug idebenone (Raxone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/Catena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 a trial measuring changes in lung function for DMD patients, however the EMA rejected the application and the FDA has asked for additional data from an ongoing trial prior to considering Raxone for approval. Santhera is currently conducting the additional Phase 3 study in the U.S. and Europe.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73" w:name="page74"/>
    <w:bookmarkEnd w:id="73"/>
    <w:p>
      <w:pPr>
        <w:ind w:right="320"/>
        <w:spacing w:after="0" w:line="282" w:lineRule="auto"/>
        <w:rPr>
          <w:sz w:val="20"/>
          <w:szCs w:val="20"/>
          <w:color w:val="auto"/>
        </w:rPr>
      </w:pPr>
      <w:r>
        <w:rPr>
          <w:rFonts w:ascii="Times New Roman" w:cs="Times New Roman" w:eastAsia="Times New Roman" w:hAnsi="Times New Roman"/>
          <w:sz w:val="17"/>
          <w:szCs w:val="17"/>
          <w:color w:val="auto"/>
        </w:rPr>
        <w:t>Catabasis Pharmaceuticals reported in April 2018 positive Phase 2 data from its clinical trial candidate edasalonexent. Edasalonexent was reported to have preserved muscle function and slowed the progression of DMD compared to rates of change in the control period prior to treatment with edasalonexent. The company started a single placebo controlled Phase 3 trial in September 2018. Catabasis expects topline data from this trial in the second quarter of 2020.</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If FG-5200 is approved and launched in China to treat corneal blindness resulting from partial thickness corneal damage without active inflammation and infection,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79"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5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Even if we obtain marketing approval for roxadustat, pamrevlumab or any other product candidates that we may develop or acquire in the future in all indications and geographic regions, these product candidates may not gain market acceptance among physicians, third party payors, patients and others in the health care community. Market acceptance of any approved product, including in roxadustat for the treatment of anemia caused by CKD in dialysis patients in China, depends on a number of other factors, including:</w:t>
      </w:r>
    </w:p>
    <w:p>
      <w:pPr>
        <w:spacing w:after="0" w:line="74" w:lineRule="exact"/>
        <w:rPr>
          <w:sz w:val="20"/>
          <w:szCs w:val="20"/>
          <w:color w:val="auto"/>
        </w:rPr>
      </w:pPr>
    </w:p>
    <w:p>
      <w:pPr>
        <w:ind w:left="1040" w:right="220" w:hanging="518"/>
        <w:spacing w:after="0" w:line="273"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58" w:lineRule="exact"/>
        <w:rPr>
          <w:rFonts w:ascii="Times New Roman" w:cs="Times New Roman" w:eastAsia="Times New Roman" w:hAnsi="Times New Roman"/>
          <w:sz w:val="18"/>
          <w:szCs w:val="18"/>
          <w:color w:val="auto"/>
        </w:rPr>
      </w:pPr>
    </w:p>
    <w:p>
      <w:pPr>
        <w:ind w:left="1040" w:right="260" w:hanging="518"/>
        <w:spacing w:after="0" w:line="273"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efficacy and convenience of treatment in relation to alternative treatments;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use of our products together with other medications, if any;</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or pricing by third party payors and government authorities;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treatment providers, such as dialysis clinics, to enter into relationships with us without violating their existing agreement;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545" w:right="299" w:bottom="1440" w:gutter="0" w:footer="0" w:header="0"/>
        </w:sectPr>
      </w:pPr>
    </w:p>
    <w:bookmarkStart w:id="74" w:name="page75"/>
    <w:bookmarkEnd w:id="74"/>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No or limited reimbursement or insurance coverage of our approved products, if any, by third party payors may render our products less attractive to patients and healthcare providers.</w:t>
      </w:r>
    </w:p>
    <w:p>
      <w:pPr>
        <w:spacing w:after="0" w:line="5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the Chinese government or third party payors, and may be affected by existing and future healthcare reform measures or prices of related products for which the government or third party reimbursement applies. Coverage and reimbursement by the government or a third party payor may depend upon a number of factors, including the payor’s determination that use of a product is:</w:t>
      </w:r>
    </w:p>
    <w:p>
      <w:pPr>
        <w:spacing w:after="0" w:line="74" w:lineRule="exact"/>
        <w:rPr>
          <w:sz w:val="20"/>
          <w:szCs w:val="20"/>
          <w:color w:val="auto"/>
        </w:rPr>
      </w:pPr>
    </w:p>
    <w:p>
      <w:pPr>
        <w:ind w:left="1040" w:hanging="518"/>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17"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8"/>
          <w:szCs w:val="18"/>
          <w:color w:val="auto"/>
        </w:rPr>
        <w:t>The review and publication cycle for the Chinese government to update their reimbursement lists (national or provincial) is unpredictable and is outside our control.</w:t>
      </w:r>
    </w:p>
    <w:p>
      <w:pPr>
        <w:spacing w:after="0" w:line="16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8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0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75" w:name="page76"/>
    <w:bookmarkEnd w:id="75"/>
    <w:p>
      <w:pPr>
        <w:ind w:right="60"/>
        <w:spacing w:after="0" w:line="255" w:lineRule="auto"/>
        <w:rPr>
          <w:sz w:val="20"/>
          <w:szCs w:val="20"/>
          <w:color w:val="auto"/>
        </w:rPr>
      </w:pPr>
      <w:r>
        <w:rPr>
          <w:rFonts w:ascii="Times New Roman" w:cs="Times New Roman" w:eastAsia="Times New Roman" w:hAnsi="Times New Roman"/>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with our collaboration partners could jeopardize our collaboration agreements and our ability to commercialize product candidates.</w:t>
      </w:r>
    </w:p>
    <w:p>
      <w:pPr>
        <w:spacing w:after="0" w:line="11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8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84"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8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6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76" w:name="page77"/>
    <w:bookmarkEnd w:id="76"/>
    <w:p>
      <w:pPr>
        <w:ind w:right="20"/>
        <w:spacing w:after="0" w:line="250" w:lineRule="auto"/>
        <w:rPr>
          <w:sz w:val="20"/>
          <w:szCs w:val="20"/>
          <w:color w:val="auto"/>
        </w:rPr>
      </w:pPr>
      <w:r>
        <w:rPr>
          <w:rFonts w:ascii="Times New Roman" w:cs="Times New Roman" w:eastAsia="Times New Roman" w:hAnsi="Times New Roman"/>
          <w:sz w:val="18"/>
          <w:szCs w:val="18"/>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8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28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have any operating manufacturing facilities at this time other than our roxadustat and FG-5200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79" w:lineRule="exact"/>
        <w:rPr>
          <w:sz w:val="20"/>
          <w:szCs w:val="20"/>
          <w:color w:val="auto"/>
        </w:rPr>
      </w:pPr>
    </w:p>
    <w:p>
      <w:pPr>
        <w:ind w:left="1040" w:right="500" w:hanging="518"/>
        <w:spacing w:after="0" w:line="273"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58" w:lineRule="exact"/>
        <w:rPr>
          <w:rFonts w:ascii="Times New Roman" w:cs="Times New Roman" w:eastAsia="Times New Roman" w:hAnsi="Times New Roman"/>
          <w:sz w:val="18"/>
          <w:szCs w:val="18"/>
          <w:color w:val="auto"/>
        </w:rPr>
      </w:pPr>
    </w:p>
    <w:p>
      <w:pPr>
        <w:ind w:left="1040" w:right="280" w:hanging="518"/>
        <w:spacing w:after="0" w:line="273"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 and</w:t>
      </w:r>
    </w:p>
    <w:p>
      <w:pPr>
        <w:spacing w:after="0" w:line="110" w:lineRule="exact"/>
        <w:rPr>
          <w:rFonts w:ascii="Times New Roman" w:cs="Times New Roman" w:eastAsia="Times New Roman" w:hAnsi="Times New Roman"/>
          <w:sz w:val="18"/>
          <w:szCs w:val="18"/>
          <w:color w:val="auto"/>
        </w:rPr>
      </w:pPr>
    </w:p>
    <w:p>
      <w:pPr>
        <w:ind w:left="1040" w:right="780" w:hanging="518"/>
        <w:spacing w:after="0" w:line="273"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 party manufacturers or suppliers unrelated to our product, including the merger, acquisition, or bankruptcy of a manufacturer or supplier or a catastrophic event affecting our manufacturers or suppliers.</w:t>
      </w:r>
    </w:p>
    <w:p>
      <w:pPr>
        <w:spacing w:after="0" w:line="16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77" w:name="page78"/>
    <w:bookmarkEnd w:id="77"/>
    <w:p>
      <w:pPr>
        <w:ind w:right="20"/>
        <w:spacing w:after="0" w:line="263" w:lineRule="auto"/>
        <w:rPr>
          <w:sz w:val="20"/>
          <w:szCs w:val="20"/>
          <w:color w:val="auto"/>
        </w:rPr>
      </w:pPr>
      <w:r>
        <w:rPr>
          <w:rFonts w:ascii="Times New Roman" w:cs="Times New Roman" w:eastAsia="Times New Roman" w:hAnsi="Times New Roman"/>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7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8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marketing roxadustat.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78" w:name="page79"/>
    <w:bookmarkEnd w:id="78"/>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6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technologies are not adequate, we may not be able to compete effectively in our market.</w:t>
      </w:r>
    </w:p>
    <w:p>
      <w:pPr>
        <w:spacing w:after="0" w:line="11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6"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bookmarkStart w:id="79" w:name="page80"/>
    <w:bookmarkEnd w:id="79"/>
    <w:p>
      <w:pPr>
        <w:ind w:right="60"/>
        <w:spacing w:after="0" w:line="248"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with third parties and competitors may be costly and time consuming, and may negatively affect our competitive position.</w:t>
      </w:r>
    </w:p>
    <w:p>
      <w:pPr>
        <w:spacing w:after="0" w:line="1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8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8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intend, if necessary, to vigorously enforce our intellectual property in order to protect the proprietary position of our product candidates, including roxadustat and pamrevlumab.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86"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We may consider administrative proceedings and other means for challenging third 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 xml:space="preserve">Third parties may also challenge our patents and patent applications, through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proceedings before the U.S. Patent and Trademark Office (“USPTO”) or through comparable proceedings in other territories. For example, Akebia and others have filed oppositions against certain European patents corresponding to some of the above-listed cases. In three of these proceedings, for FibroGen European Patent Nos. 1463823, 1633333, and 2322155, the European Patent Office has handed down decisions unfavorable to FibroGen. In the fourth of these proceedings, the European Patent Office issued a decision favorable to FibroGen, maintaining FibroGen European Patent No. 2322153. These decisions are currently under appeal, and these four patents are valid and enforceable pending resolution of the appeals. The ultimate outcomes of such proceedings remain uncertain, and ultimate resolution of such may take two to four years or longer. Akebia is also pursuing invalidation actions against corresponding patents in Canada and in Japan, and invalidation actions against corresponding patents in the United Kingdom have been initiated by GSK and by Akebia. While we believe these FibroGen patents will be upheld in relevant part, we note that narrowing or even revocation of any of these patents would not affect our exclusivity for roxadustat or our freedom-to-operate with respect to use of roxadustat for the treatment of anemia.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80" w:name="page81"/>
    <w:bookmarkEnd w:id="80"/>
    <w:p>
      <w:pPr>
        <w:ind w:right="120"/>
        <w:spacing w:after="0" w:line="259"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79"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82"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8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15" w:lineRule="exact"/>
        <w:rPr>
          <w:sz w:val="20"/>
          <w:szCs w:val="20"/>
          <w:color w:val="auto"/>
        </w:rPr>
      </w:pPr>
    </w:p>
    <w:p>
      <w:pPr>
        <w:ind w:right="400"/>
        <w:spacing w:after="0" w:line="304"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35" w:lineRule="exact"/>
        <w:rPr>
          <w:sz w:val="20"/>
          <w:szCs w:val="20"/>
          <w:color w:val="auto"/>
        </w:rPr>
      </w:pPr>
    </w:p>
    <w:p>
      <w:pPr>
        <w:ind w:left="1040" w:right="160" w:hanging="518"/>
        <w:spacing w:after="0" w:line="273"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58" w:lineRule="exact"/>
        <w:rPr>
          <w:rFonts w:ascii="Times New Roman" w:cs="Times New Roman" w:eastAsia="Times New Roman" w:hAnsi="Times New Roman"/>
          <w:sz w:val="18"/>
          <w:szCs w:val="18"/>
          <w:color w:val="auto"/>
        </w:rPr>
      </w:pPr>
    </w:p>
    <w:p>
      <w:pPr>
        <w:ind w:left="1040" w:right="20" w:hanging="518"/>
        <w:spacing w:after="0" w:line="273"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10" w:lineRule="exact"/>
        <w:rPr>
          <w:rFonts w:ascii="Times New Roman" w:cs="Times New Roman" w:eastAsia="Times New Roman" w:hAnsi="Times New Roman"/>
          <w:sz w:val="18"/>
          <w:szCs w:val="18"/>
          <w:color w:val="auto"/>
        </w:rPr>
      </w:pPr>
    </w:p>
    <w:p>
      <w:pPr>
        <w:ind w:left="1040" w:right="420" w:hanging="518"/>
        <w:spacing w:after="0" w:line="273"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10" w:lineRule="exact"/>
        <w:rPr>
          <w:rFonts w:ascii="Times New Roman" w:cs="Times New Roman" w:eastAsia="Times New Roman" w:hAnsi="Times New Roman"/>
          <w:sz w:val="18"/>
          <w:szCs w:val="18"/>
          <w:color w:val="auto"/>
        </w:rPr>
      </w:pPr>
    </w:p>
    <w:p>
      <w:pPr>
        <w:ind w:left="1040" w:right="680" w:hanging="518"/>
        <w:spacing w:after="0" w:line="273"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58" w:lineRule="exact"/>
        <w:rPr>
          <w:rFonts w:ascii="Times New Roman" w:cs="Times New Roman" w:eastAsia="Times New Roman" w:hAnsi="Times New Roman"/>
          <w:sz w:val="18"/>
          <w:szCs w:val="18"/>
          <w:color w:val="auto"/>
        </w:rPr>
      </w:pPr>
    </w:p>
    <w:p>
      <w:pPr>
        <w:ind w:left="1040" w:right="340" w:hanging="518"/>
        <w:spacing w:after="0" w:line="273"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8" w:lineRule="exact"/>
        <w:rPr>
          <w:rFonts w:ascii="Times New Roman" w:cs="Times New Roman" w:eastAsia="Times New Roman" w:hAnsi="Times New Roman"/>
          <w:sz w:val="18"/>
          <w:szCs w:val="18"/>
          <w:color w:val="auto"/>
        </w:rPr>
      </w:pPr>
    </w:p>
    <w:p>
      <w:pPr>
        <w:ind w:left="1040" w:right="280" w:hanging="518"/>
        <w:spacing w:after="0" w:line="259"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79"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Roxadustat is considered a Class 2 substance on the 2019 World Anti-Doping Agency Prohibited List which could limit sales and increase security and distribution costs for us and our partners, particularly in China.</w:t>
      </w:r>
    </w:p>
    <w:p>
      <w:pPr>
        <w:spacing w:after="0" w:line="5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Roxadustat is considered a Class 2 substance on the World Anti-Doping Agency (“WADA”)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This is particularly the case in China where we will not be able to sell roxadustat in private pharmacies due to the WADA classification. While private pharmacies only represent approximately 10% of the market in China, this will negatively affect sales and therefore the profitability of roxadustat and the Company as a whole.</w:t>
      </w:r>
    </w:p>
    <w:p>
      <w:pPr>
        <w:spacing w:after="0" w:line="286"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5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the commercialization of our product candidates.</w:t>
      </w:r>
    </w:p>
    <w:p>
      <w:pPr>
        <w:spacing w:after="0" w:line="11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in China, We have not obtained regulatory approval for any product candidate, and it is possible that neither roxadustat nor pamrevlumab, nor any future product candidates we may discover, in-license or acquire and seek to develop in the future, will obtain regulatory approval in countries other than China.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other regulatory authorities for many reasons, including:</w:t>
      </w:r>
    </w:p>
    <w:p>
      <w:pPr>
        <w:spacing w:after="0" w:line="111" w:lineRule="exact"/>
        <w:rPr>
          <w:sz w:val="20"/>
          <w:szCs w:val="20"/>
          <w:color w:val="auto"/>
        </w:rPr>
      </w:pPr>
    </w:p>
    <w:p>
      <w:pPr>
        <w:ind w:left="1040" w:hanging="518"/>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our interpretation of data from preclinical studies or clinical trials;</w:t>
      </w:r>
    </w:p>
    <w:p>
      <w:pPr>
        <w:spacing w:after="0" w:line="110" w:lineRule="exact"/>
        <w:rPr>
          <w:rFonts w:ascii="Times New Roman" w:cs="Times New Roman" w:eastAsia="Times New Roman" w:hAnsi="Times New Roman"/>
          <w:sz w:val="18"/>
          <w:szCs w:val="18"/>
          <w:color w:val="auto"/>
        </w:rPr>
      </w:pPr>
    </w:p>
    <w:p>
      <w:pPr>
        <w:ind w:left="1040" w:right="340" w:hanging="518"/>
        <w:spacing w:after="0" w:line="273"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efficacy results from clinical trial sites outside the U.S. where the standard of care is potentially different from that in the U.S.;</w:t>
      </w:r>
    </w:p>
    <w:p>
      <w:pPr>
        <w:spacing w:after="0" w:line="58" w:lineRule="exact"/>
        <w:rPr>
          <w:rFonts w:ascii="Times New Roman" w:cs="Times New Roman" w:eastAsia="Times New Roman" w:hAnsi="Times New Roman"/>
          <w:sz w:val="18"/>
          <w:szCs w:val="18"/>
          <w:color w:val="auto"/>
        </w:rPr>
      </w:pPr>
    </w:p>
    <w:p>
      <w:pPr>
        <w:ind w:left="1040" w:right="160" w:hanging="518"/>
        <w:spacing w:after="0" w:line="273"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58" w:lineRule="exact"/>
        <w:rPr>
          <w:rFonts w:ascii="Times New Roman" w:cs="Times New Roman" w:eastAsia="Times New Roman" w:hAnsi="Times New Roman"/>
          <w:sz w:val="18"/>
          <w:szCs w:val="18"/>
          <w:color w:val="auto"/>
        </w:rPr>
      </w:pPr>
    </w:p>
    <w:p>
      <w:pPr>
        <w:ind w:left="1040" w:right="80" w:hanging="518"/>
        <w:spacing w:after="0" w:line="273"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disapproval of the manufacturing processes or facilities of either our manufacturing plant or third party manufacturers with whom we contract for clinical and commercial supplies; or</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2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7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83" w:name="page84"/>
    <w:bookmarkEnd w:id="83"/>
    <w:p>
      <w:pPr>
        <w:ind w:right="2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auto"/>
        </w:rPr>
        <w:t>If we obtain approval in the U.S.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53" w:lineRule="exact"/>
        <w:rPr>
          <w:sz w:val="20"/>
          <w:szCs w:val="20"/>
          <w:color w:val="auto"/>
        </w:rPr>
      </w:pPr>
    </w:p>
    <w:p>
      <w:pPr>
        <w:ind w:left="1040" w:right="60" w:hanging="518"/>
        <w:spacing w:after="0" w:line="259"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1" w:lineRule="exact"/>
        <w:rPr>
          <w:rFonts w:ascii="Times New Roman" w:cs="Times New Roman" w:eastAsia="Times New Roman" w:hAnsi="Times New Roman"/>
          <w:sz w:val="18"/>
          <w:szCs w:val="18"/>
          <w:color w:val="auto"/>
        </w:rPr>
      </w:pPr>
    </w:p>
    <w:p>
      <w:pPr>
        <w:jc w:val="both"/>
        <w:ind w:left="1040" w:right="440" w:hanging="518"/>
        <w:spacing w:after="0" w:line="259"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1" w:lineRule="exact"/>
        <w:rPr>
          <w:rFonts w:ascii="Times New Roman" w:cs="Times New Roman" w:eastAsia="Times New Roman" w:hAnsi="Times New Roman"/>
          <w:sz w:val="18"/>
          <w:szCs w:val="18"/>
          <w:color w:val="auto"/>
        </w:rPr>
      </w:pPr>
    </w:p>
    <w:p>
      <w:pPr>
        <w:ind w:left="1040" w:right="60" w:hanging="518"/>
        <w:spacing w:after="0" w:line="273"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58" w:lineRule="exact"/>
        <w:rPr>
          <w:rFonts w:ascii="Times New Roman" w:cs="Times New Roman" w:eastAsia="Times New Roman" w:hAnsi="Times New Roman"/>
          <w:sz w:val="18"/>
          <w:szCs w:val="18"/>
          <w:color w:val="auto"/>
        </w:rPr>
      </w:pPr>
    </w:p>
    <w:p>
      <w:pPr>
        <w:ind w:left="1040" w:right="620" w:hanging="518"/>
        <w:spacing w:after="0" w:line="273"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58" w:lineRule="exact"/>
        <w:rPr>
          <w:rFonts w:ascii="Times New Roman" w:cs="Times New Roman" w:eastAsia="Times New Roman" w:hAnsi="Times New Roman"/>
          <w:sz w:val="18"/>
          <w:szCs w:val="18"/>
          <w:color w:val="auto"/>
        </w:rPr>
      </w:pPr>
    </w:p>
    <w:p>
      <w:pPr>
        <w:ind w:left="1040" w:right="180" w:hanging="518"/>
        <w:spacing w:after="0" w:line="255"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(“PPACA”), which requires manufacturers of drugs, devices, biologics, and medical supplies to report annually to the Centers for Medicare and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73" w:lineRule="exact"/>
        <w:rPr>
          <w:rFonts w:ascii="Times New Roman" w:cs="Times New Roman" w:eastAsia="Times New Roman" w:hAnsi="Times New Roman"/>
          <w:sz w:val="18"/>
          <w:szCs w:val="18"/>
          <w:color w:val="auto"/>
        </w:rPr>
      </w:pPr>
    </w:p>
    <w:p>
      <w:pPr>
        <w:ind w:left="1040" w:right="20" w:hanging="518"/>
        <w:spacing w:after="0" w:line="250"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79" w:lineRule="exact"/>
        <w:rPr>
          <w:rFonts w:ascii="Times New Roman" w:cs="Times New Roman" w:eastAsia="Times New Roman" w:hAnsi="Times New Roman"/>
          <w:sz w:val="18"/>
          <w:szCs w:val="18"/>
          <w:color w:val="auto"/>
        </w:rPr>
      </w:pPr>
    </w:p>
    <w:p>
      <w:pPr>
        <w:ind w:left="1040" w:hanging="518"/>
        <w:spacing w:after="0" w:line="251"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8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647" w:right="279" w:bottom="1440" w:gutter="0" w:footer="0" w:header="0"/>
        </w:sectPr>
      </w:pPr>
    </w:p>
    <w:bookmarkStart w:id="84" w:name="page85"/>
    <w:bookmarkEnd w:id="84"/>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5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8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4" w:lineRule="exact"/>
        <w:rPr>
          <w:sz w:val="20"/>
          <w:szCs w:val="20"/>
          <w:color w:val="auto"/>
        </w:rPr>
      </w:pPr>
    </w:p>
    <w:p>
      <w:pPr>
        <w:ind w:left="1040" w:hanging="518"/>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that may be approved for sale;</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profitability of our products;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coverage and reimbursement applicable to our products;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position and market any approved product;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taxes applicable to our pharmaceutical product revenues.</w:t>
      </w:r>
    </w:p>
    <w:p>
      <w:pPr>
        <w:spacing w:after="0" w:line="217"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85" w:name="page86"/>
    <w:bookmarkEnd w:id="85"/>
    <w:p>
      <w:pPr>
        <w:ind w:right="80"/>
        <w:spacing w:after="0" w:line="249" w:lineRule="auto"/>
        <w:rPr>
          <w:sz w:val="20"/>
          <w:szCs w:val="20"/>
          <w:color w:val="auto"/>
        </w:rPr>
      </w:pPr>
      <w:r>
        <w:rPr>
          <w:rFonts w:ascii="Times New Roman" w:cs="Times New Roman" w:eastAsia="Times New Roman" w:hAnsi="Times New Roman"/>
          <w:sz w:val="18"/>
          <w:szCs w:val="18"/>
          <w:color w:val="auto"/>
        </w:rPr>
        <w:t>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or contract others to conduct, animal testing in the future, which could harm our research and development activities.</w:t>
      </w:r>
    </w:p>
    <w:p>
      <w:pPr>
        <w:spacing w:after="0" w:line="1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8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 to:</w:t>
      </w:r>
    </w:p>
    <w:p>
      <w:pPr>
        <w:spacing w:after="0" w:line="111" w:lineRule="exact"/>
        <w:rPr>
          <w:sz w:val="20"/>
          <w:szCs w:val="20"/>
          <w:color w:val="auto"/>
        </w:rPr>
      </w:pPr>
    </w:p>
    <w:p>
      <w:pPr>
        <w:ind w:left="1040" w:hanging="518"/>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accurate information to the FDA or comparable foreign regulatory authorities;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manufacturing standards we have established;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privacy laws protecting personal information;</w:t>
      </w:r>
    </w:p>
    <w:p>
      <w:pPr>
        <w:spacing w:after="0" w:line="110" w:lineRule="exact"/>
        <w:rPr>
          <w:rFonts w:ascii="Times New Roman" w:cs="Times New Roman" w:eastAsia="Times New Roman" w:hAnsi="Times New Roman"/>
          <w:sz w:val="18"/>
          <w:szCs w:val="18"/>
          <w:color w:val="auto"/>
        </w:rPr>
      </w:pPr>
    </w:p>
    <w:p>
      <w:pPr>
        <w:ind w:left="1040" w:right="500" w:hanging="518"/>
        <w:spacing w:after="0" w:line="273"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and other anti-bribery laws;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disclose unauthorized activities to us.</w:t>
      </w:r>
    </w:p>
    <w:p>
      <w:pPr>
        <w:spacing w:after="0" w:line="2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86" w:name="page87"/>
    <w:bookmarkEnd w:id="86"/>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8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be subject to a number of risks related with our international operations, many of which may be beyond our control. These risks include:</w:t>
      </w:r>
    </w:p>
    <w:p>
      <w:pPr>
        <w:spacing w:after="0" w:line="111" w:lineRule="exact"/>
        <w:rPr>
          <w:sz w:val="20"/>
          <w:szCs w:val="20"/>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trade barriers and regulatory requirements;</w:t>
      </w:r>
    </w:p>
    <w:p>
      <w:pPr>
        <w:spacing w:after="0" w:line="110" w:lineRule="exact"/>
        <w:rPr>
          <w:rFonts w:ascii="Times New Roman" w:cs="Times New Roman" w:eastAsia="Times New Roman" w:hAnsi="Times New Roman"/>
          <w:sz w:val="18"/>
          <w:szCs w:val="18"/>
          <w:color w:val="auto"/>
        </w:rPr>
      </w:pPr>
    </w:p>
    <w:p>
      <w:pPr>
        <w:ind w:left="1040" w:right="380" w:hanging="518"/>
        <w:spacing w:after="0" w:line="273"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indications for which our product candidates are being developed;</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 and other anti-corruption and anti-bribery laws;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taxes, including withholding of payroll taxes;</w:t>
      </w:r>
    </w:p>
    <w:p>
      <w:pPr>
        <w:spacing w:after="0" w:line="110" w:lineRule="exact"/>
        <w:rPr>
          <w:rFonts w:ascii="Times New Roman" w:cs="Times New Roman" w:eastAsia="Times New Roman" w:hAnsi="Times New Roman"/>
          <w:sz w:val="18"/>
          <w:szCs w:val="18"/>
          <w:color w:val="auto"/>
        </w:rPr>
      </w:pPr>
    </w:p>
    <w:p>
      <w:pPr>
        <w:ind w:left="1040" w:right="220" w:hanging="518"/>
        <w:spacing w:after="0" w:line="273"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0" w:lineRule="exact"/>
        <w:rPr>
          <w:rFonts w:ascii="Times New Roman" w:cs="Times New Roman" w:eastAsia="Times New Roman" w:hAnsi="Times New Roman"/>
          <w:sz w:val="18"/>
          <w:szCs w:val="18"/>
          <w:color w:val="auto"/>
        </w:rPr>
      </w:pPr>
    </w:p>
    <w:p>
      <w:pPr>
        <w:ind w:left="1040" w:right="440" w:hanging="518"/>
        <w:spacing w:after="0" w:line="273"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foreign distributors;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647" w:right="2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w:t>
      </w:r>
    </w:p>
    <w:p>
      <w:pPr>
        <w:spacing w:after="0" w:line="1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approval, registration, manufacturing, packaging, licensing and marketing of new drugs. Refer to “</w:t>
      </w:r>
      <w:r>
        <w:rPr>
          <w:rFonts w:ascii="Times New Roman" w:cs="Times New Roman" w:eastAsia="Times New Roman" w:hAnsi="Times New Roman"/>
          <w:sz w:val="18"/>
          <w:szCs w:val="18"/>
          <w:i w:val="1"/>
          <w:iCs w:val="1"/>
          <w:color w:val="auto"/>
        </w:rPr>
        <w:t>Business — Government Regulation — Regulation in China</w:t>
      </w:r>
      <w:r>
        <w:rPr>
          <w:rFonts w:ascii="Times New Roman" w:cs="Times New Roman" w:eastAsia="Times New Roman" w:hAnsi="Times New Roman"/>
          <w:sz w:val="18"/>
          <w:szCs w:val="18"/>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For example, the NMPA recently adopted the International Council for Harmonisation of Technical Requirements for Pharmaceuticals for Human Use guidelines, and accordingly imposed regulatory oversight earlier in our production process for roxadustat manufactured and sold in China. The change in regulatory starting material triggered an extension of the inspection to our contract manufacturer STA, which was successfully completed in October 2018. In addition,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303"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planning on using our own manufacturing facilities in China to produce roxadustat API, roxadustat drug product, and FG-5200 corneal implants. As an organization, we have limited experience in the construction, licensure, and operation of a manufacturing plant, and accordingly we cannot assure you we will be able to meet regulatory requirements to operate our plant and to sell our products.</w:t>
      </w:r>
    </w:p>
    <w:p>
      <w:pPr>
        <w:spacing w:after="0" w:line="6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two manufacturing facilities in China, with one located in Beijing and the other in Cangzhou, Hebei. In December 2018, we received the Manufacturing License for Drug Substance and Drug Product for roxadustat and GMP certification for our Beijing facility that allows us to manufacture limited commercial quantities of roxadustat capsules. We are currently planning on manufacturing commercial-scale API at our Cangzhou facility, and expect to receive a license to produce roxadustat API at that site in the second half of 2019. However, as an organization, we have limited experience licensing and operating commercial manufacturing facilities.</w:t>
      </w:r>
    </w:p>
    <w:p>
      <w:pPr>
        <w:spacing w:after="0" w:line="21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succeed for licensure or continue to be successful in meeting these requirements.</w:t>
      </w:r>
    </w:p>
    <w:p>
      <w:pPr>
        <w:spacing w:after="0" w:line="198"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We would require separate approval for the manufacture of FG-5200. In addition, we may convert the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FG-5200, either of which would be expected to delay or preclude our ability to develop FG-5200 in China and may materially adversely affect our business and operations and prospects in China.</w:t>
      </w:r>
    </w:p>
    <w:p>
      <w:pPr>
        <w:spacing w:after="0" w:line="19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NMPA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313"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addition to manufacturing, we are responsible for pharmacovigilance, medical affairs, and management of the third party distribution logistics for roxadustat in China. We have no experience in these areas as a company, and accordingly we cannot assure you we will be able to meet regulatory requirements or operate in these capacities successfully.</w:t>
      </w:r>
    </w:p>
    <w:p>
      <w:pPr>
        <w:spacing w:after="0" w:line="6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are responsible for commercial manufacturing, pharmacovigilance, medical affairs, and management of the third party distribution logistics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88" w:name="page89"/>
    <w:bookmarkEnd w:id="88"/>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decision to launch roxadustat in China prior to approval in the U.S. or Europe is largely unprecedented and could be subject to significant risk, delay and expense.</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though our subsidiary FibroGen Beijing has received marketing authorization for roxadustat for anemia caused by CKD in dialysis patients we have not yet received approval in non-dialysis patients, and are awaiting the Chinese authorities’ routine inspection of our Phase 3 non-dialysis clinical trial sites. While we currently expect these site inspections to occur in the first half of 2019, the inspections could be delayed for a number of reasons, including if regulatory authorities are otherwise occupied inspecting other matters, such as certain vaccine, plasma, or other issues that may be pressing for the country.</w:t>
      </w:r>
    </w:p>
    <w:p>
      <w:pPr>
        <w:spacing w:after="0" w:line="74"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We also must qualify and license our Cangzhou manufacturing facility for manufacture of roxadustat API prior to launch. We expect this to occur in the third quarter of 2019, however, delays or problems obtaining such licensure would delay launch.</w:t>
      </w:r>
    </w:p>
    <w:p>
      <w:pPr>
        <w:spacing w:after="0" w:line="5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addition, negative safety data from the U.S. or European Phase 3 trials could affect the NMPA approval process or label for roxadustat. Any such developments could delay or limit our commercialization plans for roxadustat in China. It is possible that other unforeseen delays in the China regulatory process could have a material adverse effect on our development and commercialization of roxadustat in China.</w:t>
      </w:r>
    </w:p>
    <w:p>
      <w:pPr>
        <w:spacing w:after="0" w:line="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 addition we will be required to conduct a 2,000 subject post-approval safety study to demonstrate the long-term safety of roxadustat, as well as provide period reporting to the authorities on GMP and quality compliance at our manufacturing facilities. If safety issues arise in this study, or generally after commercialization, our commercialization plans and profitability in China could be negatively impacted.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collaboration partner in China, AstraZeneca, may experience difficulties in successfully generating sales of roxadustat in China.</w:t>
      </w:r>
    </w:p>
    <w:p>
      <w:pPr>
        <w:spacing w:after="0" w:line="11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We and AstraZeneca have a profit sharing arrangement with respect to roxadustat in China and any difficulties we may experience in generating sales will affect our bottom line. Difficulties may be related to our ability to obtain reasonable pricing, reimbursement, hospital listing, and tendering, or other difficulties related to distribution, marketing, and sales efforts in China. Sales of roxadustat in China may be limited due to the complex nature of the healthcare system, low average personal income, pricing controls, still developing infrastructure and potentially rapid competition from other products. In particular, if we are unable to obtain reimbursement for roxadustat through the 2019 update to the NRDL, we may have to wait a substantial period of time before the reimbursement drug list is updated again. Without government reimbursement, many patients will not be able to afford roxadustat, since private commercial health insurance is rare, and our business and operations could be adversely affected. Therefore reimbursement and obtaining hospital listing is critical to roxadustat’s near-term commercial success in China.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treatment of anemia in CKD in China is highly competitive.</w:t>
      </w:r>
    </w:p>
    <w:p>
      <w:pPr>
        <w:spacing w:after="0" w:line="11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Although we have now received approval for roxadustat for the treatment of anemia caused by CKD in dialysis patients in China, and even if roxadustat receives approval for anemia caused by CKD in non-dialysis patients, it faces intense competition in the market for treatment of anemia in CKD. Roxadustat would compete with ESAs, which are offered by established multinational pharmaceutical companies such as Kyowa Hakko Kirin China Pharmaceutical Co., Ltd.,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89" w:name="page90"/>
    <w:bookmarkEnd w:id="89"/>
    <w:p>
      <w:pPr>
        <w:ind w:right="4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is implementing a new “Two Invoices” regulation which could affect the way we structure our distributorship relationships in China for roxadustat.</w:t>
      </w:r>
    </w:p>
    <w:p>
      <w:pPr>
        <w:spacing w:after="0" w:line="5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Chinese government is implementing new regulations that impact distribution of pharmaceutical products in China. These regulations generally require that at most two invoices may be issued throughout the distribution chain. Failure to comply with the “Two-Invoices” regulations would prevent us from accessing the market in China. We are planning on modifying the distribution responsibilities under the China Agreement between AstraZeneca and FibroGen such that FibroGen would engage distributors and a third party logistics provider, and both companies will work together to manage the distribution network. FibroGen China has never managed distribution of pharmaceutical products, and this new distribution structure may impose higher costs or limit or delay our ability to sell products to our principal customers, and may limit the near term sales of our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roxadustat will be included in the Medical Insurance Catalogs.</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Times New Roman" w:cs="Times New Roman" w:eastAsia="Times New Roman" w:hAnsi="Times New Roman"/>
          <w:sz w:val="18"/>
          <w:szCs w:val="18"/>
          <w:i w:val="1"/>
          <w:iCs w:val="1"/>
          <w:color w:val="auto"/>
        </w:rPr>
        <w:t>Business —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 Regulation in China</w:t>
      </w:r>
      <w:r>
        <w:rPr>
          <w:rFonts w:ascii="Times New Roman" w:cs="Times New Roman" w:eastAsia="Times New Roman" w:hAnsi="Times New Roman"/>
          <w:sz w:val="18"/>
          <w:szCs w:val="18"/>
          <w:color w:val="auto"/>
        </w:rPr>
        <w:t>.” We believe that the inclusion of a drug in the Medical Insurance Catalogs can substantially improve the sales of a drug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FG-5200 can be manufactured successfully and achieve regulatory approval, we may not achieve commercial success.</w:t>
      </w:r>
    </w:p>
    <w:p>
      <w:pPr>
        <w:spacing w:after="0" w:line="1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We have not yet received a license to manufacture FG-5200 in our Beijing manufacturing facility or at scale, and we will have to show that FG-5200 produced in our China manufacturing facility meets the applicable regulatory requirements. There can be no assurance that we can meet these requirements or that FG-5200 can be approved for development, manufacture and sale in China.</w:t>
      </w:r>
    </w:p>
    <w:p>
      <w:pPr>
        <w:spacing w:after="0" w:line="1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60"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8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5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0" w:name="page91"/>
    <w:bookmarkEnd w:id="90"/>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5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December 31, 2018, approximately $5.7 million of our cash and cash equivalents is held in China.</w:t>
      </w:r>
    </w:p>
    <w:p>
      <w:pPr>
        <w:spacing w:after="0" w:line="288"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8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5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8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88"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54"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15"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17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December 22, 2017, the U.S. enacted the Tax Cuts and Jobs Act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8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As a result of the impacts of the Tax Act, the SEC provided guidance that allows us to record provisional amounts for those impacts, with the requirement that the accounting be completed in a period not to exceed one year from the date of enactment. As of December 31, 2018, we completed our analysis of the accounting for the tax effects of the Tax Act and no material adjustments were recognized as of December 31, 2018. The primary impact of the Tax Act relates to the re-measurement of deferred tax assets and liabilities resulting from the change in the corporate tax rate (“Corporate Tax Rate Change”), which was recorded as of December 2017. Developing interpretations of the provisions of the Tax Act, changes to U.S. Treasury regulations, administrative interpretations or court decisions interpreting the Tax Act in the future periods may require further adjustments to our analysis.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particularly those in China, are subject to significant risks involving the protection of intellectual property.</w:t>
      </w:r>
    </w:p>
    <w:p>
      <w:pPr>
        <w:spacing w:after="0" w:line="11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8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will require us to develop, maintain, and implement costly compliance programs.</w:t>
      </w:r>
    </w:p>
    <w:p>
      <w:pPr>
        <w:spacing w:after="0" w:line="11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84" w:lineRule="exact"/>
        <w:rPr>
          <w:sz w:val="20"/>
          <w:szCs w:val="20"/>
          <w:color w:val="auto"/>
        </w:rPr>
      </w:pPr>
    </w:p>
    <w:p>
      <w:pPr>
        <w:jc w:val="both"/>
        <w:ind w:right="580"/>
        <w:spacing w:after="0" w:line="259"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China legal system could have a material adverse effect on us.</w:t>
      </w:r>
    </w:p>
    <w:p>
      <w:pPr>
        <w:spacing w:after="0" w:line="11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Chinese society and the Chinese economy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28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As part of a sweeping and ongoing government restructuring effort, China’s highest legislative body, the National People’s Congress, approved a plan to establish a State Administration for Market Regulation (“SAMR”), which will merge and undertake the responsibilities previously held by the State Administration for Industry and Commerce, the General Administration of Quality Supervision, Inspection and Quarantine, the Certification and Accreditation Administration, the Standardization Administration of China, and the NMPA, as well as anti-monopoly responsibilities previously held by the National Development and Reform Commission, Ministry of Commerce, and the Anti-Monopoly Office under the State Council. The restructuring also established the NMPA which has taken over much of the functions of the NMPA and will be supervised by the SAMR, while maintaining branches at the provincial level. A major government restructuring such as this one could cause significant delays and cost increases to our development, manufacturing, approval, and commercialization timelines in China. There has been turnover in government leadership and officials may be further assigned new roles and responsibilities, which may create delays and possibly new policies and priorities, and existing rules may be interpreted differently. It will take time for the restructuring to be fully implemented and the new structure to operate efficiently. As a result, our existing plans could be delayed or modified due to changes in regulations, policies or personnel decisions, all of which could have a material adverse impact on our operating results and business prospects.</w:t>
      </w:r>
    </w:p>
    <w:p>
      <w:pPr>
        <w:spacing w:after="0" w:line="292"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relating to the United Kingdom’s referendum vote in favor of leaving the EU could adversely affect us.</w:t>
      </w:r>
    </w:p>
    <w:p>
      <w:pPr>
        <w:spacing w:after="0" w:line="1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1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54"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8"/>
          <w:szCs w:val="18"/>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7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5" w:name="page96"/>
    <w:bookmarkEnd w:id="95"/>
    <w:p>
      <w:pPr>
        <w:ind w:right="5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9" w:lineRule="exact"/>
        <w:rPr>
          <w:sz w:val="20"/>
          <w:szCs w:val="20"/>
          <w:color w:val="auto"/>
        </w:rPr>
      </w:pPr>
    </w:p>
    <w:p>
      <w:pPr>
        <w:ind w:left="1040" w:hanging="518"/>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restrictions;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21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1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June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76"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5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6" w:name="page97"/>
    <w:bookmarkEnd w:id="96"/>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68"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8"/>
          <w:szCs w:val="18"/>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77"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6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15"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4" w:lineRule="exact"/>
        <w:rPr>
          <w:sz w:val="20"/>
          <w:szCs w:val="20"/>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including roxadustat and pamrevlumab;</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10" w:lineRule="exact"/>
        <w:rPr>
          <w:rFonts w:ascii="Times New Roman" w:cs="Times New Roman" w:eastAsia="Times New Roman" w:hAnsi="Times New Roman"/>
          <w:sz w:val="18"/>
          <w:szCs w:val="18"/>
          <w:color w:val="auto"/>
        </w:rPr>
      </w:pPr>
    </w:p>
    <w:p>
      <w:pPr>
        <w:ind w:left="1040" w:right="320" w:hanging="518"/>
        <w:spacing w:after="0" w:line="273"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10" w:lineRule="exact"/>
        <w:rPr>
          <w:rFonts w:ascii="Times New Roman" w:cs="Times New Roman" w:eastAsia="Times New Roman" w:hAnsi="Times New Roman"/>
          <w:sz w:val="18"/>
          <w:szCs w:val="18"/>
          <w:color w:val="auto"/>
        </w:rPr>
      </w:pPr>
    </w:p>
    <w:p>
      <w:pPr>
        <w:ind w:left="1040" w:right="180" w:hanging="518"/>
        <w:spacing w:after="0" w:line="273"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research reports by securities analysts about us or our competitors or our industry or negative recommendations or withdrawal of research coverage by securities analysts;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10" w:lineRule="exact"/>
        <w:rPr>
          <w:rFonts w:ascii="Times New Roman" w:cs="Times New Roman" w:eastAsia="Times New Roman" w:hAnsi="Times New Roman"/>
          <w:sz w:val="18"/>
          <w:szCs w:val="18"/>
          <w:color w:val="auto"/>
        </w:rPr>
      </w:pPr>
    </w:p>
    <w:p>
      <w:pPr>
        <w:ind w:left="1040" w:right="40" w:hanging="518"/>
        <w:spacing w:after="0" w:line="273"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ineffectiveness of our internal controls;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7" w:name="page98"/>
    <w:bookmarkEnd w:id="97"/>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decisions by us or our competitors;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government of China, including those related to the pharmaceutical industry as well as industrial policy generally;</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other U.S. publicly traded companies with significant operations in China;</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other calamities;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1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7"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our underwritten public offerings of common stock completed on April 11, 2017 (the “April 2017 Offering”) and August 24, 2017 (the “August 2017 Offering”) and may not use them effectively.</w:t>
      </w:r>
    </w:p>
    <w:p>
      <w:pPr>
        <w:spacing w:after="0" w:line="5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net proceeds from the April 2017 Offering is intended to be used to fund the expansion of product development in China, including developing roxadustat in additional indications beyond CKD, manufacturing and commercialization activities, as well as for general corporate purposes. The net proceeds from the August 2017 Offering is intended to be used to fund the expansion of product development, including our development of pamrevlumab beyond current Phase 2 programs, manufacturing and commercialization activities, as well as for general corporate purposes. These general corporate purposes, may include, among other things, funding research and development, clinical trials, vendor payables, potential regulatory submissions, hiring additional personnel and capital expenditures. However, we have no current commitments or obligations to use the net proceeds in the manner described above. Our management has broad discretion in the application of the balance of the net proceeds from the April 2017 Offering and the August 2017 Offering, and could spend the proceeds in ways our stockholders may not agree with or that fails to improve our business or enhance the value of our common stock. The failure by our management to use these funds effectively could result in financial losses that could harm our business, cause the price of our common stock to decline and delay the development of our product candidates.</w:t>
      </w:r>
    </w:p>
    <w:p>
      <w:pPr>
        <w:spacing w:after="0" w:line="294"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5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98" w:name="page99"/>
    <w:bookmarkEnd w:id="98"/>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As of January 31, 2019, our executive officers, directors and principal stockholders, together with their respective affiliates, owned approximately 39.79%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October 31, 2018.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7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68"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8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86"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54"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2" w:lineRule="exact"/>
        <w:rPr>
          <w:sz w:val="20"/>
          <w:szCs w:val="20"/>
          <w:color w:val="auto"/>
        </w:rPr>
      </w:pPr>
    </w:p>
    <w:p>
      <w:pPr>
        <w:ind w:left="1040" w:hanging="518"/>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bookmarkStart w:id="99" w:name="page100"/>
    <w:bookmarkEnd w:id="99"/>
    <w:p>
      <w:pPr>
        <w:ind w:right="80"/>
        <w:spacing w:after="0" w:line="259"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2" w:lineRule="exact"/>
        <w:rPr>
          <w:sz w:val="20"/>
          <w:szCs w:val="20"/>
          <w:color w:val="auto"/>
        </w:rPr>
      </w:pPr>
    </w:p>
    <w:p>
      <w:pPr>
        <w:ind w:left="1040" w:hanging="518"/>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319"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6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2" w:lineRule="exact"/>
        <w:rPr>
          <w:sz w:val="20"/>
          <w:szCs w:val="20"/>
          <w:color w:val="auto"/>
        </w:rPr>
      </w:pPr>
    </w:p>
    <w:p>
      <w:pPr>
        <w:ind w:left="1040" w:right="240" w:hanging="518"/>
        <w:spacing w:after="0" w:line="273"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0" w:lineRule="exact"/>
        <w:rPr>
          <w:rFonts w:ascii="Times New Roman" w:cs="Times New Roman" w:eastAsia="Times New Roman" w:hAnsi="Times New Roman"/>
          <w:sz w:val="18"/>
          <w:szCs w:val="18"/>
          <w:color w:val="auto"/>
        </w:rPr>
      </w:pPr>
    </w:p>
    <w:p>
      <w:pPr>
        <w:ind w:left="1040" w:right="60" w:hanging="518"/>
        <w:spacing w:after="0" w:line="273"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0" w:lineRule="exact"/>
        <w:rPr>
          <w:rFonts w:ascii="Times New Roman" w:cs="Times New Roman" w:eastAsia="Times New Roman" w:hAnsi="Times New Roman"/>
          <w:sz w:val="18"/>
          <w:szCs w:val="18"/>
          <w:color w:val="auto"/>
        </w:rPr>
      </w:pPr>
    </w:p>
    <w:p>
      <w:pPr>
        <w:ind w:left="1040" w:right="160" w:hanging="518"/>
        <w:spacing w:after="0" w:line="273"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8"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0" w:lineRule="exact"/>
        <w:rPr>
          <w:rFonts w:ascii="Times New Roman" w:cs="Times New Roman" w:eastAsia="Times New Roman" w:hAnsi="Times New Roman"/>
          <w:sz w:val="18"/>
          <w:szCs w:val="18"/>
          <w:color w:val="auto"/>
        </w:rPr>
      </w:pPr>
    </w:p>
    <w:p>
      <w:pPr>
        <w:ind w:left="1040" w:hanging="518"/>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10" w:lineRule="exact"/>
        <w:rPr>
          <w:rFonts w:ascii="Times New Roman" w:cs="Times New Roman" w:eastAsia="Times New Roman" w:hAnsi="Times New Roman"/>
          <w:sz w:val="18"/>
          <w:szCs w:val="18"/>
          <w:color w:val="auto"/>
        </w:rPr>
      </w:pPr>
    </w:p>
    <w:p>
      <w:pPr>
        <w:ind w:left="1040" w:right="380" w:hanging="518"/>
        <w:spacing w:after="0" w:line="273"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5"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100" w:name="page101"/>
    <w:bookmarkEnd w:id="100"/>
    <w:p>
      <w:pPr>
        <w:ind w:right="220"/>
        <w:spacing w:after="0" w:line="252"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provision or exposure to additional tax liabilities could adversely affect our earnings and financial condition.</w:t>
      </w:r>
    </w:p>
    <w:p>
      <w:pPr>
        <w:spacing w:after="0" w:line="11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We are also subject to non-income taxes, such as payroll, sales, use, value-added, net worth, property, gross receipts, and goods and services taxes in the U.S., state and local, or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7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December 22, 2017, the U.S. enacted the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9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As a result of the impacts of the Tax Act, the SEC provided guidance that allows us to record provisional amounts for those impacts, with the requirement that the accounting be completed in a period not to exceed one year from the date of enactment. As of December 31, 2018, we completed our analysis of the accounting for the tax effects of the Tax Act and no material adjustments were recognized as of December 31, 2018. The primary impact of the Tax Act relates to the re-measurement of deferred tax assets and liabilities resulting from the Corporate Tax Rate Change, which was recorded as of December 31, 2017. Developing interpretations of the provisions of the Tax Act, changes to U.S. Treasury regulations, administrative interpretations or court decisions interpreting the Tax Act in the future periods may require further adjustments to our analysis.</w:t>
      </w:r>
    </w:p>
    <w:p>
      <w:pPr>
        <w:spacing w:after="0" w:line="28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01" w:name="page102"/>
    <w:bookmarkEnd w:id="101"/>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5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Our lease in China expires in 2021. We are constructing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7" w:right="25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13"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(“NASDAQ”) since November 14, 2014, under the symbol “FGEN.” Prior to our initial public offering, there was no public market for our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indicated periods the high and low closing sales prices of our common stock as reported on the NASDAQ.</w:t>
      </w:r>
    </w:p>
    <w:p>
      <w:pPr>
        <w:spacing w:after="0" w:line="290"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High</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8"/>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7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March 31, 2018</w:t>
            </w:r>
          </w:p>
        </w:tc>
        <w:tc>
          <w:tcPr>
            <w:tcW w:w="2660" w:type="dxa"/>
            <w:vAlign w:val="bottom"/>
            <w:gridSpan w:val="2"/>
          </w:tcPr>
          <w:p>
            <w:pPr>
              <w:jc w:val="right"/>
              <w:ind w:right="76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80" w:type="dxa"/>
            <w:vAlign w:val="bottom"/>
          </w:tcPr>
          <w:p>
            <w:pPr>
              <w:spacing w:after="0"/>
              <w:rPr>
                <w:sz w:val="19"/>
                <w:szCs w:val="19"/>
                <w:color w:val="auto"/>
              </w:rPr>
            </w:pPr>
          </w:p>
        </w:tc>
      </w:tr>
      <w:tr>
        <w:trPr>
          <w:trHeight w:val="22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June 30, 2018</w:t>
            </w:r>
          </w:p>
        </w:tc>
        <w:tc>
          <w:tcPr>
            <w:tcW w:w="17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80" w:type="dxa"/>
            <w:vAlign w:val="bottom"/>
            <w:shd w:val="clear" w:color="auto" w:fill="CFF0FC"/>
          </w:tcPr>
          <w:p>
            <w:pPr>
              <w:spacing w:after="0"/>
              <w:rPr>
                <w:sz w:val="19"/>
                <w:szCs w:val="19"/>
                <w:color w:val="auto"/>
              </w:rPr>
            </w:pPr>
          </w:p>
        </w:tc>
      </w:tr>
      <w:tr>
        <w:trPr>
          <w:trHeight w:val="22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September 30, 2018</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80" w:type="dxa"/>
            <w:vAlign w:val="bottom"/>
          </w:tcPr>
          <w:p>
            <w:pPr>
              <w:spacing w:after="0"/>
              <w:rPr>
                <w:sz w:val="19"/>
                <w:szCs w:val="19"/>
                <w:color w:val="auto"/>
              </w:rPr>
            </w:pPr>
          </w:p>
        </w:tc>
      </w:tr>
      <w:tr>
        <w:trPr>
          <w:trHeight w:val="22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December 31, 2018</w:t>
            </w:r>
          </w:p>
        </w:tc>
        <w:tc>
          <w:tcPr>
            <w:tcW w:w="17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80" w:type="dxa"/>
            <w:vAlign w:val="bottom"/>
            <w:shd w:val="clear" w:color="auto" w:fill="CFF0FC"/>
          </w:tcPr>
          <w:p>
            <w:pPr>
              <w:spacing w:after="0"/>
              <w:rPr>
                <w:sz w:val="19"/>
                <w:szCs w:val="19"/>
                <w:color w:val="auto"/>
              </w:rPr>
            </w:pPr>
          </w:p>
        </w:tc>
      </w:tr>
      <w:tr>
        <w:trPr>
          <w:trHeight w:val="225"/>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March 31, 2017</w:t>
            </w:r>
          </w:p>
        </w:tc>
        <w:tc>
          <w:tcPr>
            <w:tcW w:w="2660" w:type="dxa"/>
            <w:vAlign w:val="bottom"/>
            <w:gridSpan w:val="2"/>
            <w:shd w:val="clear" w:color="auto" w:fill="CFF0FC"/>
          </w:tcPr>
          <w:p>
            <w:pPr>
              <w:jc w:val="right"/>
              <w:ind w:right="76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80" w:type="dxa"/>
            <w:vAlign w:val="bottom"/>
            <w:shd w:val="clear" w:color="auto" w:fill="CFF0FC"/>
          </w:tcPr>
          <w:p>
            <w:pPr>
              <w:spacing w:after="0"/>
              <w:rPr>
                <w:sz w:val="19"/>
                <w:szCs w:val="19"/>
                <w:color w:val="auto"/>
              </w:rPr>
            </w:pPr>
          </w:p>
        </w:tc>
      </w:tr>
      <w:tr>
        <w:trPr>
          <w:trHeight w:val="22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June 30, 2017</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Pr>
          <w:p>
            <w:pPr>
              <w:spacing w:after="0"/>
              <w:rPr>
                <w:sz w:val="19"/>
                <w:szCs w:val="19"/>
                <w:color w:val="auto"/>
              </w:rPr>
            </w:pPr>
          </w:p>
        </w:tc>
      </w:tr>
      <w:tr>
        <w:trPr>
          <w:trHeight w:val="22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September 30, 2017</w:t>
            </w:r>
          </w:p>
        </w:tc>
        <w:tc>
          <w:tcPr>
            <w:tcW w:w="17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shd w:val="clear" w:color="auto" w:fill="CFF0FC"/>
          </w:tcPr>
          <w:p>
            <w:pPr>
              <w:spacing w:after="0"/>
              <w:rPr>
                <w:sz w:val="19"/>
                <w:szCs w:val="19"/>
                <w:color w:val="auto"/>
              </w:rPr>
            </w:pPr>
          </w:p>
        </w:tc>
      </w:tr>
      <w:tr>
        <w:trPr>
          <w:trHeight w:val="23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December 31, 2017</w:t>
            </w:r>
          </w:p>
        </w:tc>
        <w:tc>
          <w:tcPr>
            <w:tcW w:w="1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8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113"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The following graph illustrates a comparison of the total cumulative stockholder return for our common stock since November 14, 2014, which is the date our common stock first began trading on the NASDAQ Global Select Market, to two indices: the NASDAQ Composite Index and the NASDAQ Biotechnology Index. The graph assumes an initial investment of $100 on November 14, 2014, in our common stock, the stocks comprising the NASDAQ Composite Index, and the stocks comprising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5861685" cy="32715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61685" cy="327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03" w:name="page104"/>
    <w:bookmarkEnd w:id="103"/>
    <w:p>
      <w:pPr>
        <w:spacing w:after="0" w:line="259" w:lineRule="auto"/>
        <w:rPr>
          <w:sz w:val="20"/>
          <w:szCs w:val="20"/>
          <w:color w:val="auto"/>
        </w:rPr>
      </w:pPr>
      <w:r>
        <w:rPr>
          <w:rFonts w:ascii="Times New Roman" w:cs="Times New Roman" w:eastAsia="Times New Roman" w:hAnsi="Times New Roman"/>
          <w:sz w:val="18"/>
          <w:szCs w:val="18"/>
          <w:color w:val="auto"/>
        </w:rPr>
        <w:t>The above Stock Price Performance Graph and related information shall not be deemed “soliciting material” or to be “filed” with the Securities and Exchange Commission, nor shall such information be incorporated by reference into any future filing under the Securities Actor Exchange Act, except to the extent that we specifically incorporate it by reference into such filing.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13"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8"/>
          <w:szCs w:val="18"/>
          <w:color w:val="auto"/>
        </w:rPr>
        <w:t>As of January 31, 2019, there were 154 registered stockholders of record for our common stock. This number of registered stockholders does not include stockholders whose shares are held in street name by brokers and other nominees, or may be held in trust by other entities. Therefore, the actual number of stockholders is greater than this number of registered stockholders of record.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113"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13"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During the year ended December 31, 2016, warrants to purchase 1,600 shares and 1,108 shares of our common stock were net exercised at a per share price of $4.38 and $15.00, respectively.</w:t>
      </w:r>
    </w:p>
    <w:p>
      <w:pPr>
        <w:spacing w:after="0" w:line="165"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8"/>
          <w:szCs w:val="18"/>
          <w:color w:val="auto"/>
        </w:rPr>
        <w:t>During the year ended December 31, 2015, warrants to purchase 72,000 shares, 49,842 shares, 26,880 shares and 17,256 shares of our common stock were net exercised at a per share price of $4.38, $15.00, $3.13 and $4.38, respectively.</w:t>
      </w:r>
    </w:p>
    <w:p>
      <w:pPr>
        <w:spacing w:after="0" w:line="165"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color w:val="auto"/>
        </w:rPr>
        <w:t>These shares issued pursuant to the warrants were not registered under the Securities Act of 1933, as amended, in reliance upon the exemption set forth in Section 4(a)(2) of such Act for transactions not involving a public offering.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863" w:right="2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1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 xml:space="preserve">The selected consolidated results of operations data for the years ended December 31, 2018, 2017 and 2016, and the consolidated balance sheet data as of December 31, 2018 and 2017 should be read together with Part II,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and in conjunction with the consolidated financial statements, related notes, and other financial information included elsewhere in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The selected consolidated results of operations data for the years ended December 31, 2015 and 2014 and the consolidated balance sheet data as of December 31, 2016, 2015 and 2014 have been derived from audited financial statements not included herein. Our historical results are not necessarily indicative of the results to be expected in the future.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4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94"/>
              <w:spacing w:after="0" w:line="152" w:lineRule="exact"/>
              <w:rPr>
                <w:sz w:val="20"/>
                <w:szCs w:val="20"/>
                <w:color w:val="auto"/>
              </w:rPr>
            </w:pPr>
            <w:r>
              <w:rPr>
                <w:rFonts w:ascii="Times New Roman" w:cs="Times New Roman" w:eastAsia="Times New Roman" w:hAnsi="Times New Roman"/>
                <w:sz w:val="14"/>
                <w:szCs w:val="14"/>
                <w:b w:val="1"/>
                <w:bCs w:val="1"/>
                <w:color w:val="auto"/>
              </w:rPr>
              <w:t>2017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53"/>
              <w:spacing w:after="0" w:line="152" w:lineRule="exact"/>
              <w:rPr>
                <w:sz w:val="20"/>
                <w:szCs w:val="20"/>
                <w:color w:val="auto"/>
              </w:rPr>
            </w:pPr>
            <w:r>
              <w:rPr>
                <w:rFonts w:ascii="Times New Roman" w:cs="Times New Roman" w:eastAsia="Times New Roman" w:hAnsi="Times New Roman"/>
                <w:sz w:val="14"/>
                <w:szCs w:val="14"/>
                <w:b w:val="1"/>
                <w:bCs w:val="1"/>
                <w:color w:val="auto"/>
              </w:rPr>
              <w:t>2016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93"/>
              <w:spacing w:after="0" w:line="152" w:lineRule="exact"/>
              <w:rPr>
                <w:sz w:val="20"/>
                <w:szCs w:val="20"/>
                <w:color w:val="auto"/>
              </w:rPr>
            </w:pPr>
            <w:r>
              <w:rPr>
                <w:rFonts w:ascii="Times New Roman" w:cs="Times New Roman" w:eastAsia="Times New Roman" w:hAnsi="Times New Roman"/>
                <w:sz w:val="14"/>
                <w:szCs w:val="14"/>
                <w:b w:val="1"/>
                <w:bCs w:val="1"/>
                <w:color w:val="auto"/>
              </w:rPr>
              <w:t>2015 (1)</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93"/>
              <w:spacing w:after="0" w:line="152" w:lineRule="exact"/>
              <w:rPr>
                <w:sz w:val="20"/>
                <w:szCs w:val="20"/>
                <w:color w:val="auto"/>
              </w:rPr>
            </w:pPr>
            <w:r>
              <w:rPr>
                <w:rFonts w:ascii="Times New Roman" w:cs="Times New Roman" w:eastAsia="Times New Roman" w:hAnsi="Times New Roman"/>
                <w:sz w:val="14"/>
                <w:szCs w:val="14"/>
                <w:b w:val="1"/>
                <w:bCs w:val="1"/>
                <w:color w:val="auto"/>
              </w:rPr>
              <w:t>2014 (1)</w:t>
            </w:r>
          </w:p>
        </w:tc>
        <w:tc>
          <w:tcPr>
            <w:tcW w:w="100" w:type="dxa"/>
            <w:vAlign w:val="bottom"/>
          </w:tcPr>
          <w:p>
            <w:pPr>
              <w:spacing w:after="0"/>
              <w:rPr>
                <w:sz w:val="13"/>
                <w:szCs w:val="13"/>
                <w:color w:val="auto"/>
              </w:rPr>
            </w:pPr>
          </w:p>
        </w:tc>
      </w:tr>
      <w:tr>
        <w:trPr>
          <w:trHeight w:val="152"/>
        </w:trPr>
        <w:tc>
          <w:tcPr>
            <w:tcW w:w="4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80" w:type="dxa"/>
            <w:vAlign w:val="bottom"/>
            <w:gridSpan w:val="8"/>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5"/>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License revenue (1)</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89,401</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00" w:type="dxa"/>
            <w:vAlign w:val="bottom"/>
            <w:shd w:val="clear" w:color="auto" w:fill="CFF0FC"/>
          </w:tcPr>
          <w:p>
            <w:pPr>
              <w:spacing w:after="0"/>
              <w:rPr>
                <w:sz w:val="19"/>
                <w:szCs w:val="19"/>
                <w:color w:val="auto"/>
              </w:rPr>
            </w:pPr>
          </w:p>
        </w:tc>
      </w:tr>
      <w:tr>
        <w:trPr>
          <w:trHeight w:val="225"/>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Development and other revenue (1)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46,429</w:t>
            </w:r>
          </w:p>
        </w:tc>
        <w:tc>
          <w:tcPr>
            <w:tcW w:w="100" w:type="dxa"/>
            <w:vAlign w:val="bottom"/>
          </w:tcPr>
          <w:p>
            <w:pPr>
              <w:spacing w:after="0"/>
              <w:rPr>
                <w:sz w:val="19"/>
                <w:szCs w:val="19"/>
                <w:color w:val="auto"/>
              </w:rPr>
            </w:pPr>
          </w:p>
        </w:tc>
      </w:tr>
      <w:tr>
        <w:trPr>
          <w:trHeight w:val="225"/>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revenue (1)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64,776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8"/>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(1)</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212,958</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130,996</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183,189</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127,221</w:t>
            </w:r>
          </w:p>
        </w:tc>
        <w:tc>
          <w:tcPr>
            <w:tcW w:w="100" w:type="dxa"/>
            <w:vAlign w:val="bottom"/>
          </w:tcPr>
          <w:p>
            <w:pPr>
              <w:spacing w:after="0"/>
              <w:rPr>
                <w:sz w:val="18"/>
                <w:szCs w:val="18"/>
                <w:color w:val="auto"/>
              </w:rPr>
            </w:pPr>
          </w:p>
        </w:tc>
      </w:tr>
      <w:tr>
        <w:trPr>
          <w:trHeight w:val="225"/>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150,794</w:t>
            </w:r>
          </w:p>
        </w:tc>
        <w:tc>
          <w:tcPr>
            <w:tcW w:w="100" w:type="dxa"/>
            <w:vAlign w:val="bottom"/>
          </w:tcPr>
          <w:p>
            <w:pPr>
              <w:spacing w:after="0"/>
              <w:rPr>
                <w:sz w:val="19"/>
                <w:szCs w:val="19"/>
                <w:color w:val="auto"/>
              </w:rPr>
            </w:pPr>
          </w:p>
        </w:tc>
      </w:tr>
      <w:tr>
        <w:trPr>
          <w:trHeight w:val="225"/>
        </w:trPr>
        <w:tc>
          <w:tcPr>
            <w:tcW w:w="4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General and administrative (2)</w:t>
            </w: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51,760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36,909</w:t>
            </w:r>
          </w:p>
        </w:tc>
        <w:tc>
          <w:tcPr>
            <w:tcW w:w="100" w:type="dxa"/>
            <w:vAlign w:val="bottom"/>
            <w:shd w:val="clear" w:color="auto" w:fill="CFF0FC"/>
          </w:tcPr>
          <w:p>
            <w:pPr>
              <w:spacing w:after="0"/>
              <w:rPr>
                <w:sz w:val="19"/>
                <w:szCs w:val="19"/>
                <w:color w:val="auto"/>
              </w:rPr>
            </w:pPr>
          </w:p>
        </w:tc>
      </w:tr>
      <w:tr>
        <w:trPr>
          <w:trHeight w:val="218"/>
        </w:trPr>
        <w:tc>
          <w:tcPr>
            <w:tcW w:w="424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299,651</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248,277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233,231</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258,453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187,703</w:t>
            </w:r>
          </w:p>
        </w:tc>
        <w:tc>
          <w:tcPr>
            <w:tcW w:w="100" w:type="dxa"/>
            <w:vAlign w:val="bottom"/>
            <w:tcBorders>
              <w:bottom w:val="single" w:sz="8" w:color="CFF0FC"/>
            </w:tcBorders>
          </w:tcPr>
          <w:p>
            <w:pPr>
              <w:spacing w:after="0"/>
              <w:rPr>
                <w:sz w:val="18"/>
                <w:szCs w:val="18"/>
                <w:color w:val="auto"/>
              </w:rPr>
            </w:pPr>
          </w:p>
        </w:tc>
      </w:tr>
      <w:tr>
        <w:trPr>
          <w:trHeight w:val="218"/>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(117,281)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(86,067)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(60,482)</w:t>
            </w:r>
          </w:p>
        </w:tc>
        <w:tc>
          <w:tcPr>
            <w:tcW w:w="100" w:type="dxa"/>
            <w:vAlign w:val="bottom"/>
            <w:shd w:val="clear" w:color="auto" w:fill="CFF0FC"/>
          </w:tcPr>
          <w:p>
            <w:pPr>
              <w:spacing w:after="0"/>
              <w:rPr>
                <w:sz w:val="18"/>
                <w:szCs w:val="18"/>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(10,991)</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9"/>
              <w:spacing w:after="0"/>
              <w:rPr>
                <w:sz w:val="20"/>
                <w:szCs w:val="20"/>
                <w:color w:val="auto"/>
              </w:rPr>
            </w:pPr>
            <w:r>
              <w:rPr>
                <w:rFonts w:ascii="Times New Roman" w:cs="Times New Roman" w:eastAsia="Times New Roman" w:hAnsi="Times New Roman"/>
                <w:sz w:val="18"/>
                <w:szCs w:val="18"/>
                <w:color w:val="auto"/>
              </w:rPr>
              <w:t>(9,706)</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(10,725)</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(11,033)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(11,108)</w:t>
            </w:r>
          </w:p>
        </w:tc>
      </w:tr>
      <w:tr>
        <w:trPr>
          <w:trHeight w:val="225"/>
        </w:trPr>
        <w:tc>
          <w:tcPr>
            <w:tcW w:w="42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Borders>
              <w:bottom w:val="single" w:sz="8" w:color="CFF0FC"/>
            </w:tcBorders>
          </w:tcPr>
          <w:p>
            <w:pPr>
              <w:spacing w:after="0"/>
              <w:rPr>
                <w:sz w:val="19"/>
                <w:szCs w:val="19"/>
                <w:color w:val="auto"/>
              </w:rPr>
            </w:pPr>
          </w:p>
        </w:tc>
      </w:tr>
      <w:tr>
        <w:trPr>
          <w:trHeight w:val="218"/>
        </w:trPr>
        <w:tc>
          <w:tcPr>
            <w:tcW w:w="4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00" w:type="dxa"/>
            <w:vAlign w:val="bottom"/>
            <w:shd w:val="clear" w:color="auto" w:fill="CFF0FC"/>
          </w:tcPr>
          <w:p>
            <w:pPr>
              <w:spacing w:after="0"/>
              <w:rPr>
                <w:sz w:val="18"/>
                <w:szCs w:val="18"/>
                <w:color w:val="auto"/>
              </w:rPr>
            </w:pPr>
          </w:p>
        </w:tc>
      </w:tr>
      <w:tr>
        <w:trPr>
          <w:trHeight w:val="21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00" w:type="dxa"/>
            <w:vAlign w:val="bottom"/>
          </w:tcPr>
          <w:p>
            <w:pPr>
              <w:spacing w:after="0"/>
              <w:rPr>
                <w:sz w:val="18"/>
                <w:szCs w:val="18"/>
                <w:color w:val="auto"/>
              </w:rPr>
            </w:pPr>
          </w:p>
        </w:tc>
      </w:tr>
      <w:tr>
        <w:trPr>
          <w:trHeight w:val="225"/>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4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(86,420)</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(120,875)</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(58,068)</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(94,221)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00" w:type="dxa"/>
            <w:vAlign w:val="bottom"/>
            <w:tcBorders>
              <w:bottom w:val="single" w:sz="8" w:color="CFF0FC"/>
            </w:tcBorders>
          </w:tcPr>
          <w:p>
            <w:pPr>
              <w:spacing w:after="0"/>
              <w:rPr>
                <w:sz w:val="22"/>
                <w:szCs w:val="22"/>
                <w:color w:val="auto"/>
              </w:rPr>
            </w:pPr>
          </w:p>
        </w:tc>
      </w:tr>
      <w:tr>
        <w:trPr>
          <w:trHeight w:val="205"/>
        </w:trPr>
        <w:tc>
          <w:tcPr>
            <w:tcW w:w="42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280" w:type="dxa"/>
            <w:vAlign w:val="bottom"/>
            <w:shd w:val="clear" w:color="auto" w:fill="CFF0FC"/>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(0.93)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17"/>
                <w:szCs w:val="17"/>
                <w:color w:val="auto"/>
              </w:rPr>
            </w:pPr>
          </w:p>
        </w:tc>
      </w:tr>
      <w:tr>
        <w:trPr>
          <w:trHeight w:val="20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used in net loss per share - basic and diluted</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818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1850" cy="8255"/>
                    </a:xfrm>
                    <a:prstGeom prst="rect">
                      <a:avLst/>
                    </a:prstGeom>
                    <a:noFill/>
                  </pic:spPr>
                </pic:pic>
              </a:graphicData>
            </a:graphic>
          </wp:anchor>
        </w:drawing>
      </w:r>
    </w:p>
    <w:p>
      <w:pPr>
        <w:spacing w:after="0" w:line="212" w:lineRule="exact"/>
        <w:rPr>
          <w:sz w:val="20"/>
          <w:szCs w:val="20"/>
          <w:color w:val="auto"/>
        </w:rPr>
      </w:pPr>
    </w:p>
    <w:p>
      <w:pPr>
        <w:ind w:left="220" w:right="2340" w:hanging="214"/>
        <w:spacing w:after="0" w:line="273" w:lineRule="auto"/>
        <w:tabs>
          <w:tab w:leader="none" w:pos="2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years ended December 31, 2017, 2016, 2015 and 2014 were recast to reflect the adoption of the new revenue standards. See Note 2 to the consolidated financial statements.</w:t>
      </w:r>
    </w:p>
    <w:p>
      <w:pPr>
        <w:spacing w:after="0" w:line="191"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included in our results of operations: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4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79"/>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6"/>
              <w:spacing w:after="0" w:line="15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4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5"/>
        </w:trPr>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54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52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2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42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52,142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3"/>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49" w:right="2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2017 (1)</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2016 (1)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 (1)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2014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89,258</w:t>
            </w:r>
          </w:p>
        </w:tc>
        <w:tc>
          <w:tcPr>
            <w:tcW w:w="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673,658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173,782</w:t>
            </w:r>
          </w:p>
        </w:tc>
        <w:tc>
          <w:tcPr>
            <w:tcW w:w="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153,324</w:t>
            </w:r>
          </w:p>
        </w:tc>
        <w:tc>
          <w:tcPr>
            <w:tcW w:w="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28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587,964</w:t>
            </w:r>
          </w:p>
        </w:tc>
        <w:tc>
          <w:tcPr>
            <w:tcW w:w="30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72,566</w:t>
            </w:r>
          </w:p>
        </w:tc>
        <w:tc>
          <w:tcPr>
            <w:tcW w:w="240" w:type="dxa"/>
            <w:vAlign w:val="bottom"/>
          </w:tcPr>
          <w:p>
            <w:pPr>
              <w:spacing w:after="0"/>
              <w:rPr>
                <w:sz w:val="19"/>
                <w:szCs w:val="19"/>
                <w:color w:val="auto"/>
              </w:rPr>
            </w:pP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150,407</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159,567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(1)</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600,982</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663,010</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192,806</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131,468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880,598</w:t>
            </w:r>
          </w:p>
        </w:tc>
        <w:tc>
          <w:tcPr>
            <w:tcW w:w="30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898,650</w:t>
            </w:r>
          </w:p>
        </w:tc>
        <w:tc>
          <w:tcPr>
            <w:tcW w:w="240" w:type="dxa"/>
            <w:vAlign w:val="bottom"/>
          </w:tcPr>
          <w:p>
            <w:pPr>
              <w:spacing w:after="0"/>
              <w:rPr>
                <w:sz w:val="19"/>
                <w:szCs w:val="19"/>
                <w:color w:val="auto"/>
              </w:rPr>
            </w:pP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469,552</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470,574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(1)</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149,880</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154,911</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154,737</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141,511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28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98,105</w:t>
            </w:r>
          </w:p>
        </w:tc>
        <w:tc>
          <w:tcPr>
            <w:tcW w:w="30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98,476</w:t>
            </w:r>
          </w:p>
        </w:tc>
        <w:tc>
          <w:tcPr>
            <w:tcW w:w="240" w:type="dxa"/>
            <w:vAlign w:val="bottom"/>
          </w:tcPr>
          <w:p>
            <w:pPr>
              <w:spacing w:after="0"/>
              <w:rPr>
                <w:sz w:val="19"/>
                <w:szCs w:val="19"/>
                <w:color w:val="auto"/>
              </w:rPr>
            </w:pP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97,856</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97,445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 (1)</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(715,827)</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(630,657)</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(509,782)</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(451,714)</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(357,493)</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(1)</w:t>
            </w:r>
          </w:p>
        </w:tc>
        <w:tc>
          <w:tcPr>
            <w:tcW w:w="28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509,199</w:t>
            </w:r>
          </w:p>
        </w:tc>
        <w:tc>
          <w:tcPr>
            <w:tcW w:w="300" w:type="dxa"/>
            <w:vAlign w:val="bottom"/>
          </w:tcPr>
          <w:p>
            <w:pPr>
              <w:spacing w:after="0"/>
              <w:rPr>
                <w:sz w:val="19"/>
                <w:szCs w:val="19"/>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528,467</w:t>
            </w:r>
          </w:p>
        </w:tc>
        <w:tc>
          <w:tcPr>
            <w:tcW w:w="240" w:type="dxa"/>
            <w:vAlign w:val="bottom"/>
          </w:tcPr>
          <w:p>
            <w:pPr>
              <w:spacing w:after="0"/>
              <w:rPr>
                <w:sz w:val="19"/>
                <w:szCs w:val="19"/>
                <w:color w:val="auto"/>
              </w:rPr>
            </w:pP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115,798</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133,902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19,271</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19,271</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19,271</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19,271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(deficit) (1)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528,470</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547,738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135,069</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153,173</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71818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1850" cy="8255"/>
                    </a:xfrm>
                    <a:prstGeom prst="rect">
                      <a:avLst/>
                    </a:prstGeom>
                    <a:noFill/>
                  </pic:spPr>
                </pic:pic>
              </a:graphicData>
            </a:graphic>
          </wp:anchor>
        </w:drawing>
      </w:r>
    </w:p>
    <w:p>
      <w:pPr>
        <w:spacing w:after="0" w:line="207" w:lineRule="exact"/>
        <w:rPr>
          <w:sz w:val="20"/>
          <w:szCs w:val="20"/>
          <w:color w:val="auto"/>
        </w:rPr>
      </w:pPr>
    </w:p>
    <w:p>
      <w:pPr>
        <w:ind w:left="220" w:right="2180" w:hanging="214"/>
        <w:spacing w:after="0" w:line="273" w:lineRule="auto"/>
        <w:tabs>
          <w:tab w:leader="none" w:pos="2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and accumulated deficit as of December 31, 2017, 2016, 2015 and 2014 were recast to reflect the adoption of the new revenue standards. 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and other financial information included in Item 15 of this Annual Report on Form 10-K. Some of the information contained in this discussion and analysis or set forth elsewhere in this Annual Report, including information with respect to our plans and strategy for our business, international operations and product candidates, includes forward-looking statements that involve risks and uncertainties. You should review the “Risk Factors” section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We were incorporated in 1993 in Delaware and are a leading biopharmaceutical company discovering and developing a pipeline of first-in-class therapeutics. We have applied our pioneering expertise in hypoxia-inducible factor (“HIF”) and connective tissue growth factor (“CTGF”) biology to develop innovative medicines for the treatment of anemia, fibrotic disease, and cancer. Roxadustat (FG-4592), our most advanced product candidate, is an oral small molecule inhibitor of HIF prolyl hydroxylase (“HIF-PH”) activity. Roxadustat has received approval of its New Drug Application (“NDA”) in anemia associated with chronic kidney disease (“CKD”) in dialysis-dependent (“DD”) patients from the National Medical Products Administration (“NMPA”) of the People’s Republic of China (“China”). In conjunction with our collaboration partners, AstraZeneca AB (“AstraZeneca”) and Astellas Pharma Inc. (“Astellas”), we have completed the Phase 3 trials of roxadustat intended to support our NDA in the United States (“U.S.”) and Marketing Authorization Application (“MAA”) in the European Union (“EU”) for the treatment of anemia in CKD. We and our partners are in the process of preparing an NDA for submission to the U.S. Food and Drug Administration (“FDA”) and an MAA for submission to the European Medicines Agency this year. Both the U.S. NDA and European MAA for roxadustat are expected to cover anemia associated with dialysis-dependent CKD and non-dialysis-dependent CKD. In Japan, our partner Astellas has filed an NDA for roxadustat for the treatment of anemia in dialysis patients with the Pharmaceuticals and Medical Devices Agency (“PMDA”). We are also in Phase 3 clinical development for the treatment of anemia associated with myelodysplastic syndromes (“MDS”). Pamrevlumab, a human monoclonal antibody that inhibits the activity of CTGF, is advancing towards Phase 3 clinical development for the treatment of idiopathic pulmonary fibrosis (“IPF”) and pancreatic cancer, and is currently in a Phase 2 trial for Duchenne muscular dystrophy (“DMD”).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2"/>
        </w:trPr>
        <w:tc>
          <w:tcPr>
            <w:tcW w:w="4980" w:type="dxa"/>
            <w:vAlign w:val="bottom"/>
          </w:tcPr>
          <w:p>
            <w:pPr>
              <w:spacing w:after="0"/>
              <w:rPr>
                <w:sz w:val="13"/>
                <w:szCs w:val="13"/>
                <w:color w:val="auto"/>
              </w:rPr>
            </w:pPr>
          </w:p>
        </w:tc>
        <w:tc>
          <w:tcPr>
            <w:tcW w:w="1180" w:type="dxa"/>
            <w:vAlign w:val="bottom"/>
            <w:tcBorders>
              <w:bottom w:val="single" w:sz="8" w:color="auto"/>
            </w:tcBorders>
          </w:tcPr>
          <w:p>
            <w:pPr>
              <w:jc w:val="right"/>
              <w:ind w:right="41"/>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1018"/>
              <w:spacing w:after="0" w:line="152" w:lineRule="exact"/>
              <w:rPr>
                <w:sz w:val="20"/>
                <w:szCs w:val="20"/>
                <w:color w:val="auto"/>
              </w:rPr>
            </w:pPr>
            <w:r>
              <w:rPr>
                <w:rFonts w:ascii="Times New Roman" w:cs="Times New Roman" w:eastAsia="Times New Roman" w:hAnsi="Times New Roman"/>
                <w:sz w:val="14"/>
                <w:szCs w:val="14"/>
                <w:b w:val="1"/>
                <w:bCs w:val="1"/>
                <w:color w:val="auto"/>
              </w:rPr>
              <w:t>2017 *</w:t>
            </w: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76"/>
              <w:spacing w:after="0" w:line="152" w:lineRule="exact"/>
              <w:rPr>
                <w:sz w:val="20"/>
                <w:szCs w:val="20"/>
                <w:color w:val="auto"/>
              </w:rPr>
            </w:pPr>
            <w:r>
              <w:rPr>
                <w:rFonts w:ascii="Times New Roman" w:cs="Times New Roman" w:eastAsia="Times New Roman" w:hAnsi="Times New Roman"/>
                <w:sz w:val="14"/>
                <w:szCs w:val="14"/>
                <w:b w:val="1"/>
                <w:bCs w:val="1"/>
                <w:color w:val="auto"/>
              </w:rPr>
              <w:t>2016 *</w:t>
            </w:r>
          </w:p>
        </w:tc>
        <w:tc>
          <w:tcPr>
            <w:tcW w:w="120" w:type="dxa"/>
            <w:vAlign w:val="bottom"/>
          </w:tcPr>
          <w:p>
            <w:pPr>
              <w:spacing w:after="0"/>
              <w:rPr>
                <w:sz w:val="13"/>
                <w:szCs w:val="13"/>
                <w:color w:val="auto"/>
              </w:rPr>
            </w:pPr>
          </w:p>
        </w:tc>
      </w:tr>
      <w:tr>
        <w:trPr>
          <w:trHeight w:val="152"/>
        </w:trPr>
        <w:tc>
          <w:tcPr>
            <w:tcW w:w="4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60" w:type="dxa"/>
            <w:vAlign w:val="bottom"/>
            <w:gridSpan w:val="3"/>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99"/>
              </w:rPr>
              <w:t>(in thousands, except for per share data)</w:t>
            </w: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5"/>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tcPr>
          <w:p>
            <w:pPr>
              <w:jc w:val="right"/>
              <w:ind w:right="102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212,958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rPr>
              <w:t>130,996</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183,189</w:t>
            </w:r>
          </w:p>
        </w:tc>
        <w:tc>
          <w:tcPr>
            <w:tcW w:w="120" w:type="dxa"/>
            <w:vAlign w:val="bottom"/>
          </w:tcPr>
          <w:p>
            <w:pPr>
              <w:spacing w:after="0"/>
              <w:rPr>
                <w:sz w:val="19"/>
                <w:szCs w:val="19"/>
                <w:color w:val="auto"/>
              </w:rPr>
            </w:pPr>
          </w:p>
        </w:tc>
      </w:tr>
      <w:tr>
        <w:trPr>
          <w:trHeight w:val="225"/>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299,651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18"/>
                <w:szCs w:val="18"/>
                <w:color w:val="auto"/>
              </w:rPr>
              <w:t>248,277</w:t>
            </w: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233,231</w:t>
            </w:r>
          </w:p>
        </w:tc>
        <w:tc>
          <w:tcPr>
            <w:tcW w:w="120" w:type="dxa"/>
            <w:vAlign w:val="bottom"/>
            <w:shd w:val="clear" w:color="auto" w:fill="CFF0FC"/>
          </w:tcPr>
          <w:p>
            <w:pPr>
              <w:spacing w:after="0"/>
              <w:rPr>
                <w:sz w:val="19"/>
                <w:szCs w:val="19"/>
                <w:color w:val="auto"/>
              </w:rPr>
            </w:pPr>
          </w:p>
        </w:tc>
      </w:tr>
      <w:tr>
        <w:trPr>
          <w:trHeight w:val="225"/>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(120,875)</w:t>
            </w:r>
          </w:p>
        </w:tc>
        <w:tc>
          <w:tcPr>
            <w:tcW w:w="34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(58,068)</w:t>
            </w:r>
          </w:p>
        </w:tc>
      </w:tr>
      <w:tr>
        <w:trPr>
          <w:trHeight w:val="225"/>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18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18"/>
                <w:szCs w:val="18"/>
                <w:color w:val="auto"/>
              </w:rPr>
              <w:t>(1.66)</w:t>
            </w:r>
          </w:p>
        </w:tc>
        <w:tc>
          <w:tcPr>
            <w:tcW w:w="3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(0.93)</w:t>
            </w:r>
          </w:p>
        </w:tc>
      </w:tr>
      <w:tr>
        <w:trPr>
          <w:trHeight w:val="450"/>
        </w:trPr>
        <w:tc>
          <w:tcPr>
            <w:tcW w:w="4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40" w:type="dxa"/>
            <w:vAlign w:val="bottom"/>
          </w:tcPr>
          <w:p>
            <w:pPr>
              <w:spacing w:after="0"/>
              <w:rPr>
                <w:sz w:val="24"/>
                <w:szCs w:val="24"/>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152"/>
        </w:trPr>
        <w:tc>
          <w:tcPr>
            <w:tcW w:w="4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5"/>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rPr>
              <w:t>89,258</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673,658</w:t>
            </w:r>
          </w:p>
        </w:tc>
        <w:tc>
          <w:tcPr>
            <w:tcW w:w="120" w:type="dxa"/>
            <w:vAlign w:val="bottom"/>
          </w:tcPr>
          <w:p>
            <w:pPr>
              <w:spacing w:after="0"/>
              <w:rPr>
                <w:sz w:val="19"/>
                <w:szCs w:val="19"/>
                <w:color w:val="auto"/>
              </w:rPr>
            </w:pPr>
          </w:p>
        </w:tc>
      </w:tr>
      <w:tr>
        <w:trPr>
          <w:trHeight w:val="225"/>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1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18"/>
                <w:szCs w:val="18"/>
                <w:color w:val="auto"/>
              </w:rPr>
              <w:t>587,964</w:t>
            </w:r>
          </w:p>
        </w:tc>
        <w:tc>
          <w:tcPr>
            <w:tcW w:w="3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72,566</w:t>
            </w:r>
          </w:p>
        </w:tc>
        <w:tc>
          <w:tcPr>
            <w:tcW w:w="120" w:type="dxa"/>
            <w:vAlign w:val="bottom"/>
            <w:shd w:val="clear" w:color="auto" w:fill="CFF0FC"/>
          </w:tcPr>
          <w:p>
            <w:pPr>
              <w:spacing w:after="0"/>
              <w:rPr>
                <w:sz w:val="19"/>
                <w:szCs w:val="19"/>
                <w:color w:val="auto"/>
              </w:rPr>
            </w:pPr>
          </w:p>
        </w:tc>
      </w:tr>
      <w:tr>
        <w:trPr>
          <w:trHeight w:val="231"/>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rPr>
              <w:t>63,684</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20" w:type="dxa"/>
            <w:vAlign w:val="bottom"/>
          </w:tcPr>
          <w:p>
            <w:pPr>
              <w:spacing w:after="0"/>
              <w:rPr>
                <w:sz w:val="20"/>
                <w:szCs w:val="20"/>
                <w:color w:val="auto"/>
              </w:rPr>
            </w:pPr>
          </w:p>
        </w:tc>
      </w:tr>
    </w:tbl>
    <w:p>
      <w:pPr>
        <w:spacing w:after="0" w:line="134" w:lineRule="exact"/>
        <w:rPr>
          <w:sz w:val="20"/>
          <w:szCs w:val="20"/>
          <w:color w:val="auto"/>
        </w:rPr>
      </w:pPr>
    </w:p>
    <w:p>
      <w:pPr>
        <w:ind w:left="5580" w:right="3040" w:hanging="5574"/>
        <w:spacing w:after="0" w:line="519" w:lineRule="auto"/>
        <w:tabs>
          <w:tab w:leader="none" w:pos="4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Recast to reflect the adoption of the new revenue standards. See Note 2 to the consolidated financial statements.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-564515</wp:posOffset>
            </wp:positionV>
            <wp:extent cx="12109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1094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-97790</wp:posOffset>
            </wp:positionV>
            <wp:extent cx="729170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07" w:name="page108"/>
    <w:bookmarkEnd w:id="107"/>
    <w:p>
      <w:pPr>
        <w:spacing w:after="0" w:line="264" w:lineRule="auto"/>
        <w:rPr>
          <w:sz w:val="20"/>
          <w:szCs w:val="20"/>
          <w:color w:val="auto"/>
        </w:rPr>
      </w:pPr>
      <w:r>
        <w:rPr>
          <w:rFonts w:ascii="Times New Roman" w:cs="Times New Roman" w:eastAsia="Times New Roman" w:hAnsi="Times New Roman"/>
          <w:sz w:val="17"/>
          <w:szCs w:val="17"/>
          <w:color w:val="auto"/>
        </w:rPr>
        <w:t>Our revenue for the year ended December 31, 2018 increased compared to the prior year primarily due to the $64.8 million product revenue for API delivered during 2018, under the amendment to the collaboration agreement with Astellas for roxadustat for the treatment of anemia in Japan (“Japan Agreement”), to conduct commercial scale manufacturing validation for roxadustat drug product in anticipation of commercial launch in Japan. In addition, we recognized substantially the entire $15.0 million regulatory milestone associated with an NDA submission during 2018 in Japan that was included in the transaction price and allocated to performance obligations under the Japan Agreement in the second quarter of 2018. Moreover, during the fourth quarter of 2018, a $6.0 million milestone payable was triggered under the collaboration agreements with AstraZeneca upon our receipt of marketing authorization from the NMPA for roxadustat, a first-in-class hypoxia-inducible factor prolyl hydroxylase inhibitor, for the treatment of anemia caused by CKD in patients on dialysis. Another $6.0 million milestone payable was triggered under the collaboration agreement with AstraZeneca upon our receipt of First Manufacturing Approval for a Product in the Field in the Territory, which allows production for Phase IV clinical studies, patients’ early experience programs, donation programs, as well as to supply products for testing and assessments required prior to launch. Approximately $9.9 million of the total $12.0 million milestone payables was recognized as revenue during the fourth quarter of 2018 from performance obligations satisfied or partially satisfied. Comparatively, we received a $15.0 million milestone revenue recorded under our collaboration agreements with AstraZeneca, during the fourth quarter of 2017, $11.5 million of which was recognized during 2017.</w:t>
      </w:r>
    </w:p>
    <w:p>
      <w:pPr>
        <w:spacing w:after="0" w:line="17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Operating expenses increased for the year ended December 31, 2018 compared to the prior year primarily due to $22.4 million higher drug development expenses associated with drug substance manufacturing activities related to pamrevlumab, $14.6 million higher stock-based compensation due to the cumulative impact of stock option grant activities, $12.9 million higher employee-related expenses resulting from higher average compensation level and higher headcount, and $8.4 million higher facility related expenses relative to the prior period in which our property taxes were reduced as a result of a final settlement received for historical property tax payments, as well as higher property management and maintenance costs during the current year. The increases were partially offset by $11.3 million lower clinical trial activities related to roxadustat and pamrevlumab.</w:t>
      </w:r>
    </w:p>
    <w:p>
      <w:pPr>
        <w:spacing w:after="0" w:line="18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Our research and development expenses were $235.8 million, $196.5 million and $187.2 million for the years ended December 31, 2018, 2017 and 2016, respectively. Since inception and through December 31, 2018, we have incurred a total of $1,752.0 million in research and development expenses, a majority of which relates to the development of roxadustat, pamrevlumab and other HIF-PH inhibitors. We expect to continue to incur significant expenses and operating losses over at least the next several years and we expect our research and development expenses to continue to increase in the future as we advance our product candidates through clinical trials and expand our product candidate portfolio. In addition, we expect to incur significant expenses relating to seeking regulatory approval for our product candidates and commercializing those products in various markets, including China. We consider the active management and development of our clinical pipeline to be particularly crucial to our long-term success. The process of conducting the necessary clinical research to obtain regulatory approval is costly and time consuming.</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actual probability of success for each of our product candidates and clinical programs, and our ability to generate product revenue and become profitable, depends upon a variety of factors, including the quality of the product candidate, clinical results, investment in the program, competition, manufacturing capability, commercial viability, and our and our partners’ ability to successfully execute our development and commercialization plans. For a description of the numerous risks and uncertainties associated with product development,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480"/>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2018, we had a net loss of $86.4 million, or net loss per basic and diluted share of $1.03, as compared to a net loss of $120.9 million, or net loss per basic and diluted share of $1.66 for the prior year, primarily due to an increase in revenue, partially offset by an increase in operating expenses.</w:t>
      </w:r>
    </w:p>
    <w:p>
      <w:pPr>
        <w:spacing w:after="0" w:line="177"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Cash and cash equivalents, investments and accounts receivable totaled $740.9 million at December 31, 2018, a decrease of $13.8 million from December 31, 2017, primarily due to cash used in operations.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w:t>
      </w:r>
    </w:p>
    <w:p>
      <w:pPr>
        <w:spacing w:after="0" w:line="11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Roxadustat, our most advanced product candidate, has received approval of its NDA in anemia associated with CKD in dialysis-dependent patients from the NMPA of China. In conjunction with our collaboration partners, we have completed the Phase 3 trials of roxadustat intended to support our NDA in the U.S. and MAA in the EU for the treatment of anemia in CKD. In Japan, Astellas submitted an NDA for the treatment of anemia in CKD patients on dialysis in September 2018, which is currently under review by the PMDA. Beyond anemia in CKD, roxadustat is in Phase 3 clinical development in the U.S. and Europe and in Phase 2/3 development in China for anemia associated with MDS.</w:t>
      </w:r>
    </w:p>
    <w:p>
      <w:pPr>
        <w:spacing w:after="0" w:line="18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Pamrevlumab, a human monoclonal antibody that inhibits the activity of CTGF, is advancing towards Phase 3 clinical development for the treatment of IPF and pancreatic cancer, and is currently in a Phase 2 trial for DMD.</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1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w:t>
      </w:r>
    </w:p>
    <w:p>
      <w:pPr>
        <w:spacing w:after="0" w:line="11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In June 2005, we entered into the Japan Agreement with Astellas for roxadustat for the treatment of anemia in Japan.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7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share responsibility with Astellas for clinical development activities required for the U.S. and the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including development cost reimbursement and product sales-related payments, through December 31, 2018 totals $487.6 million.</w:t>
      </w:r>
    </w:p>
    <w:p>
      <w:pPr>
        <w:spacing w:after="0" w:line="18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During 2016, we recognized $10.0 million of revenue as a result of the initiation by Astellas of the first Phase 3 clinical study in Japan of roxadustat for treatment of anemia associated with CKD in patients on dialysis. During the second quarter of 2018, Astellas reported positive results from the final Phase 3 CKD-dialysis trial of roxadustat in Japan, indicating that Astellas was ready to make an NDA submission for the treatment of anemia with roxadustat in CKD-dialysis patients in 2018. We evaluated the regulatory milestone payment associated with NDA submission in Japan based on variable consideration requirements under the current revenue standards and concluded that this milestone became probable of being achieved in the second quarter of 2018. Accordingly, the consideration of $15.0 million associated with this milestone was included in the transaction price and allocated to performance obligations under the Japan Agreement, substantially all of which was recognized as revenue in 2018.</w:t>
      </w:r>
    </w:p>
    <w:p>
      <w:pPr>
        <w:spacing w:after="0" w:line="186"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On November 30, 2018, FibroGen and Astellas entered into an amendment to the Japan Agreement that will allow Astellas to manufacture roxadustat drug product for commercialization in Japan (the “Japan Amendment”). Under this amendment, FibroGen would continue to manufacture and deliver to Astellas roxadustat API. The commercial terms of the Japan Agreement relating to the transfer price for roxadustat for commercial use remain substantially the same, reflecting an adjustment for the manufacture of drug product by Astellas rather than FibroGen. This amendment obligates Astellas to purchase API from FibroGen, of which $20.9 million was delivered to Astellas in the second quarter of 2018 under a material transfer agreement to conduct commercial scale manufacturing validation for roxadustat drug product in anticipation of commercial launch in Japan. The remaining $43.9 million of API was delivered to Astellas in December 2018.</w:t>
      </w:r>
    </w:p>
    <w:p>
      <w:pPr>
        <w:spacing w:after="0" w:line="186"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In the fourth quarter of 2018, we were engaged in the final stages of review with our partners over the proposed development of roxadustat for the treatment of chemotherapy induced anemia (“CIA”). AstraZeneca and Astellas approved the program in December 2018 and January 2019, respectively. Costs associated with the development of this indication are shared 50-50 between our two partners. For revenue recognition purposes, the Company concluded that this new indication represents a modification to the Europe agreements and will be accounted for separately, meaning the development costs associated with the new indications are distinct from the original development costs. The development service period for roxadustat for the treatment of CIA under the Europe Agreement is estimated to continue through the end of 2023 to allow for development of this indication.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09" w:name="page110"/>
    <w:bookmarkEnd w:id="109"/>
    <w:p>
      <w:pPr>
        <w:spacing w:after="0" w:line="273" w:lineRule="auto"/>
        <w:rPr>
          <w:sz w:val="20"/>
          <w:szCs w:val="20"/>
          <w:color w:val="auto"/>
        </w:rPr>
      </w:pPr>
      <w:r>
        <w:rPr>
          <w:rFonts w:ascii="Times New Roman" w:cs="Times New Roman" w:eastAsia="Times New Roman" w:hAnsi="Times New Roman"/>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 of December 31, 2018, Astellas had separate investments of $80.5 million in the equity of FibroGen, Inc.</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2015, we reached the $116.5 million cap on our initial funding obligations (during which time we shared 50% of the joint initial development costs), therefore all development and commercialization costs for roxadustat for the treatment of anemia in CKD in the U.S., Europe, Japan and all other markets outside of China have been paid by Astellas and AstraZeneca since reaching the cap.</w:t>
      </w:r>
    </w:p>
    <w:p>
      <w:pPr>
        <w:spacing w:after="0" w:line="17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5"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December 31, 2018 totals $432.2 million.</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 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2016, we received an upfront payment of $62.0 million as a time based development milestone.</w:t>
      </w:r>
    </w:p>
    <w:p>
      <w:pPr>
        <w:spacing w:after="0" w:line="24"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color w:val="auto"/>
        </w:rPr>
        <w:t>In October 2017, then the China Food and Drug Administration (“CFDA,” now known as the NMPA) accepted our NDA for registration of roxadustat for anemia in dialysis-dependent CKD and non-dialysis-dependent CKD (“NDD-CKD”) patients. This NDA submission triggered a $15.0 million milestone payment to us by AstraZeneca, which became probable of being achieved during the third quarter of 2017, and therefore partially recognized as revenue under the new revenue standards during 2017.</w:t>
      </w:r>
    </w:p>
    <w:p>
      <w:pPr>
        <w:spacing w:after="0" w:line="18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December 17, 2018, FibroGen (China) Medical Technology Development Co., Ltd. (“FibroGen China”), received marketing authorization from the NMPA for roxadustat, a first-in-class hypoxia-inducible factor prolyl hydroxylase inhibitor, for the treatment of anemia caused by CKD in patients on dialysis. This approval triggered a $6.0 million milestone payable to us by AstraZeneca. On December 29, 2018, FibroGen China received First Manufacturing Approval for a Product in the Field in the Territory, which allows production for Phase IV clinical studies, patients’ early experience programs, donation programs, as well as to supply products for testing and assessments required prior to launch. This approval triggered a $6.0 million milestone payable to us by AstraZeneca. Approximately $9.9 million of the total $12.0 million milestone payables was recognized as revenue during the fourth quarter of 2018 from performance obligations satisfied or partially satisfied.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10" w:name="page111"/>
    <w:bookmarkEnd w:id="110"/>
    <w:p>
      <w:pPr>
        <w:ind w:right="60"/>
        <w:spacing w:after="0" w:line="252" w:lineRule="auto"/>
        <w:rPr>
          <w:sz w:val="20"/>
          <w:szCs w:val="20"/>
          <w:color w:val="auto"/>
        </w:rPr>
      </w:pPr>
      <w:r>
        <w:rPr>
          <w:rFonts w:ascii="Times New Roman" w:cs="Times New Roman" w:eastAsia="Times New Roman" w:hAnsi="Times New Roman"/>
          <w:sz w:val="18"/>
          <w:szCs w:val="18"/>
          <w:color w:val="auto"/>
        </w:rPr>
        <w:t>In September 2016, AstraZeneca approved the protocol related to the development of roxadustat for the treatment of anemia in patients with MDS, for which we have received approval from then the CFDA (now known as the NMPA) for our clinical trial application for a Phase 2/3 trial and acceptance of our Investigational New Drug Application from the U.S. Food and Drug Administration for a Phase 3 trial. As a result, for revenue recognition purposes, during the third quarter of 2016, we extended the estimated joint development service period for the AstraZeneca agreements from the end of 2018 to the end of 2020, to allow for development of MDS.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As mentioned above, in the fourth quarter of 2018, we were engaged in the final stages of review with our partners over the proposed development of roxadustat for the treatment of CIA. AstraZeneca and Astellas approved the program in December 2018 and January 2019, respectively. Costs associated with the development of this indication are expected to be shared 50-50 between our two partners. In addition to CIA, in December 2018, anemia of chronic inflammation (“ACI”) and multiple myeloma (“MM”) have been approved for development by AstraZeneca and is expected to be fully funded by them. For revenue recognition purposes, we concluded that the approval of additional research and development services for these new indications represent modifications to our collaboration agreements in the periods in which approval was received. The research and development services associated with the new indications are distinct from other promises in our collaboration agreements, and will be accounted for separately. The development service period for roxadustat for the treatment of CIA, ACI and MM under the AstraZeneca agreements is estimated to continue through the end of 2024, to allow for development of these additional indications.</w:t>
      </w:r>
    </w:p>
    <w:p>
      <w:pPr>
        <w:spacing w:after="0" w:line="174"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0"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Related to Collaboration Agreements</w:t>
      </w:r>
    </w:p>
    <w:p>
      <w:pPr>
        <w:spacing w:after="0" w:line="115"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7"/>
          <w:szCs w:val="17"/>
          <w:color w:val="auto"/>
        </w:rPr>
        <w:t>Of the $1.113.5 billion in development and regulatory milestones payable in the aggregate under our Astellas and AstraZeneca collaboration agreements, $425.0 million is payable upon achievement of milestones relating to the submission and approval of roxadustat in DD-CKD and NDD-CKD in the U.S. and Europe.</w:t>
      </w:r>
    </w:p>
    <w:p>
      <w:pPr>
        <w:spacing w:after="0" w:line="138"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For more detailed discussions on the accounting for these agreements, refer to Note 3 to the consolidated financial statements. In addition, refer to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Collaborations</w:t>
      </w:r>
      <w:r>
        <w:rPr>
          <w:rFonts w:ascii="Times New Roman" w:cs="Times New Roman" w:eastAsia="Times New Roman" w:hAnsi="Times New Roman"/>
          <w:sz w:val="18"/>
          <w:szCs w:val="18"/>
          <w:color w:val="auto"/>
        </w:rPr>
        <w:t>” for a more detailed description of our collaboration agreements.</w:t>
      </w:r>
    </w:p>
    <w:p>
      <w:pPr>
        <w:spacing w:after="0" w:line="162"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18"/>
          <w:szCs w:val="18"/>
          <w:color w:val="auto"/>
        </w:rPr>
        <w:t>Total cash consideration received through December 31, 2018 and potential cash consideration, other than development cost reimbursement, transfer price payments, royalties and profit share, pursuant to our existing collaboration agreements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340" w:type="dxa"/>
            <w:vAlign w:val="bottom"/>
          </w:tcPr>
          <w:p>
            <w:pPr>
              <w:spacing w:after="0"/>
              <w:rPr>
                <w:sz w:val="13"/>
                <w:szCs w:val="13"/>
                <w:color w:val="auto"/>
              </w:rPr>
            </w:pPr>
          </w:p>
        </w:tc>
        <w:tc>
          <w:tcPr>
            <w:tcW w:w="180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6"/>
        </w:trPr>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2"/>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Received Through</w:t>
            </w:r>
          </w:p>
        </w:tc>
        <w:tc>
          <w:tcPr>
            <w:tcW w:w="340" w:type="dxa"/>
            <w:vAlign w:val="bottom"/>
          </w:tcPr>
          <w:p>
            <w:pPr>
              <w:spacing w:after="0"/>
              <w:rPr>
                <w:sz w:val="12"/>
                <w:szCs w:val="12"/>
                <w:color w:val="auto"/>
              </w:rPr>
            </w:pPr>
          </w:p>
        </w:tc>
        <w:tc>
          <w:tcPr>
            <w:tcW w:w="1800" w:type="dxa"/>
            <w:vAlign w:val="bottom"/>
          </w:tcPr>
          <w:p>
            <w:pPr>
              <w:jc w:val="center"/>
              <w:ind w:right="258"/>
              <w:spacing w:after="0" w:line="146" w:lineRule="exact"/>
              <w:rPr>
                <w:sz w:val="20"/>
                <w:szCs w:val="20"/>
                <w:color w:val="auto"/>
              </w:rPr>
            </w:pPr>
            <w:r>
              <w:rPr>
                <w:rFonts w:ascii="Times New Roman" w:cs="Times New Roman" w:eastAsia="Times New Roman" w:hAnsi="Times New Roman"/>
                <w:sz w:val="14"/>
                <w:szCs w:val="14"/>
                <w:b w:val="1"/>
                <w:bCs w:val="1"/>
                <w:color w:val="auto"/>
              </w:rPr>
              <w:t>Potential</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0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Potential</w:t>
            </w:r>
          </w:p>
        </w:tc>
      </w:tr>
      <w:tr>
        <w:trPr>
          <w:trHeight w:val="170"/>
        </w:trPr>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40" w:type="dxa"/>
            <w:vAlign w:val="bottom"/>
          </w:tcPr>
          <w:p>
            <w:pPr>
              <w:spacing w:after="0"/>
              <w:rPr>
                <w:sz w:val="14"/>
                <w:szCs w:val="14"/>
                <w:color w:val="auto"/>
              </w:rPr>
            </w:pPr>
          </w:p>
        </w:tc>
        <w:tc>
          <w:tcPr>
            <w:tcW w:w="180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Cash Payments</w:t>
            </w:r>
          </w:p>
        </w:tc>
      </w:tr>
      <w:tr>
        <w:trPr>
          <w:trHeight w:val="152"/>
        </w:trPr>
        <w:tc>
          <w:tcPr>
            <w:tcW w:w="4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center"/>
              <w:ind w:right="258"/>
              <w:spacing w:after="0" w:line="15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Astellas--related-party:</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 Agreement</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77,593</w:t>
            </w:r>
          </w:p>
        </w:tc>
        <w:tc>
          <w:tcPr>
            <w:tcW w:w="340" w:type="dxa"/>
            <w:vAlign w:val="bottom"/>
          </w:tcPr>
          <w:p>
            <w:pPr>
              <w:spacing w:after="0"/>
              <w:rPr>
                <w:sz w:val="19"/>
                <w:szCs w:val="19"/>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700" w:type="dxa"/>
            <w:vAlign w:val="bottom"/>
            <w:gridSpan w:val="2"/>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172,593</w:t>
            </w:r>
          </w:p>
        </w:tc>
        <w:tc>
          <w:tcPr>
            <w:tcW w:w="100" w:type="dxa"/>
            <w:vAlign w:val="bottom"/>
          </w:tcPr>
          <w:p>
            <w:pPr>
              <w:spacing w:after="0"/>
              <w:rPr>
                <w:sz w:val="19"/>
                <w:szCs w:val="19"/>
                <w:color w:val="auto"/>
              </w:rPr>
            </w:pPr>
          </w:p>
        </w:tc>
      </w:tr>
      <w:tr>
        <w:trPr>
          <w:trHeight w:val="225"/>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Europe Agreement</w:t>
            </w:r>
          </w:p>
        </w:tc>
        <w:tc>
          <w:tcPr>
            <w:tcW w:w="2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3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100" w:type="dxa"/>
            <w:vAlign w:val="bottom"/>
            <w:shd w:val="clear" w:color="auto" w:fill="CFF0FC"/>
          </w:tcPr>
          <w:p>
            <w:pPr>
              <w:spacing w:after="0"/>
              <w:rPr>
                <w:sz w:val="19"/>
                <w:szCs w:val="19"/>
                <w:color w:val="auto"/>
              </w:rPr>
            </w:pPr>
          </w:p>
        </w:tc>
      </w:tr>
      <w:tr>
        <w:trPr>
          <w:trHeight w:val="218"/>
        </w:trPr>
        <w:tc>
          <w:tcPr>
            <w:tcW w:w="4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Astellas</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487,593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917,593</w:t>
            </w:r>
          </w:p>
        </w:tc>
        <w:tc>
          <w:tcPr>
            <w:tcW w:w="100" w:type="dxa"/>
            <w:vAlign w:val="bottom"/>
          </w:tcPr>
          <w:p>
            <w:pPr>
              <w:spacing w:after="0"/>
              <w:rPr>
                <w:sz w:val="18"/>
                <w:szCs w:val="18"/>
                <w:color w:val="auto"/>
              </w:rPr>
            </w:pPr>
          </w:p>
        </w:tc>
      </w:tr>
      <w:tr>
        <w:trPr>
          <w:trHeight w:val="22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AstraZeneca:</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 RoW Agreement</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1,249,000</w:t>
            </w:r>
          </w:p>
        </w:tc>
        <w:tc>
          <w:tcPr>
            <w:tcW w:w="100" w:type="dxa"/>
            <w:vAlign w:val="bottom"/>
          </w:tcPr>
          <w:p>
            <w:pPr>
              <w:spacing w:after="0"/>
              <w:rPr>
                <w:sz w:val="19"/>
                <w:szCs w:val="19"/>
                <w:color w:val="auto"/>
              </w:rPr>
            </w:pPr>
          </w:p>
        </w:tc>
      </w:tr>
      <w:tr>
        <w:trPr>
          <w:trHeight w:val="225"/>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China Agreement</w:t>
            </w:r>
          </w:p>
        </w:tc>
        <w:tc>
          <w:tcPr>
            <w:tcW w:w="2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333,500</w:t>
            </w:r>
          </w:p>
        </w:tc>
        <w:tc>
          <w:tcPr>
            <w:tcW w:w="3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376,700</w:t>
            </w:r>
          </w:p>
        </w:tc>
        <w:tc>
          <w:tcPr>
            <w:tcW w:w="100" w:type="dxa"/>
            <w:vAlign w:val="bottom"/>
            <w:shd w:val="clear" w:color="auto" w:fill="CFF0FC"/>
          </w:tcPr>
          <w:p>
            <w:pPr>
              <w:spacing w:after="0"/>
              <w:rPr>
                <w:sz w:val="19"/>
                <w:szCs w:val="19"/>
                <w:color w:val="auto"/>
              </w:rPr>
            </w:pPr>
          </w:p>
        </w:tc>
      </w:tr>
      <w:tr>
        <w:trPr>
          <w:trHeight w:val="218"/>
        </w:trPr>
        <w:tc>
          <w:tcPr>
            <w:tcW w:w="42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AstraZeneca</w:t>
            </w: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432,200</w:t>
            </w:r>
          </w:p>
        </w:tc>
        <w:tc>
          <w:tcPr>
            <w:tcW w:w="3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1,193,500</w:t>
            </w:r>
          </w:p>
        </w:tc>
        <w:tc>
          <w:tcPr>
            <w:tcW w:w="3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1,625,700</w:t>
            </w:r>
          </w:p>
        </w:tc>
        <w:tc>
          <w:tcPr>
            <w:tcW w:w="100" w:type="dxa"/>
            <w:vAlign w:val="bottom"/>
            <w:tcBorders>
              <w:bottom w:val="single" w:sz="8" w:color="CFF0FC"/>
            </w:tcBorders>
          </w:tcPr>
          <w:p>
            <w:pPr>
              <w:spacing w:after="0"/>
              <w:rPr>
                <w:sz w:val="18"/>
                <w:szCs w:val="18"/>
                <w:color w:val="auto"/>
              </w:rPr>
            </w:pPr>
          </w:p>
        </w:tc>
      </w:tr>
      <w:tr>
        <w:trPr>
          <w:trHeight w:val="218"/>
        </w:trPr>
        <w:tc>
          <w:tcPr>
            <w:tcW w:w="4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919,793</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1,623,500</w:t>
            </w:r>
          </w:p>
        </w:tc>
        <w:tc>
          <w:tcPr>
            <w:tcW w:w="3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2,543,293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680"/>
        <w:spacing w:after="0" w:line="273" w:lineRule="auto"/>
        <w:rPr>
          <w:sz w:val="20"/>
          <w:szCs w:val="20"/>
          <w:color w:val="auto"/>
        </w:rPr>
      </w:pPr>
      <w:r>
        <w:rPr>
          <w:rFonts w:ascii="Times New Roman" w:cs="Times New Roman" w:eastAsia="Times New Roman" w:hAnsi="Times New Roman"/>
          <w:sz w:val="18"/>
          <w:szCs w:val="18"/>
          <w:color w:val="auto"/>
        </w:rPr>
        <w:t>These collaboration agreements also provide for reimbursement of certain fully burdened research and development costs as well as direct out of pocket expenses.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Change 2018 vs. 2017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 2017 vs. 2016</w:t>
            </w:r>
          </w:p>
        </w:tc>
      </w:tr>
      <w:tr>
        <w:trPr>
          <w:trHeight w:val="152"/>
        </w:trPr>
        <w:tc>
          <w:tcPr>
            <w:tcW w:w="38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8"/>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5"/>
              <w:spacing w:after="0" w:line="152" w:lineRule="exact"/>
              <w:rPr>
                <w:sz w:val="20"/>
                <w:szCs w:val="20"/>
                <w:color w:val="auto"/>
              </w:rPr>
            </w:pPr>
            <w:r>
              <w:rPr>
                <w:rFonts w:ascii="Times New Roman" w:cs="Times New Roman" w:eastAsia="Times New Roman" w:hAnsi="Times New Roman"/>
                <w:sz w:val="14"/>
                <w:szCs w:val="14"/>
                <w:b w:val="1"/>
                <w:bCs w:val="1"/>
                <w:color w:val="auto"/>
              </w:rPr>
              <w:t>2017 *</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8"/>
              <w:spacing w:after="0" w:line="152" w:lineRule="exact"/>
              <w:rPr>
                <w:sz w:val="20"/>
                <w:szCs w:val="20"/>
                <w:color w:val="auto"/>
              </w:rPr>
            </w:pPr>
            <w:r>
              <w:rPr>
                <w:rFonts w:ascii="Times New Roman" w:cs="Times New Roman" w:eastAsia="Times New Roman" w:hAnsi="Times New Roman"/>
                <w:sz w:val="14"/>
                <w:szCs w:val="14"/>
                <w:b w:val="1"/>
                <w:bCs w:val="1"/>
                <w:color w:val="auto"/>
              </w:rPr>
              <w:t>2016 *</w:t>
            </w:r>
          </w:p>
        </w:tc>
        <w:tc>
          <w:tcPr>
            <w:tcW w:w="2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18"/>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55"/>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8"/>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5"/>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r>
      <w:tr>
        <w:trPr>
          <w:trHeight w:val="152"/>
        </w:trPr>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5"/>
          </w:tcPr>
          <w:p>
            <w:pPr>
              <w:ind w:left="660"/>
              <w:spacing w:after="0" w:line="15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25"/>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25"/>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 revenue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22,269</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(40,674)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 %</w:t>
            </w:r>
          </w:p>
        </w:tc>
      </w:tr>
      <w:tr>
        <w:trPr>
          <w:trHeight w:val="225"/>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121,063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132,582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(11,519)</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r>
      <w:tr>
        <w:trPr>
          <w:trHeight w:val="225"/>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64,776</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38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212,958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130,996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183,189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81,962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5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Borders>
              <w:top w:val="single" w:sz="8" w:color="CFF0FC"/>
              <w:bottom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(52,193</w:t>
            </w:r>
          </w:p>
        </w:tc>
        <w:tc>
          <w:tcPr>
            <w:tcW w:w="22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41" w:lineRule="exact"/>
        <w:rPr>
          <w:sz w:val="20"/>
          <w:szCs w:val="20"/>
          <w:color w:val="auto"/>
        </w:rPr>
      </w:pPr>
    </w:p>
    <w:p>
      <w:pPr>
        <w:ind w:right="2960" w:firstLine="6"/>
        <w:spacing w:after="0" w:line="520" w:lineRule="auto"/>
        <w:tabs>
          <w:tab w:leader="none" w:pos="46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Recast to reflect the adoption of the new revenue standards. See Note 2 to the consolidated financial statements. Our revenue to date has been generated substantially from our collaboration agreements with Astellas and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-534035</wp:posOffset>
            </wp:positionV>
            <wp:extent cx="12109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jc w:val="both"/>
        <w:ind w:right="160"/>
        <w:spacing w:after="0" w:line="282" w:lineRule="auto"/>
        <w:rPr>
          <w:sz w:val="20"/>
          <w:szCs w:val="20"/>
          <w:color w:val="auto"/>
        </w:rPr>
      </w:pPr>
      <w:r>
        <w:rPr>
          <w:rFonts w:ascii="Times New Roman" w:cs="Times New Roman" w:eastAsia="Times New Roman" w:hAnsi="Times New Roman"/>
          <w:sz w:val="17"/>
          <w:szCs w:val="17"/>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 License revenues represented 11%, 8% and 28% of total revenues for the years ended December 31, 2018, 2017 and 2016, respectively.</w:t>
      </w:r>
    </w:p>
    <w:p>
      <w:pPr>
        <w:spacing w:after="0" w:line="15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Development revenue include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ranging from 36 to 89 months, based on a proportional performance method. Other revenues consist of sales of research and development material and have been included with Development and other revenue in the condensed consolidated statements of operations, as they have not been material for any of the years presented. Development and other revenues represented 59%, 92% and 72% of total revenues for the years ended December 31, 2018, 2017 and 2016, respectively.</w:t>
      </w:r>
    </w:p>
    <w:p>
      <w:pPr>
        <w:spacing w:after="0" w:line="18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Product revenue consists primarily of commercial-grade API sales to Astellas for purposes of commercial validation activities by Astellas. Product revenue is recognized when we fulfill all the delivery obligations. Product revenue represented 30% of total revenue for the year ended December 31, 2018. There was no product revenue for the years ended December 31, 2017 and 2016.</w:t>
      </w:r>
    </w:p>
    <w:p>
      <w:pPr>
        <w:spacing w:after="0" w:line="1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We have not generated any revenues based on the sale of FDA or NMPA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77" w:lineRule="exact"/>
        <w:rPr>
          <w:sz w:val="20"/>
          <w:szCs w:val="20"/>
          <w:color w:val="auto"/>
        </w:rPr>
      </w:pPr>
    </w:p>
    <w:p>
      <w:pPr>
        <w:ind w:right="440"/>
        <w:spacing w:after="0" w:line="304" w:lineRule="auto"/>
        <w:rPr>
          <w:sz w:val="20"/>
          <w:szCs w:val="20"/>
          <w:color w:val="auto"/>
        </w:rPr>
      </w:pPr>
      <w:r>
        <w:rPr>
          <w:rFonts w:ascii="Times New Roman" w:cs="Times New Roman" w:eastAsia="Times New Roman" w:hAnsi="Times New Roman"/>
          <w:sz w:val="17"/>
          <w:szCs w:val="17"/>
          <w:color w:val="auto"/>
        </w:rPr>
        <w:t>Total revenue increased $82.0 million, or 63% for the year ended December 31, 2018 compared to the year ended December 31, 2017, and decreased $52.2 million, or 28%, for the year ended December 31, 2017 compared to the year ended December 31, 2016, for the reasons discussed in the sections below.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 Revenue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 2018 vs. 2017</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Change 2017 vs. 2016</w:t>
            </w:r>
          </w:p>
        </w:tc>
      </w:tr>
      <w:tr>
        <w:trPr>
          <w:trHeight w:val="152"/>
        </w:trPr>
        <w:tc>
          <w:tcPr>
            <w:tcW w:w="2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9"/>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6"/>
              <w:spacing w:after="0" w:line="152" w:lineRule="exact"/>
              <w:rPr>
                <w:sz w:val="20"/>
                <w:szCs w:val="20"/>
                <w:color w:val="auto"/>
              </w:rPr>
            </w:pPr>
            <w:r>
              <w:rPr>
                <w:rFonts w:ascii="Times New Roman" w:cs="Times New Roman" w:eastAsia="Times New Roman" w:hAnsi="Times New Roman"/>
                <w:sz w:val="14"/>
                <w:szCs w:val="14"/>
                <w:b w:val="1"/>
                <w:bCs w:val="1"/>
                <w:color w:val="auto"/>
              </w:rPr>
              <w:t>2017 *</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9"/>
              <w:spacing w:after="0" w:line="152" w:lineRule="exact"/>
              <w:rPr>
                <w:sz w:val="20"/>
                <w:szCs w:val="20"/>
                <w:color w:val="auto"/>
              </w:rPr>
            </w:pPr>
            <w:r>
              <w:rPr>
                <w:rFonts w:ascii="Times New Roman" w:cs="Times New Roman" w:eastAsia="Times New Roman" w:hAnsi="Times New Roman"/>
                <w:sz w:val="14"/>
                <w:szCs w:val="14"/>
                <w:b w:val="1"/>
                <w:bCs w:val="1"/>
                <w:color w:val="auto"/>
              </w:rPr>
              <w:t>2016 *</w:t>
            </w:r>
          </w:p>
        </w:tc>
        <w:tc>
          <w:tcPr>
            <w:tcW w:w="2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9"/>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6"/>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19"/>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96"/>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r>
      <w:tr>
        <w:trPr>
          <w:trHeight w:val="152"/>
        </w:trPr>
        <w:tc>
          <w:tcPr>
            <w:tcW w:w="2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5"/>
          </w:tcPr>
          <w:p>
            <w:pPr>
              <w:jc w:val="right"/>
              <w:ind w:right="260"/>
              <w:spacing w:after="0" w:line="15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25"/>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5"/>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Astellas</w:t>
            </w:r>
          </w:p>
        </w:tc>
        <w:tc>
          <w:tcPr>
            <w:tcW w:w="11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(9,548)</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25"/>
        </w:trPr>
        <w:tc>
          <w:tcPr>
            <w:tcW w:w="2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AstraZeneca</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(1,987)</w:t>
            </w:r>
          </w:p>
        </w:tc>
        <w:tc>
          <w:tcPr>
            <w:tcW w:w="1060" w:type="dxa"/>
            <w:vAlign w:val="bottom"/>
            <w:gridSpan w:val="2"/>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(20) %</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3"/>
              <w:spacing w:after="0"/>
              <w:rPr>
                <w:sz w:val="20"/>
                <w:szCs w:val="20"/>
                <w:color w:val="auto"/>
              </w:rPr>
            </w:pPr>
            <w:r>
              <w:rPr>
                <w:rFonts w:ascii="Times New Roman" w:cs="Times New Roman" w:eastAsia="Times New Roman" w:hAnsi="Times New Roman"/>
                <w:sz w:val="18"/>
                <w:szCs w:val="18"/>
                <w:color w:val="auto"/>
              </w:rPr>
              <w:t>(31,126)</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r>
      <w:tr>
        <w:trPr>
          <w:trHeight w:val="218"/>
        </w:trPr>
        <w:tc>
          <w:tcPr>
            <w:tcW w:w="2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license revenue</w:t>
            </w:r>
          </w:p>
        </w:tc>
        <w:tc>
          <w:tcPr>
            <w:tcW w:w="9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22,269</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50,607</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(40,674</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 %</w:t>
            </w:r>
          </w:p>
        </w:tc>
      </w:tr>
      <w:tr>
        <w:trPr>
          <w:trHeight w:val="20"/>
        </w:trPr>
        <w:tc>
          <w:tcPr>
            <w:tcW w:w="2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41" w:lineRule="exact"/>
        <w:rPr>
          <w:sz w:val="20"/>
          <w:szCs w:val="20"/>
          <w:color w:val="auto"/>
        </w:rPr>
      </w:pPr>
    </w:p>
    <w:p>
      <w:pPr>
        <w:ind w:left="460" w:hanging="454"/>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Recast to reflect the adoption of the new revenue standards. See Note 2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2109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2017</w:t>
      </w:r>
    </w:p>
    <w:p>
      <w:pPr>
        <w:spacing w:after="0" w:line="11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License revenue increased $12.3 million, or 124% for the year ended December 31, 2018 compared to the year ended December 31, 2017 due to an increase in the license revenue recognized under our collaboration agreement with Astellas, partially offset by a decrease in the license revenue recognized under our collaboration agreement AstraZeneca.</w:t>
      </w:r>
    </w:p>
    <w:p>
      <w:pPr>
        <w:spacing w:after="0" w:line="17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License revenue recognized under our collaboration agreements with Astellas for the year ended December 31, 2018 represented the allocated revenue related to a $15.0 million regulatory milestone associated with Astellas’ expected NDA submission in Japan that was included in the transaction price during the second quarter of 2018 when this milestone became probable of being achieved.</w:t>
      </w:r>
    </w:p>
    <w:p>
      <w:pPr>
        <w:spacing w:after="0" w:line="17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License revenue recognized under our collaboration agreements with AstraZeneca for the year ended December 31, 2018 represented the allocated revenue related to a $6.0 million milestone associated with FibroGen China’s receipt of marketing authorization from the NMPA for roxadustat, and a $6.0 million milestone associated with FibroGen China’s receipt of First Manufacturing Approval for a Product in the Field in the Territory. Comparatively, license revenue recognized under our collaboration agreements with AstraZeneca for the year ended December 31, 2017 was related to a $15.0 million regulatory milestone payment. In 2017, the NMPA accepted our NDA for registration of roxadustat for anemia in DD CKD and NDD-CKD patients. This NDA submission triggered a $15.0 million milestone payment..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2017 and 2016</w:t>
      </w:r>
    </w:p>
    <w:p>
      <w:pPr>
        <w:spacing w:after="0" w:line="115"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License revenue decreased $40.7 million, or 80% for the year ended December 31, 2017 compared to the year ended December 31, 2016 due to decreases in the license revenue recognized under both of our collaboration agreements with AstraZeneca and with Astellas.</w:t>
      </w:r>
    </w:p>
    <w:p>
      <w:pPr>
        <w:spacing w:after="0" w:line="16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License revenue recognized under our collaboration agreements with AstraZeneca decreased due to the impact of $15.0 million milestone revenue during the third quarter of 2017, as compared to an upfront payment of $62.0 million during the second quarter of 2016. The revenue was also impacted by the extension of the estimated joint development service period for the AstraZeneca agreements, for revenue recognition purposes, from the end of 2018 to the end of 2020. We made this extension in the third quarter of 2016 due to the approval of the development budget for the treatment of anemia in patients with MDS.</w:t>
      </w:r>
    </w:p>
    <w:p>
      <w:pPr>
        <w:spacing w:after="0" w:line="193"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8"/>
          <w:szCs w:val="18"/>
          <w:color w:val="auto"/>
        </w:rPr>
        <w:t>License revenue recognized under our collaboration agreements with Astellas decreased primarily due to a $10.0 million of development milestone revenue recorded during the second quarter of 2016, with no corresponding milestones in the current year periods.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and Other Revenue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Change 2018 vs. 2017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 2017 vs. 2016</w:t>
            </w:r>
          </w:p>
        </w:tc>
        <w:tc>
          <w:tcPr>
            <w:tcW w:w="20" w:type="dxa"/>
            <w:vAlign w:val="bottom"/>
          </w:tcPr>
          <w:p>
            <w:pPr>
              <w:spacing w:after="0"/>
              <w:rPr>
                <w:sz w:val="14"/>
                <w:szCs w:val="14"/>
                <w:color w:val="auto"/>
              </w:rPr>
            </w:pPr>
          </w:p>
        </w:tc>
      </w:tr>
      <w:tr>
        <w:trPr>
          <w:trHeight w:val="152"/>
        </w:trPr>
        <w:tc>
          <w:tcPr>
            <w:tcW w:w="3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7"/>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4"/>
              <w:spacing w:after="0" w:line="152" w:lineRule="exact"/>
              <w:rPr>
                <w:sz w:val="20"/>
                <w:szCs w:val="20"/>
                <w:color w:val="auto"/>
              </w:rPr>
            </w:pPr>
            <w:r>
              <w:rPr>
                <w:rFonts w:ascii="Times New Roman" w:cs="Times New Roman" w:eastAsia="Times New Roman" w:hAnsi="Times New Roman"/>
                <w:sz w:val="14"/>
                <w:szCs w:val="14"/>
                <w:b w:val="1"/>
                <w:bCs w:val="1"/>
                <w:color w:val="auto"/>
              </w:rPr>
              <w:t>2017 *</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7"/>
              <w:spacing w:after="0" w:line="152" w:lineRule="exact"/>
              <w:rPr>
                <w:sz w:val="20"/>
                <w:szCs w:val="20"/>
                <w:color w:val="auto"/>
              </w:rPr>
            </w:pPr>
            <w:r>
              <w:rPr>
                <w:rFonts w:ascii="Times New Roman" w:cs="Times New Roman" w:eastAsia="Times New Roman" w:hAnsi="Times New Roman"/>
                <w:sz w:val="14"/>
                <w:szCs w:val="14"/>
                <w:b w:val="1"/>
                <w:bCs w:val="1"/>
                <w:color w:val="auto"/>
              </w:rPr>
              <w:t>2016 *</w:t>
            </w:r>
          </w:p>
        </w:tc>
        <w:tc>
          <w:tcPr>
            <w:tcW w:w="2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7"/>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55"/>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17"/>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5"/>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3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5"/>
          </w:tcPr>
          <w:p>
            <w:pPr>
              <w:ind w:left="660"/>
              <w:spacing w:after="0" w:line="15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5"/>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Astellas</w:t>
            </w:r>
          </w:p>
        </w:tc>
        <w:tc>
          <w:tcPr>
            <w:tcW w:w="5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(1,664)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r>
      <w:tr>
        <w:trPr>
          <w:trHeight w:val="225"/>
        </w:trPr>
        <w:tc>
          <w:tcPr>
            <w:tcW w:w="3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AstraZeneca</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110,677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8"/>
                <w:szCs w:val="18"/>
                <w:color w:val="auto"/>
              </w:rPr>
              <w:t>(9,749)</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r>
      <w:tr>
        <w:trPr>
          <w:trHeight w:val="218"/>
        </w:trPr>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development revenue</w:t>
            </w: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125,873</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121,039</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132,452</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8"/>
                <w:szCs w:val="18"/>
                <w:color w:val="auto"/>
              </w:rPr>
            </w:pPr>
          </w:p>
        </w:tc>
      </w:tr>
      <w:tr>
        <w:trPr>
          <w:trHeight w:val="225"/>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3"/>
              <w:spacing w:after="0"/>
              <w:rPr>
                <w:sz w:val="20"/>
                <w:szCs w:val="20"/>
                <w:color w:val="auto"/>
              </w:rPr>
            </w:pPr>
            <w:r>
              <w:rPr>
                <w:rFonts w:ascii="Times New Roman" w:cs="Times New Roman" w:eastAsia="Times New Roman" w:hAnsi="Times New Roman"/>
                <w:sz w:val="18"/>
                <w:szCs w:val="18"/>
                <w:color w:val="auto"/>
              </w:rPr>
              <w:t>(106)</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 %</w:t>
            </w:r>
          </w:p>
        </w:tc>
        <w:tc>
          <w:tcPr>
            <w:tcW w:w="20" w:type="dxa"/>
            <w:vAlign w:val="bottom"/>
          </w:tcPr>
          <w:p>
            <w:pPr>
              <w:spacing w:after="0"/>
              <w:rPr>
                <w:sz w:val="19"/>
                <w:szCs w:val="19"/>
                <w:color w:val="auto"/>
              </w:rPr>
            </w:pPr>
          </w:p>
        </w:tc>
      </w:tr>
      <w:tr>
        <w:trPr>
          <w:trHeight w:val="218"/>
        </w:trPr>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development and other revenue</w:t>
            </w:r>
          </w:p>
        </w:tc>
        <w:tc>
          <w:tcPr>
            <w:tcW w:w="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125,913</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121,063</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132,582</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5"/>
        </w:trPr>
        <w:tc>
          <w:tcPr>
            <w:tcW w:w="3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35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49" w:right="219" w:bottom="1440" w:gutter="0" w:footer="0" w:header="0"/>
        </w:sectPr>
      </w:pPr>
    </w:p>
    <w:bookmarkStart w:id="113" w:name="page114"/>
    <w:bookmarkEnd w:id="113"/>
    <w:p>
      <w:pPr>
        <w:ind w:left="460" w:hanging="454"/>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Recast to reflect the adoption of the new revenue standards. See Note 2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2109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2017</w:t>
      </w:r>
    </w:p>
    <w:p>
      <w:pPr>
        <w:spacing w:after="0" w:line="11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Development revenue recognized under our collaboration agreements with AstraZeneca increased $4.0 million, or 4% for the year ended December 31, 2018 compared to the year ended December 31, 2017, primarily due to the allocated revenue related to the above mentioned total of $12.0 million milestone payments during the fourth quarter of 2018.</w:t>
      </w:r>
    </w:p>
    <w:p>
      <w:pPr>
        <w:spacing w:after="0" w:line="177" w:lineRule="exact"/>
        <w:rPr>
          <w:sz w:val="20"/>
          <w:szCs w:val="20"/>
          <w:color w:val="auto"/>
        </w:rPr>
      </w:pPr>
    </w:p>
    <w:p>
      <w:pPr>
        <w:jc w:val="both"/>
        <w:ind w:right="640"/>
        <w:spacing w:after="0" w:line="259" w:lineRule="auto"/>
        <w:rPr>
          <w:sz w:val="20"/>
          <w:szCs w:val="20"/>
          <w:color w:val="auto"/>
        </w:rPr>
      </w:pPr>
      <w:r>
        <w:rPr>
          <w:rFonts w:ascii="Times New Roman" w:cs="Times New Roman" w:eastAsia="Times New Roman" w:hAnsi="Times New Roman"/>
          <w:sz w:val="18"/>
          <w:szCs w:val="18"/>
          <w:color w:val="auto"/>
        </w:rPr>
        <w:t>Development revenue recognized under our collaboration agreements with Astellas increased $0.8 million, or 4% for the year ended December 31, 2018 compared to the year ended December 31, 2017, primarily due to the allocated revenue related to the above mentioned $15.0 million associated with the regulatory milestone of NDA submission in Japan in the second quarter of 2018.</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2017 and 2016</w:t>
      </w:r>
    </w:p>
    <w:p>
      <w:pPr>
        <w:spacing w:after="0" w:line="11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Collaboration services and other revenue decreased $11.5 million, or 9%, for the year ended December 31, 2017 compared to the year ended December 31, 2016, primarily due to a decrease in the development revenue recognized under our collaboration agreements with AstraZeneca from the impact of the extension of the estimated joint development service period for the AstraZeneca agreements, for revenue recognition purposes, from the end of 2018 to the end of 2020. We made this extension in the third quarter of 2016 due to the approval of the development budget for the treatment of anemia in patients with MDS. Development revenue for the year ended December 31, 2017 was also impacted by the allocation of the upfront payment of $62.0 million during the second quarter of 2016.</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Revenue</w:t>
      </w:r>
    </w:p>
    <w:p>
      <w:pPr>
        <w:spacing w:after="0" w:line="1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As described above, the Japan Amendment obligates Astellas to purchase API from us to conduct commercial scale manufacturing validation for roxadustat drug product in anticipation of commercial launch in Japan. We fulfilled all the delivery obligations under the term of the Japan Amendment during the year ended December 31, 2018, and recognized the related product revenue of $64.8 million in the same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 2018 vs. 2017</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 2017 vs. 2016</w:t>
            </w:r>
          </w:p>
        </w:tc>
        <w:tc>
          <w:tcPr>
            <w:tcW w:w="400" w:type="dxa"/>
            <w:vAlign w:val="bottom"/>
          </w:tcPr>
          <w:p>
            <w:pPr>
              <w:spacing w:after="0"/>
              <w:rPr>
                <w:sz w:val="14"/>
                <w:szCs w:val="14"/>
                <w:color w:val="auto"/>
              </w:rPr>
            </w:pPr>
          </w:p>
        </w:tc>
      </w:tr>
      <w:tr>
        <w:trPr>
          <w:trHeight w:val="152"/>
        </w:trPr>
        <w:tc>
          <w:tcPr>
            <w:tcW w:w="3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9"/>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6"/>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9"/>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32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ind w:right="96"/>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9"/>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ind w:right="96"/>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r>
      <w:tr>
        <w:trPr>
          <w:trHeight w:val="152"/>
        </w:trPr>
        <w:tc>
          <w:tcPr>
            <w:tcW w:w="3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4"/>
          </w:tcPr>
          <w:p>
            <w:pPr>
              <w:ind w:left="540"/>
              <w:spacing w:after="0" w:line="15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25"/>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25"/>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235,839</w:t>
            </w:r>
          </w:p>
        </w:tc>
        <w:tc>
          <w:tcPr>
            <w:tcW w:w="2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196,517</w:t>
            </w:r>
          </w:p>
        </w:tc>
        <w:tc>
          <w:tcPr>
            <w:tcW w:w="4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39,322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51,760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46,025</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6"/>
              </w:rPr>
              <w:t>12,052</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299,651</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248,277</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233,231</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51,374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0"/>
        <w:spacing w:after="0" w:line="304" w:lineRule="auto"/>
        <w:rPr>
          <w:sz w:val="20"/>
          <w:szCs w:val="20"/>
          <w:color w:val="auto"/>
        </w:rPr>
      </w:pPr>
      <w:r>
        <w:rPr>
          <w:rFonts w:ascii="Times New Roman" w:cs="Times New Roman" w:eastAsia="Times New Roman" w:hAnsi="Times New Roman"/>
          <w:sz w:val="17"/>
          <w:szCs w:val="17"/>
          <w:color w:val="auto"/>
        </w:rPr>
        <w:t>Total operating expenses increased $51.4 million, or 21%, for the year ended December 31, 2018 compared to the year ended December 31, 2017, and increased $15.0 million, or 6%, for the year ended December 31, 2017 compared to the year ended December 31, 2016, for the reasons discussed in the sections below.</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13"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years ended December 31, 2018, 2017 and 2016:</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1"/>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Phase of Development</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17"/>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5"/>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60"/>
              <w:spacing w:after="0" w:line="15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Roxadustat</w:t>
            </w:r>
          </w:p>
        </w:tc>
        <w:tc>
          <w:tcPr>
            <w:tcW w:w="1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3</w:t>
            </w:r>
          </w:p>
        </w:tc>
        <w:tc>
          <w:tcPr>
            <w:tcW w:w="1020" w:type="dxa"/>
            <w:vAlign w:val="bottom"/>
            <w:tcBorders>
              <w:top w:val="single" w:sz="8" w:color="CFF0FC"/>
            </w:tcBorders>
            <w:gridSpan w:val="2"/>
            <w:shd w:val="clear" w:color="auto" w:fill="CFF0FC"/>
          </w:tcPr>
          <w:p>
            <w:pPr>
              <w:jc w:val="right"/>
              <w:ind w:right="70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139,876</w:t>
            </w:r>
          </w:p>
        </w:tc>
        <w:tc>
          <w:tcPr>
            <w:tcW w:w="440" w:type="dxa"/>
            <w:vAlign w:val="bottom"/>
            <w:tcBorders>
              <w:top w:val="single" w:sz="8" w:color="CFF0FC"/>
            </w:tcBorders>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125,144</w:t>
            </w:r>
          </w:p>
        </w:tc>
        <w:tc>
          <w:tcPr>
            <w:tcW w:w="1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CFF0FC"/>
            </w:tcBorders>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132,562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Pamrevlumab</w:t>
            </w: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Phase 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FG-5200</w:t>
            </w:r>
          </w:p>
        </w:tc>
        <w:tc>
          <w:tcPr>
            <w:tcW w:w="15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Preclinical</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6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0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235,839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196,517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2017</w:t>
      </w:r>
    </w:p>
    <w:p>
      <w:pPr>
        <w:spacing w:after="0" w:line="11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Research and development expenses increased $39.3 million, or 20%, for the year ended December 31, 2018 compared to the year ended December 31, 2017. The increase was primarily due to increases in drug development expenses of $22.4 million, employee-related costs of $9.9 million, stock-based compensation expense of $8.7 million, allocated facility related expense of $6.5 million, and outside services of $2.4 million, partially offset by a decrease in clinical trials costs of $11.3 million. Drug development expenses increased primarily due to higher drug substance manufacturing activities related to pamrevlumab. Employee-related costs increased due to higher headcount, higher average compensation level, and increased travel, seminar and conference costs. Stock-based compensation expense increased due to the cumulative impact of stock option grant activities. Facility related expenses, as part of the allocated overhead costs, was higher relative to the prior period in which our property taxes were reduced as a result of a final settlement we obtained related to historical property tax payments, as well as higher property management and maintenance costs during the current year. Outside services costs increased due to higher scientific contract work related to roxadustat and other HIF-PH inhibitors. Clinical trial costs decreased as a result of nearing completion of Phase 3 trials for roxadustat and Phase 2 trials for pamrevlumab. We expect development expenses to increase as we begin Phase 3 trials for pamrevlumab.</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2017 and 2016</w:t>
      </w:r>
    </w:p>
    <w:p>
      <w:pPr>
        <w:spacing w:after="0" w:line="11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Research and development expenses increased $9.3 million, or 5%, for the year ended December 31, 2017 compared to the year ended December 31, 2016. The increase was primarily due to increases in employee-related costs of $8.6 million, drug development expenses of $8.2 million and stock-based compensation of $2.7 million, partially offset by decreases in outside services of $5.8 million and allocated facility related expense of $4.5 million. Drug development expenses increased due to higher drug substance manufacturing activities related to pamrevlumab. Employee-related costs increased due to higher headcount and higher average compensation level. Stock-based compensation increased due to cumulative impact of stock option grant activities. Outside services costs decreased due to lower scientific contract work related to other HIF-PH inhibitors. Facility related expenses, as part of the allocated overhead costs, decreased due to the final assessment we obtained during 2017 resulting in a reduction in assessed property tax, as compared to an additional assessed property tax in 2016.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113"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545" w:right="299" w:bottom="1440" w:gutter="0" w:footer="0" w:header="0"/>
        </w:sectPr>
      </w:pPr>
    </w:p>
    <w:bookmarkStart w:id="115" w:name="page116"/>
    <w:bookmarkEnd w:id="115"/>
    <w:p>
      <w:pPr>
        <w:ind w:right="60"/>
        <w:spacing w:after="0" w:line="25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2017</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$12.1 million, or 23%, for the year ended December 31, 2018 compared to the year ended December 31, 2017. The increase was primarily due to increases in stock-based compensation expense of $5.9 million, employee-related costs of $3.0 million, facility related expense of $1.8 million, and outside services costs of $1.1 million. Stock-based compensation expense increased due to cumulative impact of stock option grant activities. Employee-related costs increased due to higher average compensation level and higher headcount. Facility related expenses, as part of the allocated overhead costs, was higher relative to the prior period in which our property taxes were reduced as a result of a final settlement we obtained related to historical property tax payments, as well as higher property management and maintenance costs during the current year. Outside services costs increased due to corporate activities surrounding the Japan Amendment and NDA approval during the fourth quarter of 2018.</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2017 and 2016</w:t>
      </w:r>
    </w:p>
    <w:p>
      <w:pPr>
        <w:spacing w:after="0" w:line="11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General and administrative expenses increased $5.7 million, or 12%, for the year ended December 31, 2017 compared to the year ended December 31, 2016. The increase was primarily due to increases in employee-related costs of $4.5 million and stock-based compensation expense of $2.7 million, partially offset by a decrease in facility related expense of $1.9 million. Employee-related costs increased due to higher average compensation level, higher headcount, and increased recruiting activities. Stock-based compensation expense increased due to cumulative impact of stock option grant activities. Facility related expenses decreased due to the final assessment we obtained during 2017 resulting in a reduction in assessed property tax, as compared to an additional assessed property tax in 2016.</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Change 2018 vs. 2017</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 2017 vs. 2016</w:t>
            </w:r>
          </w:p>
        </w:tc>
      </w:tr>
      <w:tr>
        <w:trPr>
          <w:trHeight w:val="152"/>
        </w:trPr>
        <w:tc>
          <w:tcPr>
            <w:tcW w:w="4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6"/>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9"/>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6"/>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240"/>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ind w:right="156"/>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r>
      <w:tr>
        <w:trPr>
          <w:trHeight w:val="152"/>
        </w:trPr>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6"/>
          </w:tcPr>
          <w:p>
            <w:pPr>
              <w:jc w:val="right"/>
              <w:ind w:right="220"/>
              <w:spacing w:after="0" w:line="15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25"/>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r>
      <w:tr>
        <w:trPr>
          <w:trHeight w:val="225"/>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(9,706)</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(10,725)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1,019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r>
      <w:tr>
        <w:trPr>
          <w:trHeight w:val="225"/>
        </w:trPr>
        <w:tc>
          <w:tcPr>
            <w:tcW w:w="4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8"/>
              </w:rPr>
              <w:t>3,805</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145  %</w:t>
            </w:r>
          </w:p>
        </w:tc>
      </w:tr>
      <w:tr>
        <w:trPr>
          <w:trHeight w:val="218"/>
        </w:trPr>
        <w:tc>
          <w:tcPr>
            <w:tcW w:w="4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2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(118) %</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8"/>
              </w:rPr>
              <w:t>4,824</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 %</w:t>
            </w:r>
          </w:p>
        </w:tc>
      </w:tr>
      <w:tr>
        <w:trPr>
          <w:trHeight w:val="20"/>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1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our long-term lease for our corporate headquarters in San Francisco, California, which was entered into in September 2006, and the lease for our pilot plant located in Beijing Yizhuang Biomedical Park (“BYBP”), which was entered into in February 2013, as the monthly lease payments are made, we record interest expense and an increase or reduction in the corresponding lease financing obligation for any amounts allocated to or deficiencies being applied to the principal value of these obligations.</w:t>
      </w:r>
    </w:p>
    <w:p>
      <w:pPr>
        <w:spacing w:after="0" w:line="18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Interest expense includes payments made for imputed interest related to the facility lease financing obligations for our leased facilities in San Francisco and China (see Note 8 to the consolidated financial statements) as well as interest related to the Technology Development Center of the Republic of Finland product development obligations (see Note 6 to the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2017</w:t>
      </w:r>
    </w:p>
    <w:p>
      <w:pPr>
        <w:spacing w:after="0" w:line="115"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18"/>
          <w:szCs w:val="18"/>
          <w:color w:val="auto"/>
        </w:rPr>
        <w:t>Interest expense increased $1.3 million, or 13%, for the year ended December 31, 2018 compared to the year ended December 31, 2017 primarily due to a reduction in the imputed interest resulting from the government rent subsidy received by FibroGen China in 2017.</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2017 and 2016</w:t>
      </w:r>
    </w:p>
    <w:p>
      <w:pPr>
        <w:spacing w:after="0" w:line="11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Interest expense decreased $1.0 million, or 10%, for the year ended December 31, 2017 compared to the year ended December 31, 2016 due to a reduction in the imputed interest resulting from the government rent subsidy received by FibroGen Beijing during the fourth quarter of 2017.</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Income and Other, Net</w:t>
      </w:r>
    </w:p>
    <w:p>
      <w:pPr>
        <w:spacing w:after="0" w:line="11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and realized gains (losses) on sales of investments.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2017</w:t>
      </w:r>
    </w:p>
    <w:p>
      <w:pPr>
        <w:spacing w:after="0" w:line="11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Interest income and other, net increased $5.1 million, or 80%, for the year ended December 31, 2018 compared to the year ended December 31, 2017, primarily due to $7.0 million higher interest earned on our cash, cash equivalents and investments associated with the higher average balances and $1.6 million higher realized foreign currency gain during the current year period. The increases were partially offset by $1.1 million higher unrealized loss on our marketable equity investments during the current year. In addition, a total of approximately $2.0 million government industry subsidies was received by FibroGen Beijing during the prior year, which did not recur in the current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2017 and 2016</w:t>
      </w:r>
    </w:p>
    <w:p>
      <w:pPr>
        <w:spacing w:after="0" w:line="1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Interest income and other, net increased $3.8 million, or 145%, for the year ended December 31, 2017 compared to the year ended December 31, 2016 primarily due to a total of approximately $2.0 million government industry subsidies received by FibroGen Beijing during the fourth quarter of 2017, $1.7 million higher interest earned on our cash, cash equivalents and investments associated with the higher average balances, partially offset by the unrealized foreign currency translation loss on our monetary assets and liabilities denominated in foreign currency.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2"/>
        </w:trPr>
        <w:tc>
          <w:tcPr>
            <w:tcW w:w="3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6"/>
              <w:spacing w:after="0" w:line="152" w:lineRule="exact"/>
              <w:rPr>
                <w:sz w:val="20"/>
                <w:szCs w:val="20"/>
                <w:color w:val="auto"/>
              </w:rPr>
            </w:pPr>
            <w:r>
              <w:rPr>
                <w:rFonts w:ascii="Times New Roman" w:cs="Times New Roman" w:eastAsia="Times New Roman" w:hAnsi="Times New Roman"/>
                <w:sz w:val="14"/>
                <w:szCs w:val="14"/>
                <w:b w:val="1"/>
                <w:bCs w:val="1"/>
                <w:color w:val="auto"/>
              </w:rPr>
              <w:t>2017 *</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6"/>
              <w:spacing w:after="0" w:line="152" w:lineRule="exact"/>
              <w:rPr>
                <w:sz w:val="20"/>
                <w:szCs w:val="20"/>
                <w:color w:val="auto"/>
              </w:rPr>
            </w:pPr>
            <w:r>
              <w:rPr>
                <w:rFonts w:ascii="Times New Roman" w:cs="Times New Roman" w:eastAsia="Times New Roman" w:hAnsi="Times New Roman"/>
                <w:sz w:val="14"/>
                <w:szCs w:val="14"/>
                <w:b w:val="1"/>
                <w:bCs w:val="1"/>
                <w:color w:val="auto"/>
              </w:rPr>
              <w:t>2016 *</w:t>
            </w:r>
          </w:p>
        </w:tc>
        <w:tc>
          <w:tcPr>
            <w:tcW w:w="180" w:type="dxa"/>
            <w:vAlign w:val="bottom"/>
          </w:tcPr>
          <w:p>
            <w:pPr>
              <w:spacing w:after="0"/>
              <w:rPr>
                <w:sz w:val="13"/>
                <w:szCs w:val="13"/>
                <w:color w:val="auto"/>
              </w:rPr>
            </w:pPr>
          </w:p>
        </w:tc>
      </w:tr>
      <w:tr>
        <w:trPr>
          <w:trHeight w:val="152"/>
        </w:trPr>
        <w:tc>
          <w:tcPr>
            <w:tcW w:w="3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gridSpan w:val="2"/>
          </w:tcPr>
          <w:p>
            <w:pPr>
              <w:jc w:val="right"/>
              <w:ind w:right="236"/>
              <w:spacing w:after="0" w:line="15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5"/>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20" w:type="dxa"/>
            <w:vAlign w:val="bottom"/>
            <w:gridSpan w:val="2"/>
            <w:shd w:val="clear" w:color="auto" w:fill="CFF0FC"/>
          </w:tcPr>
          <w:p>
            <w:pPr>
              <w:jc w:val="right"/>
              <w:ind w:right="66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97"/>
              </w:rPr>
              <w:t>(86,116)</w:t>
            </w:r>
          </w:p>
        </w:tc>
        <w:tc>
          <w:tcPr>
            <w:tcW w:w="40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(120,554)</w:t>
            </w:r>
          </w:p>
        </w:tc>
        <w:tc>
          <w:tcPr>
            <w:tcW w:w="3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(58,139)</w:t>
            </w:r>
          </w:p>
        </w:tc>
      </w:tr>
      <w:tr>
        <w:trPr>
          <w:trHeight w:val="22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304</w:t>
            </w:r>
          </w:p>
        </w:tc>
        <w:tc>
          <w:tcPr>
            <w:tcW w:w="400" w:type="dxa"/>
            <w:vAlign w:val="bottom"/>
          </w:tcPr>
          <w:p>
            <w:pPr>
              <w:spacing w:after="0"/>
              <w:rPr>
                <w:sz w:val="19"/>
                <w:szCs w:val="19"/>
                <w:color w:val="auto"/>
              </w:rPr>
            </w:pPr>
          </w:p>
        </w:tc>
        <w:tc>
          <w:tcPr>
            <w:tcW w:w="12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r>
      <w:tr>
        <w:trPr>
          <w:trHeight w:val="225"/>
        </w:trPr>
        <w:tc>
          <w:tcPr>
            <w:tcW w:w="3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1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bl>
    <w:p>
      <w:pPr>
        <w:spacing w:after="0" w:line="141" w:lineRule="exact"/>
        <w:rPr>
          <w:sz w:val="20"/>
          <w:szCs w:val="20"/>
          <w:color w:val="auto"/>
        </w:rPr>
      </w:pPr>
    </w:p>
    <w:p>
      <w:pPr>
        <w:ind w:left="720" w:hanging="714"/>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Recast to reflect the adoption of the new revenue standards. See Note 2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2109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97"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The provisions for income taxes for the years end December 31, 2018 and 2017 were due to foreign taxes. The benefit from income taxes for the year ended December 31, 2016 was due to the tax effect arising from unrealized gains recognized during the current year in other comprehensive income related to available-for-sale securities, partially offset by foreign taxes.</w:t>
      </w:r>
    </w:p>
    <w:p>
      <w:pPr>
        <w:spacing w:after="0" w:line="17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On December 22, 2017, the Tax Cuts and Jobs Act (“Tax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In the fourth quarter of 2018, we completed our analysis to determine the effect of the Tax Act and no material adjustments were recognized as of December 31, 2018. Developing interpretations of the provisions of the Tax Act, changes to U.S. Treasury regulations, administrative interpretations or court decisions interpreting the Tax Act in the future periods may require further adjustments to our analysis.</w:t>
      </w:r>
    </w:p>
    <w:p>
      <w:pPr>
        <w:spacing w:after="0" w:line="1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will continue to maintain a full valuation allowance on our net deferred tax assets until there is sufficient evidence to support the reversal of all or some portion of this allowance.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647" w:right="2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p>
      <w:pPr>
        <w:spacing w:after="0" w:line="11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following tables present unaudited quarterly results for 2018 and 2017. These tables include all adjustments, consisting only of normal recurring adjustments that we consider for the fair statement of our consolidated financial position and operating results for the quarters presented. Payments from our collaboration partners have caused, and are likely to continue to cause, fluctuations in our quarterly results. These unaudited quarterly results of operations should be read in conjunction with the consolidated financial statements and notes included in Item 8 of this Annual Report on Form 10-K. We have prepared the unaudited information on the same basis as our audited consolidated financial statements. Our operating results for any quarter are not necessarily indicative of results for any future quarters or for a full year.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2"/>
        </w:trPr>
        <w:tc>
          <w:tcPr>
            <w:tcW w:w="4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24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20" w:type="dxa"/>
            <w:vAlign w:val="bottom"/>
          </w:tcPr>
          <w:p>
            <w:pPr>
              <w:spacing w:after="0"/>
              <w:rPr>
                <w:sz w:val="20"/>
                <w:szCs w:val="20"/>
                <w:color w:val="auto"/>
              </w:rPr>
            </w:pPr>
          </w:p>
        </w:tc>
        <w:tc>
          <w:tcPr>
            <w:tcW w:w="13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8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52"/>
        </w:trPr>
        <w:tc>
          <w:tcPr>
            <w:tcW w:w="4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900" w:type="dxa"/>
            <w:vAlign w:val="bottom"/>
            <w:tcBorders>
              <w:top w:val="single" w:sz="8" w:color="auto"/>
            </w:tcBorders>
            <w:gridSpan w:val="3"/>
          </w:tcPr>
          <w:p>
            <w:pPr>
              <w:ind w:left="80"/>
              <w:spacing w:after="0" w:line="152"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5"/>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108,054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29,027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43,952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31,925</w:t>
            </w:r>
          </w:p>
        </w:tc>
        <w:tc>
          <w:tcPr>
            <w:tcW w:w="120" w:type="dxa"/>
            <w:vAlign w:val="bottom"/>
            <w:shd w:val="clear" w:color="auto" w:fill="CFF0FC"/>
          </w:tcPr>
          <w:p>
            <w:pPr>
              <w:spacing w:after="0"/>
              <w:rPr>
                <w:sz w:val="19"/>
                <w:szCs w:val="19"/>
                <w:color w:val="auto"/>
              </w:rPr>
            </w:pPr>
          </w:p>
        </w:tc>
      </w:tr>
      <w:tr>
        <w:trPr>
          <w:trHeight w:val="22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88,135</w:t>
            </w:r>
          </w:p>
        </w:tc>
        <w:tc>
          <w:tcPr>
            <w:tcW w:w="240" w:type="dxa"/>
            <w:vAlign w:val="bottom"/>
          </w:tcPr>
          <w:p>
            <w:pPr>
              <w:spacing w:after="0"/>
              <w:rPr>
                <w:sz w:val="19"/>
                <w:szCs w:val="19"/>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71,799</w:t>
            </w:r>
          </w:p>
        </w:tc>
        <w:tc>
          <w:tcPr>
            <w:tcW w:w="220" w:type="dxa"/>
            <w:vAlign w:val="bottom"/>
          </w:tcPr>
          <w:p>
            <w:pPr>
              <w:spacing w:after="0"/>
              <w:rPr>
                <w:sz w:val="19"/>
                <w:szCs w:val="19"/>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67,193</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72,524</w:t>
            </w:r>
          </w:p>
        </w:tc>
        <w:tc>
          <w:tcPr>
            <w:tcW w:w="120" w:type="dxa"/>
            <w:vAlign w:val="bottom"/>
          </w:tcPr>
          <w:p>
            <w:pPr>
              <w:spacing w:after="0"/>
              <w:rPr>
                <w:sz w:val="19"/>
                <w:szCs w:val="19"/>
                <w:color w:val="auto"/>
              </w:rPr>
            </w:pPr>
          </w:p>
        </w:tc>
      </w:tr>
      <w:tr>
        <w:trPr>
          <w:trHeight w:val="225"/>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20,952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(42,556)</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(23,420)</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(41,396)</w:t>
            </w:r>
          </w:p>
        </w:tc>
      </w:tr>
      <w:tr>
        <w:trPr>
          <w:trHeight w:val="22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(c):</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4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r>
      <w:tr>
        <w:trPr>
          <w:trHeight w:val="231"/>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r>
      <w:tr>
        <w:trPr>
          <w:trHeight w:val="378"/>
        </w:trPr>
        <w:tc>
          <w:tcPr>
            <w:tcW w:w="4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2"/>
        </w:trPr>
        <w:tc>
          <w:tcPr>
            <w:tcW w:w="4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75"/>
              <w:spacing w:after="0" w:line="152" w:lineRule="exact"/>
              <w:rPr>
                <w:sz w:val="20"/>
                <w:szCs w:val="20"/>
                <w:color w:val="auto"/>
              </w:rPr>
            </w:pPr>
            <w:r>
              <w:rPr>
                <w:rFonts w:ascii="Times New Roman" w:cs="Times New Roman" w:eastAsia="Times New Roman" w:hAnsi="Times New Roman"/>
                <w:sz w:val="14"/>
                <w:szCs w:val="14"/>
                <w:b w:val="1"/>
                <w:bCs w:val="1"/>
                <w:color w:val="auto"/>
              </w:rPr>
              <w:t>Fourth Quarter</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55"/>
              <w:spacing w:after="0" w:line="152"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75"/>
              <w:spacing w:after="0" w:line="152" w:lineRule="exact"/>
              <w:rPr>
                <w:sz w:val="20"/>
                <w:szCs w:val="20"/>
                <w:color w:val="auto"/>
              </w:rPr>
            </w:pPr>
            <w:r>
              <w:rPr>
                <w:rFonts w:ascii="Times New Roman" w:cs="Times New Roman" w:eastAsia="Times New Roman" w:hAnsi="Times New Roman"/>
                <w:sz w:val="14"/>
                <w:szCs w:val="14"/>
                <w:b w:val="1"/>
                <w:bCs w:val="1"/>
                <w:color w:val="auto"/>
              </w:rPr>
              <w:t>First Quarter</w:t>
            </w:r>
          </w:p>
        </w:tc>
        <w:tc>
          <w:tcPr>
            <w:tcW w:w="120" w:type="dxa"/>
            <w:vAlign w:val="bottom"/>
          </w:tcPr>
          <w:p>
            <w:pPr>
              <w:spacing w:after="0"/>
              <w:rPr>
                <w:sz w:val="13"/>
                <w:szCs w:val="13"/>
                <w:color w:val="auto"/>
              </w:rPr>
            </w:pPr>
          </w:p>
        </w:tc>
      </w:tr>
      <w:tr>
        <w:trPr>
          <w:trHeight w:val="152"/>
        </w:trPr>
        <w:tc>
          <w:tcPr>
            <w:tcW w:w="4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3"/>
          </w:tcPr>
          <w:p>
            <w:pPr>
              <w:ind w:left="80"/>
              <w:spacing w:after="0" w:line="152"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5"/>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(a)</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30,736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40,550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30,268</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120" w:type="dxa"/>
            <w:vAlign w:val="bottom"/>
            <w:shd w:val="clear" w:color="auto" w:fill="CFF0FC"/>
          </w:tcPr>
          <w:p>
            <w:pPr>
              <w:spacing w:after="0"/>
              <w:rPr>
                <w:sz w:val="19"/>
                <w:szCs w:val="19"/>
                <w:color w:val="auto"/>
              </w:rPr>
            </w:pPr>
          </w:p>
        </w:tc>
      </w:tr>
      <w:tr>
        <w:trPr>
          <w:trHeight w:val="22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66,320</w:t>
            </w:r>
          </w:p>
        </w:tc>
        <w:tc>
          <w:tcPr>
            <w:tcW w:w="240" w:type="dxa"/>
            <w:vAlign w:val="bottom"/>
          </w:tcPr>
          <w:p>
            <w:pPr>
              <w:spacing w:after="0"/>
              <w:rPr>
                <w:sz w:val="19"/>
                <w:szCs w:val="19"/>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63,289</w:t>
            </w:r>
          </w:p>
        </w:tc>
        <w:tc>
          <w:tcPr>
            <w:tcW w:w="220" w:type="dxa"/>
            <w:vAlign w:val="bottom"/>
          </w:tcPr>
          <w:p>
            <w:pPr>
              <w:spacing w:after="0"/>
              <w:rPr>
                <w:sz w:val="19"/>
                <w:szCs w:val="19"/>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60,406</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58,262</w:t>
            </w:r>
          </w:p>
        </w:tc>
        <w:tc>
          <w:tcPr>
            <w:tcW w:w="120" w:type="dxa"/>
            <w:vAlign w:val="bottom"/>
          </w:tcPr>
          <w:p>
            <w:pPr>
              <w:spacing w:after="0"/>
              <w:rPr>
                <w:sz w:val="19"/>
                <w:szCs w:val="19"/>
                <w:color w:val="auto"/>
              </w:rPr>
            </w:pPr>
          </w:p>
        </w:tc>
      </w:tr>
      <w:tr>
        <w:trPr>
          <w:trHeight w:val="225"/>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(33,894)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(24,459)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(31,912)</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(30,610)</w:t>
            </w:r>
          </w:p>
        </w:tc>
      </w:tr>
      <w:tr>
        <w:trPr>
          <w:trHeight w:val="231"/>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 (c):</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(0.48)</w:t>
            </w:r>
          </w:p>
        </w:tc>
      </w:tr>
    </w:tbl>
    <w:p>
      <w:pPr>
        <w:spacing w:after="0" w:line="134" w:lineRule="exact"/>
        <w:rPr>
          <w:sz w:val="20"/>
          <w:szCs w:val="20"/>
          <w:color w:val="auto"/>
        </w:rPr>
      </w:pPr>
    </w:p>
    <w:p>
      <w:pPr>
        <w:ind w:left="520" w:right="640" w:hanging="514"/>
        <w:spacing w:after="0" w:line="273"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each quarter of the year ended December 31, 2017 was recast to reflect the adoption of the new revenue standards. See Note 2 to the consolidated financial statements.</w:t>
      </w:r>
    </w:p>
    <w:p>
      <w:pPr>
        <w:spacing w:after="0" w:line="58" w:lineRule="exact"/>
        <w:rPr>
          <w:rFonts w:ascii="Times New Roman" w:cs="Times New Roman" w:eastAsia="Times New Roman" w:hAnsi="Times New Roman"/>
          <w:sz w:val="18"/>
          <w:szCs w:val="18"/>
          <w:color w:val="auto"/>
        </w:rPr>
      </w:pPr>
    </w:p>
    <w:p>
      <w:pPr>
        <w:ind w:left="520" w:right="800" w:hanging="514"/>
        <w:spacing w:after="0" w:line="273"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fourth quarter of 2018 was significantly higher compared to other quarters due to the product revenue recognized, and revenue recognized on two milestone payments.</w:t>
      </w:r>
    </w:p>
    <w:p>
      <w:pPr>
        <w:spacing w:after="0" w:line="58" w:lineRule="exact"/>
        <w:rPr>
          <w:rFonts w:ascii="Times New Roman" w:cs="Times New Roman" w:eastAsia="Times New Roman" w:hAnsi="Times New Roman"/>
          <w:sz w:val="18"/>
          <w:szCs w:val="18"/>
          <w:color w:val="auto"/>
        </w:rPr>
      </w:pPr>
    </w:p>
    <w:p>
      <w:pPr>
        <w:ind w:left="520" w:right="380" w:hanging="514"/>
        <w:spacing w:after="0" w:line="273"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income (loss) per share is computed independently for each of the quarters presented. Therefore, the sum of quarterly basic and diluted net income (loss) per share may not equal annual basic and diluted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-967740</wp:posOffset>
            </wp:positionV>
            <wp:extent cx="12109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Conditions</w:t>
      </w:r>
    </w:p>
    <w:p>
      <w:pPr>
        <w:spacing w:after="0" w:line="113"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18"/>
          <w:szCs w:val="18"/>
          <w:color w:val="auto"/>
        </w:rPr>
        <w:t>We have historically funded our operations principally from the sale of common stock (including our public offering proceeds) and from the execution of collaboration agreements involving license payments, milestones and reimbursement for development services.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11, 2017, we closed an offering of our common stock. In this offering, we sold 5,228,750 shares of our common stock at a public offering price of</w:t>
      </w:r>
    </w:p>
    <w:p>
      <w:pPr>
        <w:spacing w:after="0" w:line="2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$22.95 per share. Net proceeds from this offering were $115.1 million, after deducting underwriting discounts and commissions of $4.9 million. In addition, the total offering expenses were approximately $0.6 million. On August 24, 2017, we completed another follow-on offering of our common stock. In this offering, we sold a total of 9,200,000 shares of our common stock at a public offering price of $40.75 per share. Net proceeds from this offering were $356.2 million, after deducting underwriting discounts and commissions of $18.7 million. In addition, the total offering expenses were approximately $0.4 million.</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2018, we had cash and cash equivalents of $89.3 million. Cash is invested in accordance with our investment policy, primarily with a view to liquidity and capital preservation. Investments, consisting of available-for-sale debt investments, marketable equity investments, term deposit and certificate of deposit, and stated at fair value, are also available as a source of liquidity. As of December 31, 2018 we had short-term and long-term investments of $532.1 million and $55.8 million, respectively. As of December 31, 2018, a total of $21.9 million of our cash and cash equivalents was held outside of the U.S. in our foreign subsidiaries to be used primarily for our China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1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believe that our existing cash and cash equivalents, short-term and long-term investments and accounts receivable will be sufficient to meet our anticipated cash requirements for at least the next 12 months from the date of this Annual Report on Form 10-K.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 Item 1A “</w:t>
      </w:r>
      <w:r>
        <w:rPr>
          <w:rFonts w:ascii="Times New Roman" w:cs="Times New Roman" w:eastAsia="Times New Roman" w:hAnsi="Times New Roman"/>
          <w:sz w:val="17"/>
          <w:szCs w:val="17"/>
          <w:i w:val="1"/>
          <w:iCs w:val="1"/>
          <w:color w:val="auto"/>
        </w:rPr>
        <w:t>Risk Fact</w:t>
      </w:r>
      <w:r>
        <w:rPr>
          <w:rFonts w:ascii="Times New Roman" w:cs="Times New Roman" w:eastAsia="Times New Roman" w:hAnsi="Times New Roman"/>
          <w:sz w:val="17"/>
          <w:szCs w:val="17"/>
          <w:color w:val="auto"/>
        </w:rPr>
        <w:t>ors” in this Annual Report on Form 10-K.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years ended December 31, 2018, 2017 and 2016:</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5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5"/>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97"/>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5"/>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152"/>
        </w:trPr>
        <w:tc>
          <w:tcPr>
            <w:tcW w:w="5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5"/>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(66,513)</w:t>
            </w:r>
          </w:p>
        </w:tc>
        <w:tc>
          <w:tcPr>
            <w:tcW w:w="3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tcPr>
          <w:p>
            <w:pPr>
              <w:spacing w:after="0"/>
              <w:rPr>
                <w:sz w:val="19"/>
                <w:szCs w:val="19"/>
                <w:color w:val="auto"/>
              </w:rPr>
            </w:pPr>
          </w:p>
        </w:tc>
      </w:tr>
      <w:tr>
        <w:trPr>
          <w:trHeight w:val="225"/>
        </w:trPr>
        <w:tc>
          <w:tcPr>
            <w:tcW w:w="5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(522,123)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00" w:type="dxa"/>
            <w:vAlign w:val="bottom"/>
            <w:shd w:val="clear" w:color="auto" w:fill="CFF0FC"/>
          </w:tcPr>
          <w:p>
            <w:pPr>
              <w:spacing w:after="0"/>
              <w:rPr>
                <w:sz w:val="19"/>
                <w:szCs w:val="19"/>
                <w:color w:val="auto"/>
              </w:rPr>
            </w:pPr>
          </w:p>
        </w:tc>
      </w:tr>
      <w:tr>
        <w:trPr>
          <w:trHeight w:val="225"/>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00" w:type="dxa"/>
            <w:vAlign w:val="bottom"/>
          </w:tcPr>
          <w:p>
            <w:pPr>
              <w:spacing w:after="0"/>
              <w:rPr>
                <w:sz w:val="19"/>
                <w:szCs w:val="19"/>
                <w:color w:val="auto"/>
              </w:rPr>
            </w:pPr>
          </w:p>
        </w:tc>
      </w:tr>
      <w:tr>
        <w:trPr>
          <w:trHeight w:val="225"/>
        </w:trPr>
        <w:tc>
          <w:tcPr>
            <w:tcW w:w="5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8"/>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6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499,876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Net cash used in operating activities was $76.1 million for the year ended December 31, 2018 and consisted primarily of net loss of $86.4 million adjusted for non-cash items of $58.7 million and a net decrease in operating assets and liabilities of $48.4 million. The significant non-cash items included stock-based compensation expense of $52.1 million, depreciation expense of $6.6 million, unrealized loss on our marketable equity investments of $1.1 million and realized foreign currency gain of $1.1 million. The significant items in the changes in operating assets and liabilities included decreases resulting from accounts receivable of $55.2 million and deferred revenue of $5.0 million, partially offset by increases resulting from accrued liabilities of $5.6 million, accounts payable of $3.6 million, other long-term liabilities of $1.6 million and other assets of $1.1 million. The change in accounts receivable was primarily related to the delivery of $43.9 million roxadustat API to Astellas in December 2018 under the Japan Amendment, as well as the timing of the receipt of payments and recognition of revenues under our collaboration agreements with Astellas and AstraZeneca. The change in deferred revenue was related to the recognition of revenues under our collaboration agreements with Astellas and AstraZeneca. The changes in accrued liabilities, accounts payable and other long-term liabilities were primarily driven by the timing of invoicing and payments. The change in other assets was primarily related to a cash refund for value added tax received by FibroGen China during the third quarter of 2018.</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19" w:name="page120"/>
    <w:bookmarkEnd w:id="119"/>
    <w:p>
      <w:pPr>
        <w:spacing w:after="0" w:line="248" w:lineRule="auto"/>
        <w:rPr>
          <w:sz w:val="20"/>
          <w:szCs w:val="20"/>
          <w:color w:val="auto"/>
        </w:rPr>
      </w:pPr>
      <w:r>
        <w:rPr>
          <w:rFonts w:ascii="Times New Roman" w:cs="Times New Roman" w:eastAsia="Times New Roman" w:hAnsi="Times New Roman"/>
          <w:sz w:val="18"/>
          <w:szCs w:val="18"/>
          <w:color w:val="auto"/>
        </w:rPr>
        <w:t>Net cash used in operating activities was $66.5 million for the year ended December 31, 2017, which consisted primarily of net loss of $120.9 million, adjusted for non-cash items of $45.3 million and a net increase in operating assets and liabilities of $9.0 million. The significant non-cash items included stock-based compensation expense of $37.5 million, depreciation expense of $6.1 million and amortization of bond premium/discount of $1.8 million. The significant items in the changes in operating assets and liabilities included increases resulted from accrued expenses of $9.2 million, accounts receivable of $2.0 million and other long-term liabilities of $1.6 million, partially offset by decreases resulted from other assets of $2.4 million and prepaid expenses and other current assets of $1.9 million. The changes in accrued liabilities and other long-term liabilities were primarily driven by clinical trial activities and the timing of payments. The change in accounts receivable were related to the timing of the receipt of upfront payments and recognition of revenues under our collaboration agreements with Astellas and AstraZeneca. The change in other assets was primarily driven by the input valuation added tax accumulated during the current year and payment for the land use right fee for the commercial active pharmaceutical ingredients manufacturing facility that we are establishing in China. The change in prepaid expenses and other current assets was primarily driven by the timing of invoicing and payments.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Net cash provided by operating activities was $7.1 million for the year ended December 31, 2016, which consisted primarily of net loss of $58.1 million, adjusted for non-cash items of $40.7 million and a net increase in operating assets and liabilities of $24.5 million. The significant non-cash items included stock-based compensation expense of $32.1 million, depreciation expense of $6.0 million and amortization of the premium on investments of $2.7 million. The significant items in the changes in operating assets and liabilities included increases resulted from deferred revenue of $13.2 million, accounts receivable of $5.0 million, accrued liabilities of $3.0 million, other long-term liabilities of $1.9 million, and prepaid expenses and other current assets of $1.1 million. The changes in deferred revenue and accounts receivable were related to the timing of the receipt of upfront payments and recognition of revenues under our collaboration agreements with Astellas and AstraZeneca. The change in accounts payable and accrued liabilities were primarily driven by clinical trial activities and the timing of payments. The changes in other long-term liabilities and prepaid expenses and other current assets were driven by the timing of invoicing and payments.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Investing activities primarily consist of purchases of property and equipment, purchases of investments, and proceeds from the maturity and sale of investments.</w:t>
      </w:r>
    </w:p>
    <w:p>
      <w:pPr>
        <w:spacing w:after="0" w:line="228"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was $522.1 million for the year ended December 31, 2018 and consisted of cash used in purchases of available-for-sale securities and term deposit of $576.9 million, and purchases of property and equipment of $8.0 million, partially offset by proceeds from maturities of investments of $54.4 million and sales of available-for-sale securities of $8.2 million.</w:t>
      </w:r>
    </w:p>
    <w:p>
      <w:pPr>
        <w:spacing w:after="0" w:line="177"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2017 was $69.9 million, which consisted of proceeds from maturities and sales of available-for-sale securities of $78.5 million, partially offset by cash used in purchases of property and equipment of $8.5 million.</w:t>
      </w:r>
    </w:p>
    <w:p>
      <w:pPr>
        <w:spacing w:after="0" w:line="16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2016 was $6.6 million, which consisted of proceeds from maturities and sales of available-for-sale securities of $16.9 million, partially offset by cash used in purchases of available-for-sale securities of $9.0 million and purchases of property and equipment of $1.3 million.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Financing activities primarily reflect proceeds from the issuance of our common stock, cash paid for payroll taxes on restricted stock unit releases, repayments of our lease liability.</w:t>
      </w:r>
    </w:p>
    <w:p>
      <w:pPr>
        <w:spacing w:after="0" w:line="165"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Net cash provided by financing activities was $13.9 million for the year ended December 31, 2018 and consisted primarily of $29.8 million of proceeds from the issuance of common stock upon exercise of stock options and purchases under ESPP, partially offset by $15.6 million of cash paid for payroll taxes on restricted stock unit releases, and $0.4 million of repayments on our lease liability.</w:t>
      </w:r>
    </w:p>
    <w:p>
      <w:pPr>
        <w:spacing w:after="0" w:line="17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2017 was $496.5 million, which consisted primarily of $471.2 million of total proceeds from follow-on offerings in April and August of 2017, net of underwriting discounts and commission costs, $34.9 million of proceeds from the issuance of common stock upon exercise of stock options and purchases under ESPP, partially offset by $8.3 million of cash paid for payroll taxes on restricted stock unit releases.</w:t>
      </w:r>
    </w:p>
    <w:p>
      <w:pPr>
        <w:spacing w:after="0" w:line="180"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2016 was $6.7 million, which consisted of $9.9 million of proceeds from the issuance of common stock upon exercise of stock options and purchases under ESPP, partially offset by $2.7 million of cash paid for payroll taxes on restricted stock unit releases and $0.4 million of repayments on our lease liability.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3"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During the year ended December 31, 2018,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provide indemnifications of varying scope and terms to vendors, lessors, business partners and other parties with respect to certain matters, including, but not limited to, losses arising out of breach of such agreements, solutions to be provided by us or from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2018, our contractual obligations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159"/>
              <w:spacing w:after="0" w:line="128"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3 - 5 Years</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5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4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27,207</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27,223</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71,146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18"/>
          <w:szCs w:val="18"/>
          <w:color w:val="auto"/>
        </w:rPr>
        <w:t>The contractual obligations table excludes uncertain tax benefits of approximately $28.0 million that are disclosed in Note 12 to the consolidated financial statements because these uncertain tax positions, if recognized, would be an adjustment to the deferred tax assets.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15"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As of December 31, 2018, we have several on-going clinical studies in various stages. Under agreements with various CROs, and clinical study sites, we incur expenses related to clinical studies of our product candidates and potential other clinical candidates. The timing and amounts of these disbursements are contingent upon the achievement of certain milestones, patient enrollment and services rendered or as expenses are incurred by the CROs or clinical trial sites. Therefore we cannot estimate the potential timing and amount of these payments and they have been excluded from the table above. Although our material contracts with CROs are cancellable, we have historically not cancelled such contracts.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Obligations</w:t>
      </w:r>
    </w:p>
    <w:p>
      <w:pPr>
        <w:spacing w:after="0" w:line="115" w:lineRule="exact"/>
        <w:rPr>
          <w:sz w:val="20"/>
          <w:szCs w:val="20"/>
          <w:color w:val="auto"/>
        </w:rPr>
      </w:pPr>
    </w:p>
    <w:p>
      <w:pPr>
        <w:ind w:right="440"/>
        <w:spacing w:after="0" w:line="304" w:lineRule="auto"/>
        <w:rPr>
          <w:sz w:val="20"/>
          <w:szCs w:val="20"/>
          <w:color w:val="auto"/>
        </w:rPr>
      </w:pPr>
      <w:r>
        <w:rPr>
          <w:rFonts w:ascii="Times New Roman" w:cs="Times New Roman" w:eastAsia="Times New Roman" w:hAnsi="Times New Roman"/>
          <w:sz w:val="17"/>
          <w:szCs w:val="17"/>
          <w:color w:val="auto"/>
        </w:rPr>
        <w:t>As of December 31, 2018, our FibroGen Europe Oy (“FibroGen Europe”) subsidiary had $10.8 million of principal outstanding and $6.0 million of interest accrued related to the TEKES loans, respectively, which have been included as product development obligations on our consolidated balance sheet.</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is no stated maturity date related to these loans and each loan may be forgiven if the research work funded by TEKES does not result in an economically profitable business or does not meet its technological objectives. In addition, we are not a guarantor of the TEKES loans, and these loans are not repayable by FibroGen Europe until it has distributable funds. We do not expect FibroGen Europe to have such funds for at least the next five years. For the foregoing reasons, we cannot estimate the potential timing and the amounts of repayments (if required) or forgiveness. As a result, the TEKES loans have been excluded from the table above.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revenues to date have been generated from our collaboration agreements.</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collaboration agreements include multiple performance obligations comprised of promised services, or bundles of services, that are distinct. Services that are not distinct are combined with other services in the agreement until they form a distinct bundle of services. Our process for identifying performance obligations and an enumeration of each obligation for each agreement is outlined in Note 3 “Collaboration Agreements” to our consolidated financial statements. Determining the performance obligations within a collaboration agreement often involves significant judgment and is specific to the facts and circumstances contained in each agreement.</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identified the following material promises under our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3 “Collaboration Agreements” to our consolidated financial statements.</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For revenue recognition purposes, we determine that the term of our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We believe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transaction price for each collaboration agreement is determined based on the amount of consideration we expect to be entitled for satisfying all performance obligations within the agreement. Our collaboration agreements include payments to us of one or more of the following: non-refundable upfront license fees; co-development billings; development, regulatory, and commercial milestone payments; and royalties on net sales of licensed products.</w:t>
      </w:r>
    </w:p>
    <w:p>
      <w:pPr>
        <w:spacing w:after="0" w:line="1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Upfront license fees are non-contingent and non-refundable in nature and are included in the transaction price at the point when the license fees become due to us.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7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Co-development billings resulting from our research and development efforts, which are reimbursable under our collaboration agreements, are considered variable consideration. Determining the reimbursable amount of research and development efforts requires detailed analysis of the terms of the collaboration agreements and the nature of the research and development efforts incurred. Determining the amount of variable consideration from co-development billings requires us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Milestone payments are also considered variable consideration, which requires us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22" w:name="page123"/>
    <w:bookmarkEnd w:id="122"/>
    <w:p>
      <w:pPr>
        <w:spacing w:after="0" w:line="250" w:lineRule="auto"/>
        <w:rPr>
          <w:sz w:val="20"/>
          <w:szCs w:val="20"/>
          <w:color w:val="auto"/>
        </w:rPr>
      </w:pPr>
      <w:r>
        <w:rPr>
          <w:rFonts w:ascii="Times New Roman" w:cs="Times New Roman" w:eastAsia="Times New Roman" w:hAnsi="Times New Roman"/>
          <w:sz w:val="18"/>
          <w:szCs w:val="18"/>
          <w:color w:val="auto"/>
        </w:rPr>
        <w:t>Product revenue consists primarily of sales of commercial-grade API used in support of pre-commercial validation work. In 2018, we recorded revenue from commercial-grade API sales to Astellas based on a transaction price that is subject to potential future adjustments. This represents a form of variable consideration. With respect to these sales in 2018, the transaction price will be adjusted at the time the roxadustat listed price is issued by the Japanese Ministry of Health, Labour and Welfare to reflect differences between estimated and actual listed price, yield from the manufacture of bulk product tablets, and bulk product manufacturing costs. We evaluate the latest available facts and circumstances, including listed prices of comparable drug products in Japan and historical bulk drug product manufacturing yields and costs, to determine whether any adjustments to the estimated transaction price is necessary. As of December 31, 2018, no new facts or circumstances were available to warrant an adjustment to the transaction price.</w:t>
      </w:r>
    </w:p>
    <w:p>
      <w:pPr>
        <w:spacing w:after="0" w:line="186"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8"/>
          <w:szCs w:val="18"/>
          <w:color w:val="auto"/>
        </w:rPr>
        <w:t>For arrangements that include sales-based royalties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our collaboration arrangements.</w:t>
      </w:r>
    </w:p>
    <w:p>
      <w:pPr>
        <w:spacing w:after="0" w:line="1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we separately sell the products and services. If an SSP is not directly observable, then we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86"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Significant judgment may be required in determining whether a performance obligation is distinct, determining the amount of variable consideration to be included in the transaction price, and estimating the SSP of each performance obligation. An enumeration of our significant judgments is outlined in Note 3 “Collaboration Agreements” to our consolidated financial statements.</w:t>
      </w:r>
    </w:p>
    <w:p>
      <w:pPr>
        <w:spacing w:after="0" w:line="17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For each performance obligation identified within an arrangement, we determine the period over which the promised services are transferred and the performance obligation is satisfied. Service revenue is recognized over time based on progress toward complete satisfaction of the performance obligation. We use an input method to measure progress toward the satisfaction of co-development services and certain other related performance obligations, which is based on costs of labor hours or full time equivalents and out-of-pocket expenses incurred relative to total expected costs to be incurred. We believe this measure of progress provides a faithful depiction of the transfer of services because other measures do not measure as accurately how we transfer our performance obligations to our collaboration partners.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Accruals</w:t>
      </w:r>
    </w:p>
    <w:p>
      <w:pPr>
        <w:spacing w:after="0" w:line="1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research organizations and clinical sites. We determine the actual costs through external service providers as well as confirmation with internal personnel as to the progress or stage of completion of trials or services and the agreed-upon fee to be paid for such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Deferred income taxes reflect the net tax effects of temporary differences between the carrying amounts of assets and liabilities for financial reporting purposes and the amounts used for income tax purposes. Operating loss and tax credit carryforwards are measured by applying currently enacted tax laws. We record a valuation allowance to reduce our deferred tax assets to reflect the net amount that we believe is more likely than not to be realized. Realization of our deferred tax assets is dependent upon the generation of future taxable income, the amount and timing of which are uncertain. The valuation allowance requires an assessment of both positive and negative evidence when determining whether it is more likely than not that deferred tax assets are recoverable; such assessment is required on a jurisdiction by jurisdiction basis. Based upon the weight of available evidence at December 31, 2018, we continue to maintain a full valuation allowance against all of our deferred tax assets after management considered all available evidence, both positive and negative, including but not limited to our historical operating results, income or loss in recent periods, cumulative income in recent years, forecasted earnings, future taxable income, and significant risk and uncertainty related to forecasts.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123" w:name="page124"/>
    <w:bookmarkEnd w:id="123"/>
    <w:p>
      <w:pPr>
        <w:ind w:right="40"/>
        <w:spacing w:after="0" w:line="265" w:lineRule="auto"/>
        <w:rPr>
          <w:sz w:val="20"/>
          <w:szCs w:val="20"/>
          <w:color w:val="auto"/>
        </w:rPr>
      </w:pPr>
      <w:r>
        <w:rPr>
          <w:rFonts w:ascii="Times New Roman" w:cs="Times New Roman" w:eastAsia="Times New Roman" w:hAnsi="Times New Roman"/>
          <w:sz w:val="17"/>
          <w:szCs w:val="17"/>
          <w:color w:val="auto"/>
        </w:rPr>
        <w:t>We recognize the tax effects of an uncertain tax position only if it is more likely than not to be sustained based solely on its technical merits as of the reporting date and only in an amount more likely than not to be sustained upon review by the tax authorities. We evaluate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our uncertain income tax positions is dependent on uncontrollable factors such as law changes, new case law, and the willingness of the income tax authorities to settle, including the timing thereof and other factors. Although we do not anticipate significant changes to our uncertain income tax positions in the next twelve months, items outside of our control could cause our uncertain income tax positions to change in the future, which would be recorded in our consolidated statements of operations. Interest and/or penalties related to income tax matters are recognized as a component of income tax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 options granted to our employees, directors and non-employees based on the estimated fair value of the award on the grant date. We use the Black-Scholes valuation model to estimate the fair value of stock option awards. The fair value is recognized as expense, net of estimated forfeitures, over the requisite service period, which is generally the vesting period of the respective award, on a straight-line basis. We believe that the fair value of stock options granted to non-employees is more reliably measured than the fair value of the services received. As such, the fair value of the unvested portion of the options granted to non-employees is re-measured as of each reporting date. The resulting increase in value, if any, is recognized as expense during the requisite service period on a straight-line basis. The determination of the grant date fair value of options using an option pricing model is affected by our estimated common stock fair value and requires management to make a number of assumptions, including the expected life of the option, the volatility of the underlying stock, the risk-free interest rate and expected dividends.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Guidance</w:t>
      </w:r>
    </w:p>
    <w:p>
      <w:pPr>
        <w:spacing w:after="0" w:line="11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(Topic 606) </w:t>
      </w:r>
      <w:r>
        <w:rPr>
          <w:rFonts w:ascii="Times New Roman" w:cs="Times New Roman" w:eastAsia="Times New Roman" w:hAnsi="Times New Roman"/>
          <w:sz w:val="18"/>
          <w:szCs w:val="18"/>
          <w:color w:val="auto"/>
        </w:rPr>
        <w:t>(“ASU 2014-09”), which supersedes the revenue recognition requirements in Accounting Standards Codification (“ASC”)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ASU 2014-09 is based on the principle that revenue is recognized to depict the transfer of goods or services to customers in an amount that reflects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Times New Roman" w:cs="Times New Roman" w:eastAsia="Times New Roman" w:hAnsi="Times New Roman"/>
          <w:sz w:val="18"/>
          <w:szCs w:val="18"/>
          <w:i w:val="1"/>
          <w:iCs w:val="1"/>
          <w:color w:val="auto"/>
        </w:rPr>
        <w:t>Revenue from Contracts with Customers (Topic 606): Principal versus Agent Considerations</w:t>
      </w:r>
      <w:r>
        <w:rPr>
          <w:rFonts w:ascii="Times New Roman" w:cs="Times New Roman" w:eastAsia="Times New Roman" w:hAnsi="Times New Roman"/>
          <w:sz w:val="18"/>
          <w:szCs w:val="18"/>
          <w:color w:val="auto"/>
        </w:rPr>
        <w:t xml:space="preserve">; ASU No. 2016-10,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 Identifying Performance Obligations and Licensing</w:t>
      </w:r>
      <w:r>
        <w:rPr>
          <w:rFonts w:ascii="Times New Roman" w:cs="Times New Roman" w:eastAsia="Times New Roman" w:hAnsi="Times New Roman"/>
          <w:sz w:val="18"/>
          <w:szCs w:val="18"/>
          <w:color w:val="auto"/>
        </w:rPr>
        <w:t>; ASU No. 2016-12,</w:t>
      </w:r>
      <w:r>
        <w:rPr>
          <w:rFonts w:ascii="Times New Roman" w:cs="Times New Roman" w:eastAsia="Times New Roman" w:hAnsi="Times New Roman"/>
          <w:sz w:val="18"/>
          <w:szCs w:val="18"/>
          <w:i w:val="1"/>
          <w:iCs w:val="1"/>
          <w:color w:val="auto"/>
        </w:rPr>
        <w:t xml:space="preserve"> Revenue from Contracts with Customers (Topic 606): Narrow-Scope Improvements and Practical Expedients</w:t>
      </w:r>
      <w:r>
        <w:rPr>
          <w:rFonts w:ascii="Times New Roman" w:cs="Times New Roman" w:eastAsia="Times New Roman" w:hAnsi="Times New Roman"/>
          <w:sz w:val="18"/>
          <w:szCs w:val="18"/>
          <w:color w:val="auto"/>
        </w:rPr>
        <w:t>; and ASU No. 2016-20,</w:t>
      </w:r>
      <w:r>
        <w:rPr>
          <w:rFonts w:ascii="Times New Roman" w:cs="Times New Roman" w:eastAsia="Times New Roman" w:hAnsi="Times New Roman"/>
          <w:sz w:val="18"/>
          <w:szCs w:val="18"/>
          <w:i w:val="1"/>
          <w:iCs w:val="1"/>
          <w:color w:val="auto"/>
        </w:rPr>
        <w:t xml:space="preserve"> Technical Corrections and Improvements to Topic 606, Revenue from Contracts with Customers </w:t>
      </w:r>
      <w:r>
        <w:rPr>
          <w:rFonts w:ascii="Times New Roman" w:cs="Times New Roman" w:eastAsia="Times New Roman" w:hAnsi="Times New Roman"/>
          <w:sz w:val="18"/>
          <w:szCs w:val="18"/>
          <w:color w:val="auto"/>
        </w:rPr>
        <w:t>(collectively, the “new revenue standards”). Under ASC 606, we recognize revenue when our customer obtains control of promised goods or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amount that reflects the consideration which we expect to receive in exchange for those goods or services. 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adopted the new revenue standards as of January 1, 2018 using the full retrospective method, which required us to recast the prior reporting period presented in the consolidated financial statements. The primary impact upon adoption of the new revenue standards relates to the manner in which revenue is recognized for co-development billings and milestone payments under our collaboration arrangements. Under the new revenue standards, both of these elements of consideration are considered variable consideration which requires us to make estimates of when co-development billings become due or when achievement of a particular milestone becomes probable. Payments are included in the transaction price when it becomes probable that inclusion would not lead to a significant revenue reversal. We have recast our consolidated statement of operations and balance sheet from amounts previously reported due to the adoption of the new revenue standards, which resulted in increases in revenue of $5.3 million and $3.6 million for the years ended December 31, 2017 and 2016, respectively. The adoption of the new revenue standards resulted in increases in deferred revenue, current, and deferred revenue, net of current, as of December 31, 2017 of $8.7 million and $26.0 million, respectively. The adoption of the new revenue standards also resulted in increases in the accumulated deficit of $34.7 million, $40.0 million and $43.7 million as of December 31, 2017, 2016 and 2015, respectively. The adoption of the new revenue standards had no impact to our previously reported consolidated statement of cash flows. Refer to Note 2 to the consolidated financial statements for details.</w:t>
      </w:r>
    </w:p>
    <w:p>
      <w:pPr>
        <w:spacing w:after="0" w:line="20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w:t>
      </w:r>
      <w:r>
        <w:rPr>
          <w:rFonts w:ascii="Times New Roman" w:cs="Times New Roman" w:eastAsia="Times New Roman" w:hAnsi="Times New Roman"/>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was effective for the annual reporting period beginning after December 15, 2017 and interim periods within those annual periods. We adopted this guidance as of January 1, 2018 using the modified retrospective approach, which resulted in a cumulative-effect adjustment of $1.3 million as a decrease in accumulated deficit on January 1, 2018, and an increase in accumulated other comprehensive loss. The adoption of this guidance had no impact to our consolidated statement of cash flows for the year ended December 31, 2018. Refer to Note 2 to the consolidated financial statements for details.</w:t>
      </w:r>
    </w:p>
    <w:p>
      <w:pPr>
        <w:spacing w:after="0" w:line="18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 - Stock Compensation (Topic 718): Scope of Modification Accounting</w:t>
      </w:r>
      <w:r>
        <w:rPr>
          <w:rFonts w:ascii="Times New Roman" w:cs="Times New Roman" w:eastAsia="Times New Roman" w:hAnsi="Times New Roman"/>
          <w:sz w:val="18"/>
          <w:szCs w:val="18"/>
          <w:color w:val="auto"/>
        </w:rPr>
        <w:t>. This guidance provides guidance about which changes to the terms or conditions of a stock-based payment award require an entity to apply modification accounting in Topic 718. This guidance was effective for annual reporting period beginning after December 15, 2017, including interim periods. We adopted this guidance as of January 1, 2018, and the adoption of this guidance had no impact to our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25" w:name="page126"/>
    <w:bookmarkEnd w:id="125"/>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This guidance requires companies to recognize the income tax effects of intercompany sales or transfer of assets, other than inventory, in the income statement as income tax expense (or benefit) in the period the sale or transfer occurs. The exception to recognizing the income tax effects of intercompany sales or transfer sales or transfer of assets remains in place for intercompany inventory sales and transfers. This guidance was effective for annual reporting period beginning after December 15, 2017, including interim periods. We adopted this guidance as of January 1, 2018 using the modified retrospective method. The adoption of this guidance did not result in any recognition of previously unrecognized deferred charges using a modified retrospective method, thus had no impact to our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7"/>
          <w:szCs w:val="17"/>
          <w:color w:val="auto"/>
        </w:rPr>
        <w:t xml:space="preserve">In August 2018, the FASB issued ASU 2018-15, </w:t>
      </w:r>
      <w:r>
        <w:rPr>
          <w:rFonts w:ascii="Times New Roman" w:cs="Times New Roman" w:eastAsia="Times New Roman" w:hAnsi="Times New Roman"/>
          <w:sz w:val="17"/>
          <w:szCs w:val="17"/>
          <w:i w:val="1"/>
          <w:iCs w:val="1"/>
          <w:color w:val="auto"/>
        </w:rPr>
        <w:t>Intangibles—Goodwill and Other—Internal-Use Software (Subtopic 350-40): Customer’s Accounting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Implementation Costs Incurred in a Cloud Computing Arrangement That Is a Service Contract. </w:t>
      </w:r>
      <w:r>
        <w:rPr>
          <w:rFonts w:ascii="Times New Roman" w:cs="Times New Roman" w:eastAsia="Times New Roman" w:hAnsi="Times New Roman"/>
          <w:sz w:val="17"/>
          <w:szCs w:val="17"/>
          <w:color w:val="auto"/>
        </w:rPr>
        <w:t>This guidance requires capitalizing implementation costs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incurred to develop or obtain internal-use software (and hosting arrangements that include an internal-use software license). This guidance should be applied either retrospectively or prospectively, and is effective for annual reporting period beginning after December 15, 2019 including interim periods, with early adoption permitted. We are currently evaluating the impact on our consolidated financial statements upon the adoption of this guidance.</w:t>
      </w:r>
    </w:p>
    <w:p>
      <w:pPr>
        <w:spacing w:after="0" w:line="16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 Requirements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Fair Value Measurement. </w:t>
      </w:r>
      <w:r>
        <w:rPr>
          <w:rFonts w:ascii="Times New Roman" w:cs="Times New Roman" w:eastAsia="Times New Roman" w:hAnsi="Times New Roman"/>
          <w:sz w:val="18"/>
          <w:szCs w:val="18"/>
          <w:color w:val="auto"/>
        </w:rPr>
        <w:t>This guidance amends existing fair value measurement disclosure requirements by adding, changing, or removing certain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guidance is effective for annual reporting period beginning after December 15, 2019 including interim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do not anticipate a material impact to our consolidated financial statements upon adoption of this guidance.</w:t>
      </w:r>
    </w:p>
    <w:p>
      <w:pPr>
        <w:spacing w:after="0" w:line="18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This guidance expands the scope of Topic 718 to include share-based payment transactions for acquiring goods and services from nonemployees.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is effective for annual reporting period beginning after December 15, 2018, including interim periods. We will adopt this guidance on January 1, 2019 and do not anticipate a material impact to our consolidated financial statements upon adoption.</w:t>
      </w:r>
    </w:p>
    <w:p>
      <w:pPr>
        <w:spacing w:after="0" w:line="1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Income Statement - Reporting Comprehensive Income: Reclassification of Certain Tax effects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This guidance allows for the reclassification from accumulated other comprehensive income to retained earnings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stranded tax effects arising from the change in the reduction of the U.S. federal statutory income tax rate from 35% to 21%. This guidance is effective for annual reporting period beginning after December 15, 2018, including interim periods, with early adoption permitted. We will adopt this guidance on January 1, 2019 and anticipate a reclassification of $0.6 million from the accumulated other comprehensive loss to the accumulated deficit upon adoption.</w:t>
      </w:r>
    </w:p>
    <w:p>
      <w:pPr>
        <w:spacing w:after="0" w:line="1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(“ASU 2016-13”).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In November 2018, the FASB issued ASU 2018-19, </w:t>
      </w:r>
      <w:r>
        <w:rPr>
          <w:rFonts w:ascii="Times New Roman" w:cs="Times New Roman" w:eastAsia="Times New Roman" w:hAnsi="Times New Roman"/>
          <w:sz w:val="18"/>
          <w:szCs w:val="18"/>
          <w:i w:val="1"/>
          <w:iCs w:val="1"/>
          <w:color w:val="auto"/>
        </w:rPr>
        <w:t>Codification Improvements to Topic 326, Financial Instruments-Credit Losses</w:t>
      </w:r>
      <w:r>
        <w:rPr>
          <w:rFonts w:ascii="Times New Roman" w:cs="Times New Roman" w:eastAsia="Times New Roman" w:hAnsi="Times New Roman"/>
          <w:sz w:val="18"/>
          <w:szCs w:val="18"/>
          <w:color w:val="auto"/>
        </w:rPr>
        <w:t xml:space="preserve"> (“ASU 2018-19”), which clarifies certain topics included within ASU 2016-13. ASU 2016-13 and ASU 2018-19 are effective for the annual reporting period beginning after December 15, 2019, including interim periods within that reporting period. We are currently evaluating the impact on our consolidated financial statements upon the adoption of this guidance.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26" w:name="page127"/>
    <w:bookmarkEnd w:id="126"/>
    <w:p>
      <w:pPr>
        <w:spacing w:after="0" w:line="248"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(“ASU 2018-11”)</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which provides entities the option to initially apply ASU 2016-02 at the adoption date and recognize a cumulative-effect adjustment to the opening balance of retained earnings in the period of adoption. ASU 2016-02 and ASU 2018-11 are effective for the annual reporting period beginning after December 15, 2018, including interim periods within that reporting period. We will adopt this guidance as of January 1, 2019 and utilize the modified retrospective transition method through a cumulative-effect adjustment at the beginning of the first quarter of 2019. Based on the current evaluation, we anticipate a recognition of approximately $47 million to $62 million in right-of-use assets and approximately $57 million to $67 million in lease liabilities, respectively, upon adoption of this guidance, for our operating leases and facility leases disclosed in Note 8 to our consolidated balance sheets. Accordingly, the related balances as of December 31, 2018 in property and equipment, net, and long-term portion of lease financing obligations would be removed. We do not anticipate a material impact to our consolidated statement of operations or consolidated statement of cash flows upon adoption of this guidance.</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60"/>
          </w:cols>
          <w:pgMar w:left="240" w:top="649" w:right="2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RISKS</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The functional currency of our FibroGen Europe Oy subsidiary is the local currency. Most of our revenue from collaboration agreements are denominated in U.S. dollars, and therefore our revenue is not currently subject to significant foreign currency risk. Our operating expenses are denominated in the currencies of the countries in which our operations are located, which are primarily in the United States, China, and Europe. Our consolidated results of operations and cash flows are, therefore, subject to fluctuations due to changes in foreign currency exchange rates and may be adversely affected in the future due to changes in foreign exchange rates.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2018, our financial assets and liabilities denominated in foreign currencies primarily included CNY22.5 million in cash and cash equivalent, and CNY14.4 million, EUR5.9 million and GBP0.6 million in accounts payable and accrued liabilities. These balances are subject to fluctuation in the exchange rate with the U.S. dollar. The effect of a hypothetical 10% change in foreign currency exchange rates would have resulted in a net gain or loss on foreign currency of approximately $0.6 million for the year ended December 31, 2018.</w:t>
      </w:r>
    </w:p>
    <w:p>
      <w:pPr>
        <w:spacing w:after="0" w:line="18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to fund our operations. We also seek to maximize income from our cash and cash equivalents without assuming significant risk. To achieve our objectives, we invest our non-operating cash and cash equivalents primarily in U.S. government treasury bills and notes. A portion of our investments is also invested in certificates of deposit and demand deposits with high quality and established banking institutions. Given the nature of our investments as of December 31, 2018, we believe that our exposure to interest rate risk is not significant. We actively monitor changes in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not entered into any hedging arrangements with respect to foreign currency risk or other derivative financial instruments.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331" w:right="2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FibroGen, Inc.</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6"/>
        </w:trPr>
        <w:tc>
          <w:tcPr>
            <w:tcW w:w="10860" w:type="dxa"/>
            <w:vAlign w:val="bottom"/>
            <w:gridSpan w:val="10"/>
            <w:vMerge w:val="continue"/>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20" w:type="dxa"/>
            <w:vAlign w:val="bottom"/>
          </w:tcPr>
          <w:p>
            <w:pPr>
              <w:spacing w:after="0"/>
              <w:rPr>
                <w:sz w:val="24"/>
                <w:szCs w:val="24"/>
                <w:color w:val="auto"/>
              </w:rPr>
            </w:pPr>
          </w:p>
        </w:tc>
        <w:tc>
          <w:tcPr>
            <w:tcW w:w="4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30">
              <w:r>
                <w:rPr>
                  <w:rFonts w:ascii="Times New Roman" w:cs="Times New Roman" w:eastAsia="Times New Roman" w:hAnsi="Times New Roman"/>
                  <w:sz w:val="18"/>
                  <w:szCs w:val="18"/>
                  <w:color w:val="0000EE"/>
                  <w:w w:val="97"/>
                </w:rPr>
                <w:t>Report of Independent Registered Public Accounting Firm</w:t>
              </w:r>
            </w:hyperlink>
          </w:p>
        </w:tc>
        <w:tc>
          <w:tcPr>
            <w:tcW w:w="650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378"/>
        </w:trPr>
        <w:tc>
          <w:tcPr>
            <w:tcW w:w="108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06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32">
              <w:r>
                <w:rPr>
                  <w:rFonts w:ascii="Times New Roman" w:cs="Times New Roman" w:eastAsia="Times New Roman" w:hAnsi="Times New Roman"/>
                  <w:sz w:val="18"/>
                  <w:szCs w:val="18"/>
                  <w:color w:val="0000EE"/>
                  <w:w w:val="97"/>
                </w:rPr>
                <w:t>Consolidated Balance Sheets</w:t>
              </w:r>
            </w:hyperlink>
          </w:p>
        </w:tc>
        <w:tc>
          <w:tcPr>
            <w:tcW w:w="8580" w:type="dxa"/>
            <w:vAlign w:val="bottom"/>
            <w:gridSpan w:val="8"/>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10640" w:type="dxa"/>
            <w:vAlign w:val="bottom"/>
            <w:gridSpan w:val="9"/>
          </w:tcPr>
          <w:p>
            <w:pPr>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Consolidated Statements of Operations</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20" w:type="dxa"/>
            <w:vAlign w:val="bottom"/>
          </w:tcPr>
          <w:p>
            <w:pPr>
              <w:spacing w:after="0"/>
              <w:rPr>
                <w:sz w:val="24"/>
                <w:szCs w:val="24"/>
                <w:color w:val="auto"/>
              </w:rPr>
            </w:pPr>
          </w:p>
        </w:tc>
        <w:tc>
          <w:tcPr>
            <w:tcW w:w="34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134">
              <w:r>
                <w:rPr>
                  <w:rFonts w:ascii="Times New Roman" w:cs="Times New Roman" w:eastAsia="Times New Roman" w:hAnsi="Times New Roman"/>
                  <w:sz w:val="18"/>
                  <w:szCs w:val="18"/>
                  <w:color w:val="0000EE"/>
                  <w:w w:val="97"/>
                </w:rPr>
                <w:t>Consolidated Statements of Comprehensive Loss</w:t>
              </w:r>
            </w:hyperlink>
          </w:p>
        </w:tc>
        <w:tc>
          <w:tcPr>
            <w:tcW w:w="7160" w:type="dxa"/>
            <w:vAlign w:val="bottom"/>
            <w:gridSpan w:val="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10640" w:type="dxa"/>
            <w:vAlign w:val="bottom"/>
            <w:gridSpan w:val="9"/>
          </w:tcPr>
          <w:p>
            <w:pPr>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Consolidated Statements of Changes in Stockholders' Equity</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28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36">
              <w:r>
                <w:rPr>
                  <w:rFonts w:ascii="Times New Roman" w:cs="Times New Roman" w:eastAsia="Times New Roman" w:hAnsi="Times New Roman"/>
                  <w:sz w:val="18"/>
                  <w:szCs w:val="18"/>
                  <w:color w:val="0000EE"/>
                  <w:w w:val="97"/>
                </w:rPr>
                <w:t>Consolidated Statements of Cash Flows</w:t>
              </w:r>
            </w:hyperlink>
          </w:p>
        </w:tc>
        <w:tc>
          <w:tcPr>
            <w:tcW w:w="1460" w:type="dxa"/>
            <w:vAlign w:val="bottom"/>
            <w:tcBorders>
              <w:top w:val="single" w:sz="8" w:color="0000EE"/>
            </w:tcBorders>
            <w:gridSpan w:val="4"/>
          </w:tcPr>
          <w:p>
            <w:pPr>
              <w:spacing w:after="0"/>
              <w:rPr>
                <w:sz w:val="24"/>
                <w:szCs w:val="24"/>
                <w:color w:val="auto"/>
              </w:rPr>
            </w:pPr>
          </w:p>
        </w:tc>
        <w:tc>
          <w:tcPr>
            <w:tcW w:w="636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338"/>
        </w:trPr>
        <w:tc>
          <w:tcPr>
            <w:tcW w:w="220" w:type="dxa"/>
            <w:vAlign w:val="bottom"/>
          </w:tcPr>
          <w:p>
            <w:pPr>
              <w:spacing w:after="0"/>
              <w:rPr>
                <w:sz w:val="24"/>
                <w:szCs w:val="24"/>
                <w:color w:val="auto"/>
              </w:rPr>
            </w:pPr>
          </w:p>
        </w:tc>
        <w:tc>
          <w:tcPr>
            <w:tcW w:w="31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37">
              <w:r>
                <w:rPr>
                  <w:rFonts w:ascii="Times New Roman" w:cs="Times New Roman" w:eastAsia="Times New Roman" w:hAnsi="Times New Roman"/>
                  <w:sz w:val="18"/>
                  <w:szCs w:val="18"/>
                  <w:color w:val="0000EE"/>
                  <w:w w:val="97"/>
                </w:rPr>
                <w:t>Notes to Consolidated Financial Statements</w:t>
              </w:r>
            </w:hyperlink>
          </w:p>
        </w:tc>
        <w:tc>
          <w:tcPr>
            <w:tcW w:w="754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378"/>
        </w:trPr>
        <w:tc>
          <w:tcPr>
            <w:tcW w:w="108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64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167">
              <w:r>
                <w:rPr>
                  <w:rFonts w:ascii="Times New Roman" w:cs="Times New Roman" w:eastAsia="Times New Roman" w:hAnsi="Times New Roman"/>
                  <w:sz w:val="18"/>
                  <w:szCs w:val="18"/>
                  <w:color w:val="0000EE"/>
                  <w:w w:val="97"/>
                </w:rPr>
                <w:t>II Valuation and Qualifying Accounts for each of the three years ended December 31, 2018</w:t>
              </w:r>
            </w:hyperlink>
          </w:p>
        </w:tc>
        <w:tc>
          <w:tcPr>
            <w:tcW w:w="42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458"/>
        </w:trPr>
        <w:tc>
          <w:tcPr>
            <w:tcW w:w="108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supplementary financial information required by this Item 8 is included in Item 7 under the caption “Quarterly Results of Operations”.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6660" w:type="dxa"/>
            <w:vAlign w:val="bottom"/>
            <w:gridSpan w:val="9"/>
          </w:tcPr>
          <w:p>
            <w:pPr>
              <w:ind w:left="5580"/>
              <w:spacing w:after="0"/>
              <w:rPr>
                <w:sz w:val="20"/>
                <w:szCs w:val="20"/>
                <w:color w:val="auto"/>
              </w:rPr>
            </w:pPr>
            <w:r>
              <w:rPr>
                <w:rFonts w:ascii="Times New Roman" w:cs="Times New Roman" w:eastAsia="Times New Roman" w:hAnsi="Times New Roman"/>
                <w:sz w:val="18"/>
                <w:szCs w:val="18"/>
                <w:color w:val="auto"/>
              </w:rPr>
              <w:t>128</w:t>
            </w:r>
          </w:p>
        </w:tc>
        <w:tc>
          <w:tcPr>
            <w:tcW w:w="4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29" w:name="page130"/>
    <w:bookmarkEnd w:id="129"/>
    <w:p>
      <w:pPr>
        <w:ind w:left="35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FibroGen, Inc.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FibroGen, Inc. and its subsidiaries (the “Company”) as of December 31, 2018 and 2017, and the related consolidated statements of operations, of comprehensive loss, of changes in stockholders’ equity and of cash flows for each of the three years in the period ended December 31, 2018, including the related notes and financial statement schedule listed in the accompanying index (collectively referred to as the “consolidated financial statements”). We also have audited the Company's internal control over financial reporting as of December 31, 2018,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w:t>
      </w:r>
    </w:p>
    <w:p>
      <w:pPr>
        <w:spacing w:after="0" w:line="16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19" w:lineRule="exact"/>
        <w:rPr>
          <w:sz w:val="20"/>
          <w:szCs w:val="20"/>
          <w:color w:val="auto"/>
        </w:rPr>
      </w:pPr>
    </w:p>
    <w:p>
      <w:pPr>
        <w:ind w:right="660"/>
        <w:spacing w:after="0" w:line="273"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revenues from contracts with customers in 2018.</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152"/>
        </w:trPr>
        <w:tc>
          <w:tcPr>
            <w:tcW w:w="78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473"/>
              <w:spacing w:after="0" w:line="152" w:lineRule="exact"/>
              <w:rPr>
                <w:sz w:val="20"/>
                <w:szCs w:val="20"/>
                <w:color w:val="auto"/>
              </w:rPr>
            </w:pPr>
            <w:r>
              <w:rPr>
                <w:rFonts w:ascii="Times New Roman" w:cs="Times New Roman" w:eastAsia="Times New Roman" w:hAnsi="Times New Roman"/>
                <w:sz w:val="14"/>
                <w:szCs w:val="14"/>
                <w:b w:val="1"/>
                <w:bCs w:val="1"/>
                <w:color w:val="auto"/>
              </w:rPr>
              <w:t>(Note 2)</w:t>
            </w:r>
          </w:p>
        </w:tc>
        <w:tc>
          <w:tcPr>
            <w:tcW w:w="100" w:type="dxa"/>
            <w:vAlign w:val="bottom"/>
          </w:tcPr>
          <w:p>
            <w:pPr>
              <w:spacing w:after="0"/>
              <w:rPr>
                <w:sz w:val="13"/>
                <w:szCs w:val="13"/>
                <w:color w:val="auto"/>
              </w:rPr>
            </w:pPr>
          </w:p>
        </w:tc>
      </w:tr>
      <w:tr>
        <w:trPr>
          <w:trHeight w:val="22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89,258</w:t>
            </w:r>
          </w:p>
        </w:tc>
        <w:tc>
          <w:tcPr>
            <w:tcW w:w="3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673,658</w:t>
            </w: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($47,210 and $4,004 from a related party)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Borders>
              <w:bottom w:val="single" w:sz="8" w:color="CFF0FC"/>
            </w:tcBorders>
          </w:tcPr>
          <w:p>
            <w:pPr>
              <w:spacing w:after="0"/>
              <w:rPr>
                <w:sz w:val="19"/>
                <w:szCs w:val="19"/>
                <w:color w:val="auto"/>
              </w:rPr>
            </w:pPr>
          </w:p>
        </w:tc>
      </w:tr>
      <w:tr>
        <w:trPr>
          <w:trHeight w:val="218"/>
        </w:trPr>
        <w:tc>
          <w:tcPr>
            <w:tcW w:w="78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690,015</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748,970</w:t>
            </w:r>
          </w:p>
        </w:tc>
        <w:tc>
          <w:tcPr>
            <w:tcW w:w="100" w:type="dxa"/>
            <w:vAlign w:val="bottom"/>
            <w:shd w:val="clear" w:color="auto" w:fill="CFF0FC"/>
          </w:tcPr>
          <w:p>
            <w:pPr>
              <w:spacing w:after="0"/>
              <w:rPr>
                <w:sz w:val="18"/>
                <w:szCs w:val="18"/>
                <w:color w:val="auto"/>
              </w:rPr>
            </w:pPr>
          </w:p>
        </w:tc>
      </w:tr>
      <w:tr>
        <w:trPr>
          <w:trHeight w:val="225"/>
        </w:trPr>
        <w:tc>
          <w:tcPr>
            <w:tcW w:w="7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time deposits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129,476</w:t>
            </w: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Borders>
              <w:bottom w:val="single" w:sz="8" w:color="CFF0FC"/>
            </w:tcBorders>
          </w:tcPr>
          <w:p>
            <w:pPr>
              <w:spacing w:after="0"/>
              <w:rPr>
                <w:sz w:val="19"/>
                <w:szCs w:val="19"/>
                <w:color w:val="auto"/>
              </w:rPr>
            </w:pPr>
          </w:p>
        </w:tc>
      </w:tr>
      <w:tr>
        <w:trPr>
          <w:trHeight w:val="218"/>
        </w:trPr>
        <w:tc>
          <w:tcPr>
            <w:tcW w:w="78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880,598</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898,650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7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stockholders’ equity and non-controlling interests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3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 ($444 and $272 to a related party)</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100" w:type="dxa"/>
            <w:vAlign w:val="bottom"/>
            <w:shd w:val="clear" w:color="auto" w:fill="CFF0FC"/>
          </w:tcPr>
          <w:p>
            <w:pPr>
              <w:spacing w:after="0"/>
              <w:rPr>
                <w:sz w:val="19"/>
                <w:szCs w:val="19"/>
                <w:color w:val="auto"/>
              </w:rPr>
            </w:pPr>
          </w:p>
        </w:tc>
      </w:tr>
      <w:tr>
        <w:trPr>
          <w:trHeight w:val="218"/>
        </w:trPr>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85,960</w:t>
            </w:r>
          </w:p>
        </w:tc>
        <w:tc>
          <w:tcPr>
            <w:tcW w:w="100" w:type="dxa"/>
            <w:vAlign w:val="bottom"/>
          </w:tcPr>
          <w:p>
            <w:pPr>
              <w:spacing w:after="0"/>
              <w:rPr>
                <w:sz w:val="18"/>
                <w:szCs w:val="18"/>
                <w:color w:val="auto"/>
              </w:rPr>
            </w:pPr>
          </w:p>
        </w:tc>
      </w:tr>
      <w:tr>
        <w:trPr>
          <w:trHeight w:val="225"/>
        </w:trPr>
        <w:tc>
          <w:tcPr>
            <w:tcW w:w="7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lease financing obligations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97,763</w:t>
            </w: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 obligations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138,241</w:t>
            </w: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00" w:type="dxa"/>
            <w:vAlign w:val="bottom"/>
            <w:tcBorders>
              <w:bottom w:val="single" w:sz="8" w:color="CFF0FC"/>
            </w:tcBorders>
          </w:tcPr>
          <w:p>
            <w:pPr>
              <w:spacing w:after="0"/>
              <w:rPr>
                <w:sz w:val="19"/>
                <w:szCs w:val="19"/>
                <w:color w:val="auto"/>
              </w:rPr>
            </w:pPr>
          </w:p>
        </w:tc>
      </w:tr>
      <w:tr>
        <w:trPr>
          <w:trHeight w:val="218"/>
        </w:trPr>
        <w:tc>
          <w:tcPr>
            <w:tcW w:w="78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352,128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350,912</w:t>
            </w:r>
          </w:p>
        </w:tc>
        <w:tc>
          <w:tcPr>
            <w:tcW w:w="100" w:type="dxa"/>
            <w:vAlign w:val="bottom"/>
            <w:shd w:val="clear" w:color="auto" w:fill="CFF0FC"/>
          </w:tcPr>
          <w:p>
            <w:pPr>
              <w:spacing w:after="0"/>
              <w:rPr>
                <w:sz w:val="18"/>
                <w:szCs w:val="18"/>
                <w:color w:val="auto"/>
              </w:rPr>
            </w:pPr>
          </w:p>
        </w:tc>
      </w:tr>
      <w:tr>
        <w:trPr>
          <w:trHeight w:val="225"/>
        </w:trPr>
        <w:tc>
          <w:tcPr>
            <w:tcW w:w="7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7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7"/>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$0.01 par value; 125,000 shares authorized; no shares issued</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outstanding at December 31, 2018 and December 31, 2017</w:t>
            </w:r>
          </w:p>
        </w:tc>
        <w:tc>
          <w:tcPr>
            <w:tcW w:w="16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$0.01 par value; 225,000 shares authorized at December 31, 2018</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December 31, 2017; 85,432 and 82,498 shares issued and outstanding at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2018 and December 31, 2017</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FF0FC"/>
          </w:tcPr>
          <w:p>
            <w:pPr>
              <w:spacing w:after="0"/>
              <w:rPr>
                <w:sz w:val="20"/>
                <w:szCs w:val="20"/>
                <w:color w:val="auto"/>
              </w:rPr>
            </w:pPr>
          </w:p>
        </w:tc>
      </w:tr>
      <w:tr>
        <w:trPr>
          <w:trHeight w:val="225"/>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1,226,453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1,160,094</w:t>
            </w:r>
          </w:p>
        </w:tc>
        <w:tc>
          <w:tcPr>
            <w:tcW w:w="100" w:type="dxa"/>
            <w:vAlign w:val="bottom"/>
          </w:tcPr>
          <w:p>
            <w:pPr>
              <w:spacing w:after="0"/>
              <w:rPr>
                <w:sz w:val="19"/>
                <w:szCs w:val="19"/>
                <w:color w:val="auto"/>
              </w:rPr>
            </w:pPr>
          </w:p>
        </w:tc>
      </w:tr>
      <w:tr>
        <w:trPr>
          <w:trHeight w:val="225"/>
        </w:trPr>
        <w:tc>
          <w:tcPr>
            <w:tcW w:w="7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(2,281)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(1,795)</w:t>
            </w:r>
          </w:p>
        </w:tc>
      </w:tr>
      <w:tr>
        <w:trPr>
          <w:trHeight w:val="225"/>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(715,827)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(630,657)</w:t>
            </w:r>
          </w:p>
        </w:tc>
      </w:tr>
      <w:tr>
        <w:trPr>
          <w:trHeight w:val="218"/>
        </w:trPr>
        <w:tc>
          <w:tcPr>
            <w:tcW w:w="7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509,199</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528,467</w:t>
            </w:r>
          </w:p>
        </w:tc>
        <w:tc>
          <w:tcPr>
            <w:tcW w:w="100" w:type="dxa"/>
            <w:vAlign w:val="bottom"/>
            <w:tcBorders>
              <w:top w:val="single" w:sz="8" w:color="CFF0FC"/>
            </w:tcBorders>
            <w:shd w:val="clear" w:color="auto" w:fill="CFF0FC"/>
          </w:tcPr>
          <w:p>
            <w:pPr>
              <w:spacing w:after="0"/>
              <w:rPr>
                <w:sz w:val="18"/>
                <w:szCs w:val="18"/>
                <w:color w:val="auto"/>
              </w:rPr>
            </w:pPr>
          </w:p>
        </w:tc>
      </w:tr>
      <w:tr>
        <w:trPr>
          <w:trHeight w:val="225"/>
        </w:trPr>
        <w:tc>
          <w:tcPr>
            <w:tcW w:w="7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00" w:type="dxa"/>
            <w:vAlign w:val="bottom"/>
            <w:tcBorders>
              <w:bottom w:val="single" w:sz="8" w:color="CFF0FC"/>
            </w:tcBorders>
          </w:tcPr>
          <w:p>
            <w:pPr>
              <w:spacing w:after="0"/>
              <w:rPr>
                <w:sz w:val="19"/>
                <w:szCs w:val="19"/>
                <w:color w:val="auto"/>
              </w:rPr>
            </w:pPr>
          </w:p>
        </w:tc>
      </w:tr>
      <w:tr>
        <w:trPr>
          <w:trHeight w:val="218"/>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528,470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547,738</w:t>
            </w:r>
          </w:p>
        </w:tc>
        <w:tc>
          <w:tcPr>
            <w:tcW w:w="100" w:type="dxa"/>
            <w:vAlign w:val="bottom"/>
            <w:shd w:val="clear" w:color="auto" w:fill="CFF0FC"/>
          </w:tcPr>
          <w:p>
            <w:pPr>
              <w:spacing w:after="0"/>
              <w:rPr>
                <w:sz w:val="18"/>
                <w:szCs w:val="18"/>
                <w:color w:val="auto"/>
              </w:rPr>
            </w:pPr>
          </w:p>
        </w:tc>
      </w:tr>
      <w:tr>
        <w:trPr>
          <w:trHeight w:val="21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stockholders’ equity and non-controlling interests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880,598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898,650</w:t>
            </w:r>
          </w:p>
        </w:tc>
        <w:tc>
          <w:tcPr>
            <w:tcW w:w="10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2"/>
        </w:trPr>
        <w:tc>
          <w:tcPr>
            <w:tcW w:w="65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14"/>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4"/>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r>
      <w:tr>
        <w:trPr>
          <w:trHeight w:val="152"/>
        </w:trPr>
        <w:tc>
          <w:tcPr>
            <w:tcW w:w="6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214"/>
              <w:spacing w:after="0" w:line="152" w:lineRule="exact"/>
              <w:rPr>
                <w:sz w:val="20"/>
                <w:szCs w:val="20"/>
                <w:color w:val="auto"/>
              </w:rPr>
            </w:pPr>
            <w:r>
              <w:rPr>
                <w:rFonts w:ascii="Times New Roman" w:cs="Times New Roman" w:eastAsia="Times New Roman" w:hAnsi="Times New Roman"/>
                <w:sz w:val="14"/>
                <w:szCs w:val="14"/>
                <w:b w:val="1"/>
                <w:bCs w:val="1"/>
                <w:color w:val="auto"/>
              </w:rPr>
              <w:t>(Note 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94"/>
              <w:spacing w:after="0" w:line="152" w:lineRule="exact"/>
              <w:rPr>
                <w:sz w:val="20"/>
                <w:szCs w:val="20"/>
                <w:color w:val="auto"/>
              </w:rPr>
            </w:pPr>
            <w:r>
              <w:rPr>
                <w:rFonts w:ascii="Times New Roman" w:cs="Times New Roman" w:eastAsia="Times New Roman" w:hAnsi="Times New Roman"/>
                <w:sz w:val="14"/>
                <w:szCs w:val="14"/>
                <w:b w:val="1"/>
                <w:bCs w:val="1"/>
                <w:color w:val="auto"/>
              </w:rPr>
              <w:t>(Note 2)</w:t>
            </w:r>
          </w:p>
        </w:tc>
        <w:tc>
          <w:tcPr>
            <w:tcW w:w="120" w:type="dxa"/>
            <w:vAlign w:val="bottom"/>
          </w:tcPr>
          <w:p>
            <w:pPr>
              <w:spacing w:after="0"/>
              <w:rPr>
                <w:sz w:val="13"/>
                <w:szCs w:val="13"/>
                <w:color w:val="auto"/>
              </w:rPr>
            </w:pPr>
          </w:p>
        </w:tc>
      </w:tr>
      <w:tr>
        <w:trPr>
          <w:trHeight w:val="225"/>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7"/>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License revenue (includes $14,323, $0 and $9,548</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a related party)</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22,269</w:t>
            </w:r>
          </w:p>
        </w:tc>
        <w:tc>
          <w:tcPr>
            <w:tcW w:w="120" w:type="dxa"/>
            <w:vAlign w:val="bottom"/>
          </w:tcPr>
          <w:p>
            <w:pPr>
              <w:spacing w:after="0"/>
              <w:rPr>
                <w:sz w:val="20"/>
                <w:szCs w:val="20"/>
                <w:color w:val="auto"/>
              </w:rPr>
            </w:pPr>
          </w:p>
        </w:tc>
        <w:tc>
          <w:tcPr>
            <w:tcW w:w="44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28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50,607</w:t>
            </w:r>
          </w:p>
        </w:tc>
        <w:tc>
          <w:tcPr>
            <w:tcW w:w="120" w:type="dxa"/>
            <w:vAlign w:val="bottom"/>
          </w:tcPr>
          <w:p>
            <w:pPr>
              <w:spacing w:after="0"/>
              <w:rPr>
                <w:sz w:val="20"/>
                <w:szCs w:val="20"/>
                <w:color w:val="auto"/>
              </w:rPr>
            </w:pPr>
          </w:p>
        </w:tc>
      </w:tr>
      <w:tr>
        <w:trPr>
          <w:trHeight w:val="207"/>
        </w:trPr>
        <w:tc>
          <w:tcPr>
            <w:tcW w:w="6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Development and other revenue (includes $20,903, $20,111</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$21,775 from a related party)</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125,913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121,063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132,582</w:t>
            </w:r>
          </w:p>
        </w:tc>
        <w:tc>
          <w:tcPr>
            <w:tcW w:w="120" w:type="dxa"/>
            <w:vAlign w:val="bottom"/>
            <w:shd w:val="clear" w:color="auto" w:fill="CFF0FC"/>
          </w:tcPr>
          <w:p>
            <w:pPr>
              <w:spacing w:after="0"/>
              <w:rPr>
                <w:sz w:val="20"/>
                <w:szCs w:val="20"/>
                <w:color w:val="auto"/>
              </w:rPr>
            </w:pPr>
          </w:p>
        </w:tc>
      </w:tr>
      <w:tr>
        <w:trPr>
          <w:trHeight w:val="225"/>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revenue (includes $64,776, $0, and $0 from a related party)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650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212,958</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130,996</w:t>
            </w:r>
          </w:p>
        </w:tc>
        <w:tc>
          <w:tcPr>
            <w:tcW w:w="2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183,189</w:t>
            </w:r>
          </w:p>
        </w:tc>
        <w:tc>
          <w:tcPr>
            <w:tcW w:w="120" w:type="dxa"/>
            <w:vAlign w:val="bottom"/>
            <w:tcBorders>
              <w:top w:val="single" w:sz="8" w:color="CFF0FC"/>
            </w:tcBorders>
            <w:shd w:val="clear" w:color="auto" w:fill="CFF0FC"/>
          </w:tcPr>
          <w:p>
            <w:pPr>
              <w:spacing w:after="0"/>
              <w:rPr>
                <w:sz w:val="18"/>
                <w:szCs w:val="18"/>
                <w:color w:val="auto"/>
              </w:rPr>
            </w:pPr>
          </w:p>
        </w:tc>
      </w:tr>
      <w:tr>
        <w:trPr>
          <w:trHeight w:val="225"/>
        </w:trPr>
        <w:tc>
          <w:tcPr>
            <w:tcW w:w="6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196,517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187,206</w:t>
            </w:r>
          </w:p>
        </w:tc>
        <w:tc>
          <w:tcPr>
            <w:tcW w:w="120" w:type="dxa"/>
            <w:vAlign w:val="bottom"/>
          </w:tcPr>
          <w:p>
            <w:pPr>
              <w:spacing w:after="0"/>
              <w:rPr>
                <w:sz w:val="19"/>
                <w:szCs w:val="19"/>
                <w:color w:val="auto"/>
              </w:rPr>
            </w:pPr>
          </w:p>
        </w:tc>
      </w:tr>
      <w:tr>
        <w:trPr>
          <w:trHeight w:val="225"/>
        </w:trPr>
        <w:tc>
          <w:tcPr>
            <w:tcW w:w="6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51,760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46,025</w:t>
            </w:r>
          </w:p>
        </w:tc>
        <w:tc>
          <w:tcPr>
            <w:tcW w:w="120" w:type="dxa"/>
            <w:vAlign w:val="bottom"/>
            <w:shd w:val="clear" w:color="auto" w:fill="CFF0FC"/>
          </w:tcPr>
          <w:p>
            <w:pPr>
              <w:spacing w:after="0"/>
              <w:rPr>
                <w:sz w:val="19"/>
                <w:szCs w:val="19"/>
                <w:color w:val="auto"/>
              </w:rPr>
            </w:pPr>
          </w:p>
        </w:tc>
      </w:tr>
      <w:tr>
        <w:trPr>
          <w:trHeight w:val="218"/>
        </w:trPr>
        <w:tc>
          <w:tcPr>
            <w:tcW w:w="65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299,651</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248,277</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233,231</w:t>
            </w:r>
          </w:p>
        </w:tc>
        <w:tc>
          <w:tcPr>
            <w:tcW w:w="120" w:type="dxa"/>
            <w:vAlign w:val="bottom"/>
            <w:tcBorders>
              <w:bottom w:val="single" w:sz="8" w:color="CFF0FC"/>
            </w:tcBorders>
          </w:tcPr>
          <w:p>
            <w:pPr>
              <w:spacing w:after="0"/>
              <w:rPr>
                <w:sz w:val="18"/>
                <w:szCs w:val="18"/>
                <w:color w:val="auto"/>
              </w:rPr>
            </w:pPr>
          </w:p>
        </w:tc>
      </w:tr>
      <w:tr>
        <w:trPr>
          <w:trHeight w:val="218"/>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(86,693)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(117,281)</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(50,042)</w:t>
            </w:r>
          </w:p>
        </w:tc>
        <w:tc>
          <w:tcPr>
            <w:tcW w:w="120" w:type="dxa"/>
            <w:vAlign w:val="bottom"/>
            <w:shd w:val="clear" w:color="auto" w:fill="CFF0FC"/>
          </w:tcPr>
          <w:p>
            <w:pPr>
              <w:spacing w:after="0"/>
              <w:rPr>
                <w:sz w:val="18"/>
                <w:szCs w:val="18"/>
                <w:color w:val="auto"/>
              </w:rPr>
            </w:pPr>
          </w:p>
        </w:tc>
      </w:tr>
      <w:tr>
        <w:trPr>
          <w:trHeight w:val="225"/>
        </w:trPr>
        <w:tc>
          <w:tcPr>
            <w:tcW w:w="6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(10,991)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(9,706)</w:t>
            </w: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(10,725)</w:t>
            </w:r>
          </w:p>
        </w:tc>
      </w:tr>
      <w:tr>
        <w:trPr>
          <w:trHeight w:val="225"/>
        </w:trPr>
        <w:tc>
          <w:tcPr>
            <w:tcW w:w="6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shd w:val="clear" w:color="auto" w:fill="CFF0FC"/>
          </w:tcPr>
          <w:p>
            <w:pPr>
              <w:spacing w:after="0"/>
              <w:rPr>
                <w:sz w:val="19"/>
                <w:szCs w:val="19"/>
                <w:color w:val="auto"/>
              </w:rPr>
            </w:pPr>
          </w:p>
        </w:tc>
      </w:tr>
      <w:tr>
        <w:trPr>
          <w:trHeight w:val="218"/>
        </w:trPr>
        <w:tc>
          <w:tcPr>
            <w:tcW w:w="65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20" w:type="dxa"/>
            <w:vAlign w:val="bottom"/>
            <w:tcBorders>
              <w:bottom w:val="single" w:sz="8" w:color="CFF0FC"/>
            </w:tcBorders>
          </w:tcPr>
          <w:p>
            <w:pPr>
              <w:spacing w:after="0"/>
              <w:rPr>
                <w:sz w:val="18"/>
                <w:szCs w:val="18"/>
                <w:color w:val="auto"/>
              </w:rPr>
            </w:pPr>
          </w:p>
        </w:tc>
      </w:tr>
      <w:tr>
        <w:trPr>
          <w:trHeight w:val="218"/>
        </w:trPr>
        <w:tc>
          <w:tcPr>
            <w:tcW w:w="6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5"/>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(86,116)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(120,554)</w:t>
            </w: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(58,139)</w:t>
            </w:r>
          </w:p>
        </w:tc>
      </w:tr>
      <w:tr>
        <w:trPr>
          <w:trHeight w:val="225"/>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58"/>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(86,420)</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(120,875)</w:t>
            </w:r>
          </w:p>
        </w:tc>
        <w:tc>
          <w:tcPr>
            <w:tcW w:w="2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(58,068)</w:t>
            </w:r>
          </w:p>
        </w:tc>
        <w:tc>
          <w:tcPr>
            <w:tcW w:w="120" w:type="dxa"/>
            <w:vAlign w:val="bottom"/>
            <w:tcBorders>
              <w:bottom w:val="single" w:sz="8" w:color="CFF0FC"/>
            </w:tcBorders>
          </w:tcPr>
          <w:p>
            <w:pPr>
              <w:spacing w:after="0"/>
              <w:rPr>
                <w:sz w:val="22"/>
                <w:szCs w:val="22"/>
                <w:color w:val="auto"/>
              </w:rPr>
            </w:pPr>
          </w:p>
        </w:tc>
      </w:tr>
      <w:tr>
        <w:trPr>
          <w:trHeight w:val="205"/>
        </w:trPr>
        <w:tc>
          <w:tcPr>
            <w:tcW w:w="65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5"/>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(0.93)</w:t>
            </w:r>
          </w:p>
        </w:tc>
      </w:tr>
      <w:tr>
        <w:trPr>
          <w:trHeight w:val="207"/>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to calculate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72,987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62,744</w:t>
            </w:r>
          </w:p>
        </w:tc>
        <w:tc>
          <w:tcPr>
            <w:tcW w:w="120" w:type="dxa"/>
            <w:vAlign w:val="bottom"/>
            <w:shd w:val="clear" w:color="auto" w:fill="CFF0FC"/>
          </w:tcPr>
          <w:p>
            <w:pPr>
              <w:spacing w:after="0"/>
              <w:rPr>
                <w:sz w:val="20"/>
                <w:szCs w:val="20"/>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2"/>
        </w:trPr>
        <w:tc>
          <w:tcPr>
            <w:tcW w:w="5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76"/>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6"/>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r>
      <w:tr>
        <w:trPr>
          <w:trHeight w:val="152"/>
        </w:trPr>
        <w:tc>
          <w:tcPr>
            <w:tcW w:w="5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176"/>
              <w:spacing w:after="0" w:line="152" w:lineRule="exact"/>
              <w:rPr>
                <w:sz w:val="20"/>
                <w:szCs w:val="20"/>
                <w:color w:val="auto"/>
              </w:rPr>
            </w:pPr>
            <w:r>
              <w:rPr>
                <w:rFonts w:ascii="Times New Roman" w:cs="Times New Roman" w:eastAsia="Times New Roman" w:hAnsi="Times New Roman"/>
                <w:sz w:val="14"/>
                <w:szCs w:val="14"/>
                <w:b w:val="1"/>
                <w:bCs w:val="1"/>
                <w:color w:val="auto"/>
              </w:rPr>
              <w:t>(Note 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96"/>
              <w:spacing w:after="0" w:line="152" w:lineRule="exact"/>
              <w:rPr>
                <w:sz w:val="20"/>
                <w:szCs w:val="20"/>
                <w:color w:val="auto"/>
              </w:rPr>
            </w:pPr>
            <w:r>
              <w:rPr>
                <w:rFonts w:ascii="Times New Roman" w:cs="Times New Roman" w:eastAsia="Times New Roman" w:hAnsi="Times New Roman"/>
                <w:sz w:val="14"/>
                <w:szCs w:val="14"/>
                <w:b w:val="1"/>
                <w:bCs w:val="1"/>
                <w:color w:val="auto"/>
              </w:rPr>
              <w:t>(Note 2)</w:t>
            </w:r>
          </w:p>
        </w:tc>
        <w:tc>
          <w:tcPr>
            <w:tcW w:w="120" w:type="dxa"/>
            <w:vAlign w:val="bottom"/>
          </w:tcPr>
          <w:p>
            <w:pPr>
              <w:spacing w:after="0"/>
              <w:rPr>
                <w:sz w:val="13"/>
                <w:szCs w:val="13"/>
                <w:color w:val="auto"/>
              </w:rPr>
            </w:pPr>
          </w:p>
        </w:tc>
      </w:tr>
      <w:tr>
        <w:trPr>
          <w:trHeight w:val="225"/>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20" w:type="dxa"/>
            <w:vAlign w:val="bottom"/>
            <w:gridSpan w:val="2"/>
            <w:shd w:val="clear" w:color="auto" w:fill="CFF0FC"/>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7"/>
              </w:rPr>
              <w:t>(86,420)</w:t>
            </w:r>
          </w:p>
        </w:tc>
        <w:tc>
          <w:tcPr>
            <w:tcW w:w="42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(120,875)</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(58,068)</w:t>
            </w:r>
          </w:p>
        </w:tc>
      </w:tr>
      <w:tr>
        <w:trPr>
          <w:trHeight w:val="225"/>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5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FF0FC"/>
          </w:tcPr>
          <w:p>
            <w:pPr>
              <w:spacing w:after="0"/>
              <w:rPr>
                <w:sz w:val="19"/>
                <w:szCs w:val="19"/>
                <w:color w:val="auto"/>
              </w:rPr>
            </w:pPr>
          </w:p>
        </w:tc>
      </w:tr>
      <w:tr>
        <w:trPr>
          <w:trHeight w:val="225"/>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5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Unrealized gain (loss) on investments, net of tax effect</w:t>
            </w:r>
          </w:p>
        </w:tc>
        <w:tc>
          <w:tcPr>
            <w:tcW w:w="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9"/>
                <w:szCs w:val="19"/>
                <w:color w:val="auto"/>
              </w:rPr>
            </w:pPr>
          </w:p>
        </w:tc>
      </w:tr>
      <w:tr>
        <w:trPr>
          <w:trHeight w:val="225"/>
        </w:trPr>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Reclassification from accumulated other comprehensive loss</w:t>
            </w: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r>
      <w:tr>
        <w:trPr>
          <w:trHeight w:val="200"/>
        </w:trPr>
        <w:tc>
          <w:tcPr>
            <w:tcW w:w="5640" w:type="dxa"/>
            <w:vAlign w:val="bottom"/>
            <w:tcBorders>
              <w:top w:val="single" w:sz="8" w:color="CFF0FC"/>
            </w:tcBorders>
            <w:shd w:val="clear" w:color="auto" w:fill="CFF0FC"/>
          </w:tcPr>
          <w:p>
            <w:pPr>
              <w:ind w:left="740"/>
              <w:spacing w:after="0" w:line="200" w:lineRule="exact"/>
              <w:rPr>
                <w:sz w:val="20"/>
                <w:szCs w:val="20"/>
                <w:color w:val="auto"/>
              </w:rPr>
            </w:pPr>
            <w:r>
              <w:rPr>
                <w:rFonts w:ascii="Times New Roman" w:cs="Times New Roman" w:eastAsia="Times New Roman" w:hAnsi="Times New Roman"/>
                <w:sz w:val="18"/>
                <w:szCs w:val="18"/>
                <w:color w:val="auto"/>
              </w:rPr>
              <w:t>Net change in unrealized gain on available-for-sale</w:t>
            </w:r>
          </w:p>
        </w:tc>
        <w:tc>
          <w:tcPr>
            <w:tcW w:w="86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30"/>
        </w:trPr>
        <w:tc>
          <w:tcPr>
            <w:tcW w:w="56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investments</w:t>
            </w:r>
          </w:p>
        </w:tc>
        <w:tc>
          <w:tcPr>
            <w:tcW w:w="8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20"/>
                <w:szCs w:val="20"/>
                <w:color w:val="auto"/>
              </w:rPr>
            </w:pPr>
          </w:p>
        </w:tc>
      </w:tr>
      <w:tr>
        <w:trPr>
          <w:trHeight w:val="218"/>
        </w:trPr>
        <w:tc>
          <w:tcPr>
            <w:tcW w:w="5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860" w:type="dxa"/>
            <w:vAlign w:val="bottom"/>
            <w:tcBorders>
              <w:bottom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FF0FC"/>
            </w:tcBorders>
          </w:tcPr>
          <w:p>
            <w:pPr>
              <w:spacing w:after="0"/>
              <w:rPr>
                <w:sz w:val="18"/>
                <w:szCs w:val="18"/>
                <w:color w:val="auto"/>
              </w:rPr>
            </w:pPr>
          </w:p>
        </w:tc>
      </w:tr>
      <w:tr>
        <w:trPr>
          <w:trHeight w:val="218"/>
        </w:trPr>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(85,656)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(121,710)</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Non</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7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Controlling</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20" w:type="dxa"/>
            <w:vAlign w:val="bottom"/>
          </w:tcPr>
          <w:p>
            <w:pPr>
              <w:spacing w:after="0"/>
              <w:rPr>
                <w:sz w:val="13"/>
                <w:szCs w:val="13"/>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1"/>
        </w:trPr>
        <w:tc>
          <w:tcPr>
            <w:tcW w:w="2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(Note 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2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61,985,079</w:t>
            </w:r>
          </w:p>
        </w:tc>
        <w:tc>
          <w:tcPr>
            <w:tcW w:w="240" w:type="dxa"/>
            <w:vAlign w:val="bottom"/>
            <w:vMerge w:val="restart"/>
            <w:shd w:val="clear" w:color="auto" w:fill="CFF0FC"/>
          </w:tcPr>
          <w:p>
            <w:pPr>
              <w:spacing w:after="0"/>
              <w:rPr>
                <w:sz w:val="11"/>
                <w:szCs w:val="11"/>
                <w:color w:val="auto"/>
              </w:rPr>
            </w:pPr>
          </w:p>
        </w:tc>
        <w:tc>
          <w:tcPr>
            <w:tcW w:w="280" w:type="dxa"/>
            <w:vAlign w:val="bottom"/>
            <w:vMerge w:val="restart"/>
            <w:shd w:val="clear" w:color="auto" w:fill="CFF0FC"/>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586,647</w:t>
            </w:r>
          </w:p>
        </w:tc>
        <w:tc>
          <w:tcPr>
            <w:tcW w:w="4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(1,651)</w:t>
            </w:r>
          </w:p>
        </w:tc>
        <w:tc>
          <w:tcPr>
            <w:tcW w:w="120" w:type="dxa"/>
            <w:vAlign w:val="bottom"/>
            <w:vMerge w:val="restart"/>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(451,714)</w:t>
            </w:r>
          </w:p>
        </w:tc>
        <w:tc>
          <w:tcPr>
            <w:tcW w:w="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26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153,173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4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400" w:type="dxa"/>
            <w:vAlign w:val="bottom"/>
            <w:gridSpan w:val="2"/>
            <w:vMerge w:val="continue"/>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4"/>
                <w:szCs w:val="14"/>
                <w:b w:val="1"/>
                <w:bCs w:val="1"/>
                <w:color w:val="auto"/>
              </w:rPr>
              <w:t>(Note 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00" w:type="dxa"/>
            <w:vAlign w:val="bottom"/>
            <w:vMerge w:val="continue"/>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(58,068)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(58,068)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0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color w:val="auto"/>
              </w:rPr>
              <w:t>Change in unrealized gain or</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loss on investments</w:t>
            </w: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color w:val="auto"/>
              </w:rPr>
              <w:t>Shares issued from stock</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ind w:left="120"/>
              <w:spacing w:after="0" w:line="146" w:lineRule="exact"/>
              <w:rPr>
                <w:sz w:val="20"/>
                <w:szCs w:val="20"/>
                <w:color w:val="auto"/>
              </w:rPr>
            </w:pPr>
            <w:r>
              <w:rPr>
                <w:rFonts w:ascii="Times New Roman" w:cs="Times New Roman" w:eastAsia="Times New Roman" w:hAnsi="Times New Roman"/>
                <w:sz w:val="14"/>
                <w:szCs w:val="14"/>
                <w:color w:val="auto"/>
              </w:rPr>
              <w:t>plans, net of payroll taxes</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1,660,759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paid</w:t>
            </w: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Stock appreciation rights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17,855</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settled</w:t>
            </w: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32,132</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32,132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0" w:type="dxa"/>
            <w:vAlign w:val="bottom"/>
            <w:tcBorders>
              <w:bottom w:val="single" w:sz="8" w:color="CFF0FC"/>
            </w:tcBorders>
          </w:tcPr>
          <w:p>
            <w:pPr>
              <w:spacing w:after="0" w:line="159" w:lineRule="exact"/>
              <w:rPr>
                <w:sz w:val="20"/>
                <w:szCs w:val="20"/>
                <w:color w:val="auto"/>
              </w:rPr>
            </w:pPr>
            <w:r>
              <w:rPr>
                <w:rFonts w:ascii="Times New Roman" w:cs="Times New Roman" w:eastAsia="Times New Roman" w:hAnsi="Times New Roman"/>
                <w:sz w:val="14"/>
                <w:szCs w:val="14"/>
                <w:color w:val="auto"/>
              </w:rPr>
              <w:t>Warrants exercised</w:t>
            </w:r>
          </w:p>
        </w:tc>
        <w:tc>
          <w:tcPr>
            <w:tcW w:w="10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1,591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00" w:type="dxa"/>
            <w:vAlign w:val="bottom"/>
            <w:shd w:val="clear" w:color="auto" w:fill="CFF0FC"/>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63,665,284</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625,903</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(960)</w:t>
            </w:r>
          </w:p>
        </w:tc>
        <w:tc>
          <w:tcPr>
            <w:tcW w:w="12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(509,782)</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135,069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4"/>
                <w:szCs w:val="14"/>
                <w:b w:val="1"/>
                <w:bCs w:val="1"/>
                <w:color w:val="auto"/>
              </w:rPr>
              <w:t>(Note 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00" w:type="dxa"/>
            <w:vAlign w:val="bottom"/>
            <w:vMerge w:val="continue"/>
          </w:tcPr>
          <w:p>
            <w:pPr>
              <w:spacing w:after="0"/>
              <w:rPr>
                <w:sz w:val="12"/>
                <w:szCs w:val="12"/>
                <w:color w:val="auto"/>
              </w:rPr>
            </w:pPr>
          </w:p>
        </w:tc>
        <w:tc>
          <w:tcPr>
            <w:tcW w:w="10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(120,875)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(120,875)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0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color w:val="auto"/>
              </w:rPr>
              <w:t>Change in unrealized gain or</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loss on investments</w:t>
            </w: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color w:val="auto"/>
              </w:rPr>
              <w:t>Follow-on Offerings, net of</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ind w:left="120"/>
              <w:spacing w:after="0" w:line="146" w:lineRule="exact"/>
              <w:rPr>
                <w:sz w:val="20"/>
                <w:szCs w:val="20"/>
                <w:color w:val="auto"/>
              </w:rPr>
            </w:pPr>
            <w:r>
              <w:rPr>
                <w:rFonts w:ascii="Times New Roman" w:cs="Times New Roman" w:eastAsia="Times New Roman" w:hAnsi="Times New Roman"/>
                <w:sz w:val="14"/>
                <w:szCs w:val="14"/>
                <w:color w:val="auto"/>
              </w:rPr>
              <w:t>underwriting discounts,</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ind w:left="120"/>
              <w:spacing w:after="0" w:line="146" w:lineRule="exact"/>
              <w:rPr>
                <w:sz w:val="20"/>
                <w:szCs w:val="20"/>
                <w:color w:val="auto"/>
              </w:rPr>
            </w:pPr>
            <w:r>
              <w:rPr>
                <w:rFonts w:ascii="Times New Roman" w:cs="Times New Roman" w:eastAsia="Times New Roman" w:hAnsi="Times New Roman"/>
                <w:sz w:val="14"/>
                <w:szCs w:val="14"/>
                <w:color w:val="auto"/>
              </w:rPr>
              <w:t>commission and issuance</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14,428,750</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470,082</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470,226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costs</w:t>
            </w: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Shares issued from stock</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plans, net of payroll taxes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4,404,094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26,570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paid</w:t>
            </w: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37,539</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37,539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82,498,128</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1,160,094</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(1,795)</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(630,657)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547,738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200" w:type="dxa"/>
            <w:vAlign w:val="bottom"/>
            <w:tcBorders>
              <w:top w:val="single" w:sz="8" w:color="CFF0FC"/>
            </w:tcBorders>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Impact of change in</w:t>
            </w:r>
          </w:p>
        </w:tc>
        <w:tc>
          <w:tcPr>
            <w:tcW w:w="10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ind w:left="120"/>
              <w:spacing w:after="0" w:line="146" w:lineRule="exact"/>
              <w:rPr>
                <w:sz w:val="20"/>
                <w:szCs w:val="20"/>
                <w:color w:val="auto"/>
              </w:rPr>
            </w:pPr>
            <w:r>
              <w:rPr>
                <w:rFonts w:ascii="Times New Roman" w:cs="Times New Roman" w:eastAsia="Times New Roman" w:hAnsi="Times New Roman"/>
                <w:sz w:val="14"/>
                <w:szCs w:val="14"/>
                <w:color w:val="auto"/>
              </w:rPr>
              <w:t>accounting principle upon</w:t>
            </w: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4"/>
                <w:szCs w:val="14"/>
                <w:color w:val="auto"/>
              </w:rPr>
              <w:t>adoption of ASU 2016-01</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(86,420)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(86,420)</w:t>
            </w:r>
          </w:p>
        </w:tc>
        <w:tc>
          <w:tcPr>
            <w:tcW w:w="0" w:type="dxa"/>
            <w:vAlign w:val="bottom"/>
          </w:tcPr>
          <w:p>
            <w:pPr>
              <w:spacing w:after="0"/>
              <w:rPr>
                <w:sz w:val="1"/>
                <w:szCs w:val="1"/>
                <w:color w:val="auto"/>
              </w:rPr>
            </w:pPr>
          </w:p>
        </w:tc>
      </w:tr>
      <w:tr>
        <w:trPr>
          <w:trHeight w:val="136"/>
        </w:trPr>
        <w:tc>
          <w:tcPr>
            <w:tcW w:w="220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color w:val="auto"/>
              </w:rPr>
              <w:t>Change in unrealized gain or</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8"/>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loss on investments</w:t>
            </w: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color w:val="auto"/>
              </w:rPr>
              <w:t>Adjustment to issuance costs</w:t>
            </w: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 Follow-on Offerings</w:t>
            </w: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Shares issued from stock</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plans, net of payroll taxes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2,933,974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14,206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paid</w:t>
            </w: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52,142</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52,142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85,432,102</w:t>
            </w:r>
          </w:p>
        </w:tc>
        <w:tc>
          <w:tcPr>
            <w:tcW w:w="520" w:type="dxa"/>
            <w:vAlign w:val="bottom"/>
            <w:gridSpan w:val="2"/>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1,226,453</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(2,281)</w:t>
            </w:r>
          </w:p>
        </w:tc>
        <w:tc>
          <w:tcPr>
            <w:tcW w:w="1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(715,827)</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19,271</w:t>
            </w:r>
          </w:p>
        </w:tc>
        <w:tc>
          <w:tcPr>
            <w:tcW w:w="260" w:type="dxa"/>
            <w:vAlign w:val="bottom"/>
          </w:tcPr>
          <w:p>
            <w:pPr>
              <w:spacing w:after="0"/>
              <w:rPr>
                <w:sz w:val="11"/>
                <w:szCs w:val="11"/>
                <w:color w:val="auto"/>
              </w:rPr>
            </w:pPr>
          </w:p>
        </w:tc>
        <w:tc>
          <w:tcPr>
            <w:tcW w:w="220" w:type="dxa"/>
            <w:vAlign w:val="bottom"/>
            <w:vMerge w:val="restart"/>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528,470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4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5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41"/>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1"/>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152"/>
        </w:trPr>
        <w:tc>
          <w:tcPr>
            <w:tcW w:w="5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41"/>
              <w:spacing w:after="0" w:line="152" w:lineRule="exact"/>
              <w:rPr>
                <w:sz w:val="20"/>
                <w:szCs w:val="20"/>
                <w:color w:val="auto"/>
              </w:rPr>
            </w:pPr>
            <w:r>
              <w:rPr>
                <w:rFonts w:ascii="Times New Roman" w:cs="Times New Roman" w:eastAsia="Times New Roman" w:hAnsi="Times New Roman"/>
                <w:sz w:val="14"/>
                <w:szCs w:val="14"/>
                <w:b w:val="1"/>
                <w:bCs w:val="1"/>
                <w:color w:val="auto"/>
              </w:rPr>
              <w:t>(Note 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461"/>
              <w:spacing w:after="0" w:line="152" w:lineRule="exact"/>
              <w:rPr>
                <w:sz w:val="20"/>
                <w:szCs w:val="20"/>
                <w:color w:val="auto"/>
              </w:rPr>
            </w:pPr>
            <w:r>
              <w:rPr>
                <w:rFonts w:ascii="Times New Roman" w:cs="Times New Roman" w:eastAsia="Times New Roman" w:hAnsi="Times New Roman"/>
                <w:sz w:val="14"/>
                <w:szCs w:val="14"/>
                <w:b w:val="1"/>
                <w:bCs w:val="1"/>
                <w:color w:val="auto"/>
              </w:rPr>
              <w:t>(Note 2)</w:t>
            </w:r>
          </w:p>
        </w:tc>
        <w:tc>
          <w:tcPr>
            <w:tcW w:w="100" w:type="dxa"/>
            <w:vAlign w:val="bottom"/>
          </w:tcPr>
          <w:p>
            <w:pPr>
              <w:spacing w:after="0"/>
              <w:rPr>
                <w:sz w:val="13"/>
                <w:szCs w:val="13"/>
                <w:color w:val="auto"/>
              </w:rPr>
            </w:pPr>
          </w:p>
        </w:tc>
      </w:tr>
      <w:tr>
        <w:trPr>
          <w:trHeight w:val="21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600" w:type="dxa"/>
            <w:vAlign w:val="bottom"/>
            <w:gridSpan w:val="2"/>
          </w:tcPr>
          <w:p>
            <w:pPr>
              <w:jc w:val="right"/>
              <w:ind w:right="765"/>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(86,420)</w:t>
            </w:r>
          </w:p>
        </w:tc>
        <w:tc>
          <w:tcPr>
            <w:tcW w:w="4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(120,875)</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(58,068)</w:t>
            </w:r>
          </w:p>
        </w:tc>
      </w:tr>
      <w:tr>
        <w:trPr>
          <w:trHeight w:val="20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w:t>
            </w:r>
          </w:p>
        </w:tc>
        <w:tc>
          <w:tcPr>
            <w:tcW w:w="6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00" w:type="dxa"/>
            <w:vAlign w:val="bottom"/>
          </w:tcPr>
          <w:p>
            <w:pPr>
              <w:spacing w:after="0"/>
              <w:rPr>
                <w:sz w:val="18"/>
                <w:szCs w:val="18"/>
                <w:color w:val="auto"/>
              </w:rPr>
            </w:pPr>
          </w:p>
        </w:tc>
      </w:tr>
      <w:tr>
        <w:trPr>
          <w:trHeight w:val="214"/>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amortization of premium and discount on investments</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loss on cash equivalents and short-term equity investments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32,132</w:t>
            </w:r>
          </w:p>
        </w:tc>
        <w:tc>
          <w:tcPr>
            <w:tcW w:w="100" w:type="dxa"/>
            <w:vAlign w:val="bottom"/>
          </w:tcPr>
          <w:p>
            <w:pPr>
              <w:spacing w:after="0"/>
              <w:rPr>
                <w:sz w:val="18"/>
                <w:szCs w:val="18"/>
                <w:color w:val="auto"/>
              </w:rPr>
            </w:pPr>
          </w:p>
        </w:tc>
      </w:tr>
      <w:tr>
        <w:trPr>
          <w:trHeight w:val="227"/>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Realized foreign currency gain</w:t>
            </w:r>
          </w:p>
        </w:tc>
        <w:tc>
          <w:tcPr>
            <w:tcW w:w="6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(1,074)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benefit on unrealized gain on available-for-sale securities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(211)</w:t>
            </w:r>
          </w:p>
        </w:tc>
      </w:tr>
      <w:tr>
        <w:trPr>
          <w:trHeight w:val="214"/>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Realized gain on sales of available-for-sale securities</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receivable ($(43,206), $98 and $353 from related party)</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(55,232)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18"/>
                <w:szCs w:val="18"/>
                <w:color w:val="auto"/>
              </w:rPr>
            </w:pPr>
          </w:p>
        </w:tc>
      </w:tr>
      <w:tr>
        <w:trPr>
          <w:trHeight w:val="214"/>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(2,365)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(136)</w:t>
            </w:r>
          </w:p>
        </w:tc>
      </w:tr>
      <w:tr>
        <w:trPr>
          <w:trHeight w:val="210"/>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(298)</w:t>
            </w:r>
          </w:p>
        </w:tc>
      </w:tr>
      <w:tr>
        <w:trPr>
          <w:trHeight w:val="214"/>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liabilities ($172, $(1,343) and $(430) from related party)</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13,225</w:t>
            </w:r>
          </w:p>
        </w:tc>
        <w:tc>
          <w:tcPr>
            <w:tcW w:w="100" w:type="dxa"/>
            <w:vAlign w:val="bottom"/>
          </w:tcPr>
          <w:p>
            <w:pPr>
              <w:spacing w:after="0"/>
              <w:rPr>
                <w:sz w:val="18"/>
                <w:szCs w:val="18"/>
                <w:color w:val="auto"/>
              </w:rPr>
            </w:pPr>
          </w:p>
        </w:tc>
      </w:tr>
      <w:tr>
        <w:trPr>
          <w:trHeight w:val="214"/>
        </w:trPr>
        <w:tc>
          <w:tcPr>
            <w:tcW w:w="5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Lease financing liability</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6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tcBorders>
              <w:bottom w:val="single" w:sz="8" w:color="CFF0FC"/>
            </w:tcBorders>
          </w:tcPr>
          <w:p>
            <w:pPr>
              <w:spacing w:after="0"/>
              <w:rPr>
                <w:sz w:val="18"/>
                <w:szCs w:val="18"/>
                <w:color w:val="auto"/>
              </w:rPr>
            </w:pPr>
          </w:p>
        </w:tc>
      </w:tr>
      <w:tr>
        <w:trPr>
          <w:trHeight w:val="205"/>
        </w:trPr>
        <w:tc>
          <w:tcPr>
            <w:tcW w:w="54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680" w:type="dxa"/>
            <w:vAlign w:val="bottom"/>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(76,144)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(66,513)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100" w:type="dxa"/>
            <w:vAlign w:val="bottom"/>
            <w:shd w:val="clear" w:color="auto" w:fill="CFF0FC"/>
          </w:tcPr>
          <w:p>
            <w:pPr>
              <w:spacing w:after="0"/>
              <w:rPr>
                <w:sz w:val="17"/>
                <w:szCs w:val="17"/>
                <w:color w:val="auto"/>
              </w:rPr>
            </w:pPr>
          </w:p>
        </w:tc>
      </w:tr>
      <w:tr>
        <w:trPr>
          <w:trHeight w:val="207"/>
        </w:trPr>
        <w:tc>
          <w:tcPr>
            <w:tcW w:w="5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(1,252)</w:t>
            </w:r>
          </w:p>
        </w:tc>
      </w:tr>
      <w:tr>
        <w:trPr>
          <w:trHeight w:val="214"/>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available-for-sale securities and term deposit</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(576,880)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(9,041)</w:t>
            </w:r>
          </w:p>
        </w:tc>
      </w:tr>
      <w:tr>
        <w:trPr>
          <w:trHeight w:val="214"/>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available-for-sale securities</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6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54,426</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57,421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12,617</w:t>
            </w:r>
          </w:p>
        </w:tc>
        <w:tc>
          <w:tcPr>
            <w:tcW w:w="100" w:type="dxa"/>
            <w:vAlign w:val="bottom"/>
            <w:tcBorders>
              <w:bottom w:val="single" w:sz="8" w:color="CFF0FC"/>
            </w:tcBorders>
          </w:tcPr>
          <w:p>
            <w:pPr>
              <w:spacing w:after="0"/>
              <w:rPr>
                <w:sz w:val="18"/>
                <w:szCs w:val="18"/>
                <w:color w:val="auto"/>
              </w:rPr>
            </w:pPr>
          </w:p>
        </w:tc>
      </w:tr>
      <w:tr>
        <w:trPr>
          <w:trHeight w:val="205"/>
        </w:trPr>
        <w:tc>
          <w:tcPr>
            <w:tcW w:w="54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680" w:type="dxa"/>
            <w:vAlign w:val="bottom"/>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2"/>
              </w:rPr>
              <w:t>(522,123)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69,866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100" w:type="dxa"/>
            <w:vAlign w:val="bottom"/>
            <w:shd w:val="clear" w:color="auto" w:fill="CFF0FC"/>
          </w:tcPr>
          <w:p>
            <w:pPr>
              <w:spacing w:after="0"/>
              <w:rPr>
                <w:sz w:val="17"/>
                <w:szCs w:val="17"/>
                <w:color w:val="auto"/>
              </w:rPr>
            </w:pPr>
          </w:p>
        </w:tc>
      </w:tr>
      <w:tr>
        <w:trPr>
          <w:trHeight w:val="207"/>
        </w:trPr>
        <w:tc>
          <w:tcPr>
            <w:tcW w:w="5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Borrowings under capital lease obligations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 of capital lease obligations</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lease liability</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(403)</w:t>
            </w:r>
          </w:p>
        </w:tc>
      </w:tr>
      <w:tr>
        <w:trPr>
          <w:trHeight w:val="20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follow-on offerings, net of underwriting discounts and</w:t>
            </w:r>
          </w:p>
        </w:tc>
        <w:tc>
          <w:tcPr>
            <w:tcW w:w="6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commission costs</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471,205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payroll taxes on restricted stock unit releases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(15,612)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(2,740)</w:t>
            </w:r>
          </w:p>
        </w:tc>
      </w:tr>
      <w:tr>
        <w:trPr>
          <w:trHeight w:val="214"/>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29,847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9,881</w:t>
            </w: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Payments of deferred offering costs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48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13,875</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496,472</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6,738</w:t>
            </w: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 on cash and cash equivalents</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r>
      <w:tr>
        <w:trPr>
          <w:trHeight w:val="207"/>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6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2"/>
              </w:rPr>
              <w:t>(584,400)</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499,876</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20,458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5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cash and cash equivalents at beginning of period</w:t>
            </w:r>
          </w:p>
        </w:tc>
        <w:tc>
          <w:tcPr>
            <w:tcW w:w="6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673,658</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173,782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153,324</w:t>
            </w:r>
          </w:p>
        </w:tc>
        <w:tc>
          <w:tcPr>
            <w:tcW w:w="100" w:type="dxa"/>
            <w:vAlign w:val="bottom"/>
            <w:tcBorders>
              <w:bottom w:val="single" w:sz="8" w:color="CFF0FC"/>
            </w:tcBorders>
          </w:tcPr>
          <w:p>
            <w:pPr>
              <w:spacing w:after="0"/>
              <w:rPr>
                <w:sz w:val="18"/>
                <w:szCs w:val="18"/>
                <w:color w:val="auto"/>
              </w:rPr>
            </w:pPr>
          </w:p>
        </w:tc>
      </w:tr>
      <w:tr>
        <w:trPr>
          <w:trHeight w:val="205"/>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and cash equivalents at end of period</w:t>
            </w:r>
          </w:p>
        </w:tc>
        <w:tc>
          <w:tcPr>
            <w:tcW w:w="6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6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89,258</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673,658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173,782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Interest payments</w:t>
            </w:r>
          </w:p>
        </w:tc>
        <w:tc>
          <w:tcPr>
            <w:tcW w:w="1600" w:type="dxa"/>
            <w:vAlign w:val="bottom"/>
            <w:gridSpan w:val="2"/>
          </w:tcPr>
          <w:p>
            <w:pPr>
              <w:jc w:val="right"/>
              <w:ind w:right="765"/>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40" w:type="dxa"/>
            <w:vAlign w:val="bottom"/>
          </w:tcPr>
          <w:p>
            <w:pPr>
              <w:spacing w:after="0"/>
              <w:rPr>
                <w:sz w:val="18"/>
                <w:szCs w:val="18"/>
                <w:color w:val="auto"/>
              </w:rPr>
            </w:pPr>
          </w:p>
        </w:tc>
        <w:tc>
          <w:tcPr>
            <w:tcW w:w="4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6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r>
      <w:tr>
        <w:trPr>
          <w:trHeight w:val="20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in accounts payable and accrued liabilities related to purchases of</w:t>
            </w:r>
          </w:p>
        </w:tc>
        <w:tc>
          <w:tcPr>
            <w:tcW w:w="6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property and equipment</w:t>
            </w:r>
          </w:p>
        </w:tc>
        <w:tc>
          <w:tcPr>
            <w:tcW w:w="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FF0FC"/>
          </w:tcPr>
          <w:p>
            <w:pPr>
              <w:spacing w:after="0"/>
              <w:rPr>
                <w:sz w:val="18"/>
                <w:szCs w:val="18"/>
                <w:color w:val="auto"/>
              </w:rPr>
            </w:pPr>
          </w:p>
        </w:tc>
      </w:tr>
      <w:tr>
        <w:trPr>
          <w:trHeight w:val="227"/>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Deferred offering costs recorded in accounts payable and accrued liabilities</w:t>
            </w:r>
          </w:p>
        </w:tc>
        <w:tc>
          <w:tcPr>
            <w:tcW w:w="1600" w:type="dxa"/>
            <w:vAlign w:val="bottom"/>
            <w:gridSpan w:val="2"/>
          </w:tcPr>
          <w:p>
            <w:pPr>
              <w:jc w:val="right"/>
              <w:ind w:right="765"/>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9"/>
                <w:szCs w:val="19"/>
                <w:color w:val="auto"/>
              </w:rPr>
            </w:pPr>
          </w:p>
        </w:tc>
        <w:tc>
          <w:tcPr>
            <w:tcW w:w="4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9"/>
                <w:szCs w:val="19"/>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94" w:lineRule="exact"/>
        <w:rPr>
          <w:sz w:val="20"/>
          <w:szCs w:val="20"/>
          <w:color w:val="auto"/>
        </w:rPr>
      </w:pPr>
    </w:p>
    <w:p>
      <w:pPr>
        <w:ind w:left="380" w:hanging="374"/>
        <w:spacing w:after="0"/>
        <w:tabs>
          <w:tab w:leader="none" w:pos="3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11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FibroGen, Inc. (“FibroGen” or the “Company”) was incorporated in 1993 in Delaware and is a leading biopharmaceutical company discovering and developing a pipeline of first-in-class therapeutics. The Company has applied its pioneering expertise in hypoxia-inducible factor (“HIF”) and connective tissue growth factor (“CTGF”) biology to develop innovative medicines for the treatment of anemia, fibrotic disease, and cancer. Roxadustat (FG-4592), the Company’s most advanced product candidate, is an oral small molecule inhibitor of HIF prolyl hydroxylase (“HIF-PH”) activity. Roxadustat has received approval of its New Drug Application (“NDA”) in anemia associated with chronic kidney disease (“CKD”) in dialysis-dependent patients from the National Medical Products Administration (“NMPA”) of the People’s Republic of China (“China”). In conjunction with our collaboration partners, we have completed the Phase 3 trials of roxadustat intended to support an NDA in the United States (“U.S.”) and a Marketing Authorization Application (“MAA”) in the European Union for the treatment of anemia in CKD. In collaboration with its partners AstraZeneca AB (“AstraZeneca”) and Astellas Pharma Inc. (“Astellas”), the Company is in the process of preparing the NDA for submission to the U.S. Food and Drug Administration (“FDA”) and MAAs for submission to the European Medicines Agency this year. Both the U.S. NDA and European MAA for roxadustat are expected to cover anemia associated with dialysis-dependent CKD and non-dialysis-dependent CKD. The Company is also in Phase 3 clinical development for the treatment of anemia associated with myelodysplastic syndromes (“MDS”). Pamrevlumab, a human monoclonal antibody that inhibits the activity of CTGF, is advancing towards Phase 3 clinical development for the treatment of idiopathic pulmonary fibrosis (“IPF”) and pancreatic cancer, and is currently in a Phase 2 trial for Duchenne muscular dystrophy (“DMD”).</w:t>
      </w:r>
    </w:p>
    <w:p>
      <w:pPr>
        <w:spacing w:after="0" w:line="18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On April 11, 2017, the Company closed a follow-on offering of its common stock. In this offering, the Company sold 5,228,750 shares of its common stock at a public offering price of $22.95 per share. Net proceeds from this offering were $115.1 million, after deducting underwriting discounts and commissions of $4.9 million. In addition, the offering expenses were approximately $0.6 million in total. On August 24, 2017, the Company completed another follow-on offering of its common stock. In this offering, the Company sold a total of 9,200,000 shares of its common stock at a public offering price of $40.75 per share. Net proceeds from this offering were $356.2 million, after deducting underwriting discounts and commissions of $18.7 million. In addition, the offering expenses were approximately $0.4 million in total.</w:t>
      </w:r>
    </w:p>
    <w:p>
      <w:pPr>
        <w:spacing w:after="0" w:line="328" w:lineRule="exact"/>
        <w:rPr>
          <w:sz w:val="20"/>
          <w:szCs w:val="20"/>
          <w:color w:val="auto"/>
        </w:rPr>
      </w:pPr>
    </w:p>
    <w:p>
      <w:pPr>
        <w:ind w:right="7720" w:firstLine="6"/>
        <w:spacing w:after="0" w:line="369" w:lineRule="auto"/>
        <w:tabs>
          <w:tab w:leader="none" w:pos="371"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The consolidated financial statements include the accounts of the Company, its wholly owned subsidiaries and its majority-owned subsidiaries, FibroGen Europe and FibroGen China Anemia Holdings, Ltd. (“FibroGen China”). All inter-company transactions and balances have been eliminated in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in one segment — the discovery, development and commercialization of novel therapeutics to treat serious unmet medical needs.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13"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United States (“U.S.”) dollar. The functional currency of FibroGen Europe is the Euro. The assets and liabilities of FibroGen Europe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w:t>
      </w:r>
    </w:p>
    <w:p>
      <w:pPr>
        <w:spacing w:after="0" w:line="1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functional currency of FibroGen, Inc. and all other subsidiaries is the U.S. dollar. Accordingly, monetary assets and liabilities in the non-functional currency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within interest income and other, net in the consolidated statements of operations as incurred and have not been material for all periods presented.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Other Risks and Uncertainties</w:t>
      </w:r>
    </w:p>
    <w:p>
      <w:pPr>
        <w:spacing w:after="0" w:line="1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associated with concentration of credit for cash and cash equivalents. A portion of cash on hand is invested in a diversified portfolio of investment grade corporate bonds issued by U.S. corporations as rated investment grade corporate bonds. Any remaining cash is deposited with major financial institutions in the U.S., Finland, China and the Cayman Islands. At times, such deposits may be in excess of insured limits. The Company has not experienced any loss on its deposits of cash and cash equivalents. Included in current assets are significant balances of accounts receivable as follows:</w:t>
      </w:r>
    </w:p>
    <w:p>
      <w:pPr>
        <w:spacing w:after="0" w:line="25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52"/>
        </w:trPr>
        <w:tc>
          <w:tcPr>
            <w:tcW w:w="518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9"/>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78"/>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1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Astellas Pharma Inc. (“Astellas”)—Related party</w:t>
            </w:r>
          </w:p>
        </w:tc>
        <w:tc>
          <w:tcPr>
            <w:tcW w:w="8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31"/>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AstraZeneca AB (“AstraZeneca”)</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bl>
    <w:p>
      <w:pPr>
        <w:spacing w:after="0" w:line="227"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Time Deposits</w:t>
      </w:r>
    </w:p>
    <w:p>
      <w:pPr>
        <w:spacing w:after="0" w:line="11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Company considers all highly liquid investments with maturities of three months or less and that are used in the Company’s cash management activities at the date of purchase to be cash equivalents. Cash and cash equivalents include money market accounts, various deposit accounts, and money market funds. Restricted time deposits include an irrevocable standby letter of credit as security deposit for a long-term property lease with the Company’s landlord. Restricted time deposits as of December 31, 2018 and 2017 totaled $4.1 million and $5.2 million, respectively. As of December 31, 2018, a total of $21.9 million of the Company’s cash and cash equivalents is held outside of the U.S. in the Company’s foreign subsidiaries to be used primarily for the Company’s China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The Company’s investments consist of available-for-sale debt investments, marketable equity investments, a term deposit and a certificate of deposit. Those investments with original maturities of greater than three months and remaining maturities of less than 12 months are considered short-term investments. Those investments with maturities greater than 12 months are considered long-term investments. The Company’s investments classified as available-for-sale are recorded at fair value based upon quoted market prices at period end. Unrealized gains and losses for available-for-sale debt investments that are deemed temporary in nature are recorded in accumulated other comprehensive income (loss) as a separate component of stockholder’ equity. Marketable equity securities are equity securities with readily determinable fair value, and are measured and recorded at fair value. Realized and unrealized gains or losses resulting from changes in value and sale of the Company’s marketable equity investments are recorded in other income (expenses) in the consolidated statement of operations.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3" w:lineRule="exact"/>
        <w:rPr>
          <w:sz w:val="20"/>
          <w:szCs w:val="20"/>
          <w:color w:val="auto"/>
        </w:rPr>
      </w:pPr>
    </w:p>
    <w:p>
      <w:pPr>
        <w:ind w:right="680"/>
        <w:spacing w:after="0" w:line="273" w:lineRule="auto"/>
        <w:rPr>
          <w:sz w:val="20"/>
          <w:szCs w:val="20"/>
          <w:color w:val="auto"/>
        </w:rPr>
      </w:pPr>
      <w:r>
        <w:rPr>
          <w:rFonts w:ascii="Times New Roman" w:cs="Times New Roman" w:eastAsia="Times New Roman" w:hAnsi="Times New Roman"/>
          <w:sz w:val="18"/>
          <w:szCs w:val="18"/>
          <w:color w:val="auto"/>
        </w:rPr>
        <w:t>Carrying amounts of certain of the Company’s financial instruments including cash equivalents, investments, receivables, accounts payable and accrued liabilities approximate fair value (refer to Note 4).</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1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Property and equipment (except for costs of construction of certain long-lived assets — refer to Note 8) are recorded at cost and depreciated over their estimated useful lives using the straight-line method. Computer equipment, laboratory equipment, and furniture and fixtures are depreciated over three to five years. Leasehold improvements are recorded at cost and amortized over the term of the lease or their useful life, whichever is shorter.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1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The Company continually evaluates whether events or circumstances have occurred that indicate that the estimated remaining useful life of its long-lived assets may warrant revision or that the carrying value of these assets may be impaired. If the Company determines that an impairment trigger has been met, the Company evaluates the realizability of its long-lived assets based on a comparison of projected undiscounted cash flows from use and eventual disposition with the carrying value of the related asset. Any write-downs (which are measured based on the difference between the fair value and the carrying value of the asset) are treated as permanent reductions in the carrying amount of the assets (asset group). Based on this evaluation, the Company believes that, as of each of the balance sheet dates presented, none of the Company’s long-lived assets were impaired.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revenues to date have been generated from its collaboration agreements.</w:t>
      </w:r>
    </w:p>
    <w:p>
      <w:pPr>
        <w:spacing w:after="0" w:line="2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Company’s collaboration agreements include multiple performance obligations comprised of promised services, or bundles of services, that are distinct. Services that are not distinct are combined with other services in the agreement until they form a distinct bundle of services. The Company’s process for identifying performance obligations and an enumeration of each obligation for each agreement is outlined in Note 3 “Collaboration Agreements.” Determining the performance obligations within a collaboration agreement often involves significant judgment and is specific to the facts and circumstances contained in each agreement.</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3 “Collaboration Agreements.”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revenue recognition purposes, the Company determines that the term of its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The Company believes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8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transaction price for each collaboration agreement is determined based on the amount of consideration the Company expects to be entitled for satisfying all performance obligations within the agreement. The Company’s collaboration agreements include payments to the Company of one or more of the following: non-refundable upfront license fees; co-development billings; development, regulatory, and commercial milestone payments; payments from sales of active pharmaceutical ingredient (“API”); and royalties on net sales of licensed products.</w:t>
      </w:r>
    </w:p>
    <w:p>
      <w:pPr>
        <w:spacing w:after="0" w:line="18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Upfront license fees are non-contingent and non-refundable in nature and are included in the transaction price at the point when the license fees become due to the Company.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7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Co-development billings resulting from the Company’s research and development efforts, which are reimbursable under its collaboration agreements, are considered variable consideration. Determining the reimbursable amount of research and development efforts requires detailed analysis of the terms of the collaboration agreements and the nature of the research and development efforts incurred. Determining the amount of variable consideration from co-development billings requires the Company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39" w:name="page140"/>
    <w:bookmarkEnd w:id="139"/>
    <w:p>
      <w:pPr>
        <w:ind w:right="60"/>
        <w:spacing w:after="0" w:line="255" w:lineRule="auto"/>
        <w:rPr>
          <w:sz w:val="20"/>
          <w:szCs w:val="20"/>
          <w:color w:val="auto"/>
        </w:rPr>
      </w:pPr>
      <w:r>
        <w:rPr>
          <w:rFonts w:ascii="Times New Roman" w:cs="Times New Roman" w:eastAsia="Times New Roman" w:hAnsi="Times New Roman"/>
          <w:sz w:val="18"/>
          <w:szCs w:val="18"/>
          <w:color w:val="auto"/>
        </w:rPr>
        <w:t>Milestone payments are also considered variable consideration, which requires the Company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Product revenue consists of sales of commercial-grade API used in support of pre-commercial validation work. In 2018, the Company recorded revenue from commercial-grade API sales to Astellas based on a transaction price that is subject to potential future adjustments. This represents a form of variable consideration. With respect to these sales in 2018, the transaction price will be adjusted at the time the roxadustat listed price is issued by the Japanese Ministry of Health, Labour and Welfare to reflect differences between estimated and actual listed price, yield from the manufacture of bulk product tablets, and bulk product manufacturing costs. The Company evaluates the latest available facts and circumstances, including listed prices of comparable drug products in Japan and historical bulk drug product manufacturing yields and costs, to determine whether any adjustments to the estimated transaction price is necessary. As of December 31, 2018, no new facts or circumstances were available to warrant an adjustment to the transaction price.</w:t>
      </w:r>
    </w:p>
    <w:p>
      <w:pPr>
        <w:spacing w:after="0" w:line="1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For arrangements that include sales-based royalties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its collaboration arrangements.</w:t>
      </w:r>
    </w:p>
    <w:p>
      <w:pPr>
        <w:spacing w:after="0" w:line="15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the Company separately sells the products and services. If an SSP is not directly observable, then the Company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7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Significant judgment may be required in determining whether a performance obligation is distinct, determining the amount of variable consideration to be included in the transaction price, and estimating the SSP of each performance obligation. An enumeration of the Company’s significant judgments is outlined in Note 3 “Collaboration Agreements.”</w:t>
      </w:r>
    </w:p>
    <w:p>
      <w:pPr>
        <w:spacing w:after="0" w:line="17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For each performance obligation identified within an arrangement, the Company determines the period over which the promised services are transferred and the performance obligation is satisfied. Service revenue is recognized over time based on progress toward complete satisfaction of the performance obligation. The Company uses an input method to measure progress toward the satisfaction of co-development services and certain other related performance obligations, which is based on costs of labor hours or full time equivalents and out-of-pocket expenses incurred relative to total expected costs to be incurred. The Company believes this measure of progress provides a faithful depiction of the transfer of services because other measures do not measure as accurately how the Company transfers its performance obligations to its collaboration partners.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1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of independent research and development costs and the gross amount of costs associated with work performed under collaboration agreements. Research and development costs include employee-related expenses, expenses incurred under agreements with clinical research organizations (“CROs”), other clinical and preclinical costs and allocated direct and indirect overhead costs, such as facilities costs, information technology costs and other overhead. All research and development costs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Accruals</w:t>
      </w:r>
    </w:p>
    <w:p>
      <w:pPr>
        <w:spacing w:after="0" w:line="11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13"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Company utilizes the asset and liability method of accounting for income taxes which requires the recognition of deferred tax assets and liabilities for expected future consequences of temporary differences between the financial reporting and income tax bases of assets and liabilities using enacted tax rates. Management makes estimates, assumptions and judgments to determine the Company’s provision for income taxes and also for deferred tax assets and liabilities, and any valuation allowances recorded against the Company’s deferred tax assets. The Company assesses the likelihood that its deferred tax assets will be recovered from future taxable income and, to the extent the Company believes that recovery is not likely, the Company must establish a valuation allowance.</w:t>
      </w:r>
    </w:p>
    <w:p>
      <w:pPr>
        <w:spacing w:after="0" w:line="16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calculation of the Company’s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Although the Company believes its estimates, assumptions and judgments to be reasonable, any changes in tax law or its interpretation of tax laws and the resolutions of potential tax audits could significantly impact the amounts provided for income taxes in the Company’s consolidated financial statements.</w:t>
      </w:r>
    </w:p>
    <w:p>
      <w:pPr>
        <w:spacing w:after="0" w:line="1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calculation of the Company’s deferred tax asset balance involves the use of estimates, assumptions and judgments while taking into account estimates of the amounts and type of future taxable income. Actual future operating results and the underlying amount and type of income could differ materially from the Company’s estimates, assumptions and judgments thereby impacting the Company’s financial position and results of operations.</w:t>
      </w:r>
    </w:p>
    <w:p>
      <w:pPr>
        <w:spacing w:after="0" w:line="175"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 xml:space="preserve">The Company has adopted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that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includes interest and penalties related to unrecognized tax benefits within income tax expense in the Consolidated Statements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maintains equity incentive plans under which incentive and nonqualified stock options are granted to employees and non-employee consultants.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relating to non-employee stock options has not been material for all the periods presented.</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Company measures and recognizes compensation expense for all stock options and restricted stock units (“RSUs”) granted to its employees and directors based on the estimated fair value of the award on the grant date. The Company uses the Black-Scholes valuation model to estimate the fair value of stock option awards. The fair value is recognized as expense, net of estimated forfeitures, over the requisite service period, which is generally the vesting period of the respective award, on a straight-line basis. The Company believes that the fair value of stock options granted to non-employees is more reliably measured than the fair value of the services received. As such, the fair value of the unvested portion of the options granted to non-employees is re-measured each period. The resulting increase in value, if any, is recognized as expense during the period the related services are rendered on a straight-line basis. The determination of the grant date fair value of options using an option pricing model is affected by the Company’s estimated Common Stock fair value and requires management to make a number of assumptions including the expected life of the option, the volatility of the underlying stock, the risk-free interest rate and expected dividends.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required to report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 Comprehensive gains (losses) have been reflected in the consolidated statements of comprehensive income (loss) for all periods presented.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Guidance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Revenue Standards</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(Topic 606) </w:t>
      </w:r>
      <w:r>
        <w:rPr>
          <w:rFonts w:ascii="Times New Roman" w:cs="Times New Roman" w:eastAsia="Times New Roman" w:hAnsi="Times New Roman"/>
          <w:sz w:val="18"/>
          <w:szCs w:val="18"/>
          <w:color w:val="auto"/>
        </w:rPr>
        <w:t>(“ASU 2014-09”), which supersedes the revenue recognition requirements in Accounting Standards Codification (“ASC”)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ASU 2014-09 is based on the principle that revenue is recognized to depict the transfer of goods or services to customers in an amount that reflects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Times New Roman" w:cs="Times New Roman" w:eastAsia="Times New Roman" w:hAnsi="Times New Roman"/>
          <w:sz w:val="18"/>
          <w:szCs w:val="18"/>
          <w:i w:val="1"/>
          <w:iCs w:val="1"/>
          <w:color w:val="auto"/>
        </w:rPr>
        <w:t>Revenue from Contracts with Customers (Topic 606): Principal versus Agent Considerations</w:t>
      </w:r>
      <w:r>
        <w:rPr>
          <w:rFonts w:ascii="Times New Roman" w:cs="Times New Roman" w:eastAsia="Times New Roman" w:hAnsi="Times New Roman"/>
          <w:sz w:val="18"/>
          <w:szCs w:val="18"/>
          <w:color w:val="auto"/>
        </w:rPr>
        <w:t xml:space="preserve">; ASU No. 2016-10,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 Identifying Performance Obligations and Licensing</w:t>
      </w:r>
      <w:r>
        <w:rPr>
          <w:rFonts w:ascii="Times New Roman" w:cs="Times New Roman" w:eastAsia="Times New Roman" w:hAnsi="Times New Roman"/>
          <w:sz w:val="18"/>
          <w:szCs w:val="18"/>
          <w:color w:val="auto"/>
        </w:rPr>
        <w:t>; ASU No. 2016-12,</w:t>
      </w:r>
      <w:r>
        <w:rPr>
          <w:rFonts w:ascii="Times New Roman" w:cs="Times New Roman" w:eastAsia="Times New Roman" w:hAnsi="Times New Roman"/>
          <w:sz w:val="18"/>
          <w:szCs w:val="18"/>
          <w:i w:val="1"/>
          <w:iCs w:val="1"/>
          <w:color w:val="auto"/>
        </w:rPr>
        <w:t xml:space="preserve"> Revenue from Contracts with Customers (Topic 606): Narrow-Scope Improvements and Practical Expedients</w:t>
      </w:r>
      <w:r>
        <w:rPr>
          <w:rFonts w:ascii="Times New Roman" w:cs="Times New Roman" w:eastAsia="Times New Roman" w:hAnsi="Times New Roman"/>
          <w:sz w:val="18"/>
          <w:szCs w:val="18"/>
          <w:color w:val="auto"/>
        </w:rPr>
        <w:t>; and ASU No. 2016-20,</w:t>
      </w:r>
      <w:r>
        <w:rPr>
          <w:rFonts w:ascii="Times New Roman" w:cs="Times New Roman" w:eastAsia="Times New Roman" w:hAnsi="Times New Roman"/>
          <w:sz w:val="18"/>
          <w:szCs w:val="18"/>
          <w:i w:val="1"/>
          <w:iCs w:val="1"/>
          <w:color w:val="auto"/>
        </w:rPr>
        <w:t xml:space="preserve"> Technical Corrections and Improvements to Topic 606, Revenue from Contracts with Customers </w:t>
      </w:r>
      <w:r>
        <w:rPr>
          <w:rFonts w:ascii="Times New Roman" w:cs="Times New Roman" w:eastAsia="Times New Roman" w:hAnsi="Times New Roman"/>
          <w:sz w:val="18"/>
          <w:szCs w:val="18"/>
          <w:color w:val="auto"/>
        </w:rPr>
        <w:t>(collectively, the “new revenue standards”).</w:t>
      </w:r>
    </w:p>
    <w:p>
      <w:pPr>
        <w:spacing w:after="0" w:line="1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Under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 adopted the new revenue standards as of January 1, 2018 using the full retrospective method, which required the Company to recast the prior reporting periods presented in the consolidated financial statements. The primary impact upon adoption of the new revenue standards relates to the manner in which revenue is recognized for co-development billings and milestone payments under the Company’s collaboration arrangements. Under the new revenue standards, both of these elements of consideration are considered variable consideration which requires the Company to make estimates of when co-development billings become due or when achievement of a particular milestone becomes probable. Payments are included in the transaction price when it becomes probable that inclusion would not lead to a significant revenue reversal.</w:t>
      </w:r>
    </w:p>
    <w:p>
      <w:pPr>
        <w:spacing w:after="0" w:line="184"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The Company has recast its consolidated statement of operations and balance sheet from amounts previously reported due to the adoption of the new revenue standards. The adoption of the new revenue standards had no impact to the Company’s previously reported consolidated statement of cash flows.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42" w:name="page143"/>
    <w:bookmarkEnd w:id="142"/>
    <w:p>
      <w:pPr>
        <w:ind w:right="340"/>
        <w:spacing w:after="0" w:line="273" w:lineRule="auto"/>
        <w:rPr>
          <w:sz w:val="20"/>
          <w:szCs w:val="20"/>
          <w:color w:val="auto"/>
        </w:rPr>
      </w:pPr>
      <w:r>
        <w:rPr>
          <w:rFonts w:ascii="Times New Roman" w:cs="Times New Roman" w:eastAsia="Times New Roman" w:hAnsi="Times New Roman"/>
          <w:sz w:val="18"/>
          <w:szCs w:val="18"/>
          <w:color w:val="auto"/>
        </w:rPr>
        <w:t>Select line items from the Company’s consolidated statement of operations and balance sheet, which reflect the adoption of the new revenue standards are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w w:val="99"/>
              </w:rPr>
              <w:t>Year Ended December 31, 2017</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2016</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New Revenue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20" w:type="dxa"/>
            <w:vAlign w:val="bottom"/>
          </w:tcPr>
          <w:p>
            <w:pPr>
              <w:spacing w:after="0"/>
              <w:rPr>
                <w:sz w:val="11"/>
                <w:szCs w:val="11"/>
                <w:color w:val="auto"/>
              </w:rPr>
            </w:pPr>
          </w:p>
        </w:tc>
        <w:tc>
          <w:tcPr>
            <w:tcW w:w="11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New Revenue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Standards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Recast</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Standards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Recast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96,056</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(86,123)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137,352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(86,745)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121,063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(126,203)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(120,875)</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(61,680)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(58,068)</w:t>
            </w:r>
          </w:p>
        </w:tc>
        <w:tc>
          <w:tcPr>
            <w:tcW w:w="0" w:type="dxa"/>
            <w:vAlign w:val="bottom"/>
          </w:tcPr>
          <w:p>
            <w:pPr>
              <w:spacing w:after="0"/>
              <w:rPr>
                <w:sz w:val="1"/>
                <w:szCs w:val="1"/>
                <w:color w:val="auto"/>
              </w:rPr>
            </w:pPr>
          </w:p>
        </w:tc>
      </w:tr>
      <w:tr>
        <w:trPr>
          <w:trHeight w:val="23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444"/>
        </w:trPr>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120" w:type="dxa"/>
            <w:vAlign w:val="bottom"/>
          </w:tcPr>
          <w:p>
            <w:pPr>
              <w:spacing w:after="0"/>
              <w:rPr>
                <w:sz w:val="11"/>
                <w:szCs w:val="11"/>
                <w:color w:val="auto"/>
              </w:rPr>
            </w:pPr>
          </w:p>
        </w:tc>
        <w:tc>
          <w:tcPr>
            <w:tcW w:w="11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New Revenue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Standards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Recast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(595,945)</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(630,657)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the new revenue standards also resulted in the following changes in the accumulated deficit as of December 31, 2016 and 2015:</w:t>
      </w:r>
    </w:p>
    <w:p>
      <w:pPr>
        <w:spacing w:after="0" w:line="20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New Revenue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Recast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4"/>
                <w:szCs w:val="14"/>
                <w:color w:val="auto"/>
              </w:rPr>
            </w:pPr>
          </w:p>
        </w:tc>
        <w:tc>
          <w:tcPr>
            <w:tcW w:w="16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Standards Adjustment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2016</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(469,742)</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(40,040)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(509,782)</w:t>
            </w:r>
          </w:p>
        </w:tc>
        <w:tc>
          <w:tcPr>
            <w:tcW w:w="0" w:type="dxa"/>
            <w:vAlign w:val="bottom"/>
          </w:tcPr>
          <w:p>
            <w:pPr>
              <w:spacing w:after="0"/>
              <w:rPr>
                <w:sz w:val="1"/>
                <w:szCs w:val="1"/>
                <w:color w:val="auto"/>
              </w:rPr>
            </w:pPr>
          </w:p>
        </w:tc>
      </w:tr>
      <w:tr>
        <w:trPr>
          <w:trHeight w:val="225"/>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December 31, 2015</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(408,062)</w:t>
            </w:r>
          </w:p>
        </w:tc>
        <w:tc>
          <w:tcPr>
            <w:tcW w:w="30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(43,652)</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(451,714)</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2016-01</w:t>
      </w:r>
    </w:p>
    <w:p>
      <w:pPr>
        <w:spacing w:after="0" w:line="11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Instruments-Overall (Subtopic 825-10)</w:t>
      </w:r>
      <w:r>
        <w:rPr>
          <w:rFonts w:ascii="Times New Roman" w:cs="Times New Roman" w:eastAsia="Times New Roman" w:hAnsi="Times New Roman"/>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was effective for the annual reporting period beginning after December 15, 2017 and interim periods within those annual periods. The Company adopted this guidance as of January 1, 2018 using the modified retrospective approach. The impacts to the Company’s accumulated other comprehensive loss and accumulated deficit upon adoption of this guidance are as follows (in thousands):</w:t>
      </w:r>
    </w:p>
    <w:p>
      <w:pPr>
        <w:spacing w:after="0" w:line="17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800" w:type="dxa"/>
            <w:vAlign w:val="bottom"/>
            <w:gridSpan w:val="3"/>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8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87"/>
              </w:rPr>
              <w:t>(1,795)</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(630,657)</w:t>
            </w: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Impact of change in accounting principle</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upon adoption of ASU 2016-01</w:t>
            </w:r>
          </w:p>
        </w:tc>
        <w:tc>
          <w:tcPr>
            <w:tcW w:w="180" w:type="dxa"/>
            <w:vAlign w:val="bottom"/>
          </w:tcPr>
          <w:p>
            <w:pPr>
              <w:spacing w:after="0"/>
              <w:rPr>
                <w:sz w:val="20"/>
                <w:szCs w:val="20"/>
                <w:color w:val="auto"/>
              </w:rPr>
            </w:pPr>
          </w:p>
        </w:tc>
        <w:tc>
          <w:tcPr>
            <w:tcW w:w="19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Opening balance as of January 1, 2018</w:t>
            </w: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87"/>
              </w:rPr>
              <w:t>(3,045)</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(629,407)</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520" w:hanging="514"/>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Recast to reflect the adoption of the new revenue standards. See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9671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this guidance had no impact to the Company’s consolidated statement of cash flows for the year ended December 31, 2018.</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i w:val="1"/>
          <w:iCs w:val="1"/>
          <w:color w:val="auto"/>
        </w:rPr>
        <w:t>ASU 2017-09</w:t>
      </w:r>
    </w:p>
    <w:p>
      <w:pPr>
        <w:spacing w:after="0" w:line="1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 - Stock Compensation (Topic 718): Scope of Modification Accounting</w:t>
      </w:r>
      <w:r>
        <w:rPr>
          <w:rFonts w:ascii="Times New Roman" w:cs="Times New Roman" w:eastAsia="Times New Roman" w:hAnsi="Times New Roman"/>
          <w:sz w:val="18"/>
          <w:szCs w:val="18"/>
          <w:color w:val="auto"/>
        </w:rPr>
        <w:t>. This guidance provides guidance about which changes to the terms or conditions of a stock-based payment award require an entity to apply modification accounting in Topic 718. This guidance was effective for annual reporting period beginning after December 15, 2017, including interim periods. The Company adopted this guidance as of January 1, 2018, and the adoption of this guidance had no impact to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2016-16</w:t>
      </w:r>
    </w:p>
    <w:p>
      <w:pPr>
        <w:spacing w:after="0" w:line="11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This guidance requires companies to recognize the income tax effects of intercompany sales or transfer of assets, other than inventory, in the income statement as income tax expense (or benefit) in the period the sale or transfer occurs. The exception to recognizing the income tax effects of intercompany sales or transfer sales or transfer of assets remains in place for intercompany inventory sales and transfers. This guidance was effective for annual reporting period beginning after December 15, 2017, including interim periods. The Company adopted this guidance as of January 1, 2018 using the modified retrospective method. The adoption of this guidance did not result in any recognition of previously unrecognized deferred charges using a modified retrospective method, thus had no impact to the Company’s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7"/>
          <w:szCs w:val="17"/>
          <w:color w:val="auto"/>
        </w:rPr>
        <w:t xml:space="preserve">In August 2018, the FASB issued ASU 2018-15, </w:t>
      </w:r>
      <w:r>
        <w:rPr>
          <w:rFonts w:ascii="Times New Roman" w:cs="Times New Roman" w:eastAsia="Times New Roman" w:hAnsi="Times New Roman"/>
          <w:sz w:val="17"/>
          <w:szCs w:val="17"/>
          <w:i w:val="1"/>
          <w:iCs w:val="1"/>
          <w:color w:val="auto"/>
        </w:rPr>
        <w:t>Intangibles—Goodwill and Other—Internal-Use Software (Subtopic 350-40): Customer’s Accounting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Implementation Costs Incurred in a Cloud Computing Arrangement That Is a Service Contract. </w:t>
      </w:r>
      <w:r>
        <w:rPr>
          <w:rFonts w:ascii="Times New Roman" w:cs="Times New Roman" w:eastAsia="Times New Roman" w:hAnsi="Times New Roman"/>
          <w:sz w:val="17"/>
          <w:szCs w:val="17"/>
          <w:color w:val="auto"/>
        </w:rPr>
        <w:t>This guidance requires capitalizing implementation costs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incurred to develop or obtain internal-use software (and hosting arrangements that include an internal-use software license). This guidance should be applied either retrospectively or prospectively, and is effective for annual reporting period beginning after December 15, 2019 including interim periods, with early adoption permitted. The Company is currently evaluating the impact on its consolidated financial statements upon the adoption of this guidance.</w:t>
      </w:r>
    </w:p>
    <w:p>
      <w:pPr>
        <w:spacing w:after="0" w:line="16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 Requirements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Fair Value Measurement. </w:t>
      </w:r>
      <w:r>
        <w:rPr>
          <w:rFonts w:ascii="Times New Roman" w:cs="Times New Roman" w:eastAsia="Times New Roman" w:hAnsi="Times New Roman"/>
          <w:sz w:val="18"/>
          <w:szCs w:val="18"/>
          <w:color w:val="auto"/>
        </w:rPr>
        <w:t>This guidance amends existing fair value measurement disclosure requirements by adding, changing, or removing certain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guidance is effective for annual reporting period beginning after December 15, 2019 including interim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does not anticipate a material impact to its consolidated financial statements upon adoption of this guidance.</w:t>
      </w:r>
    </w:p>
    <w:p>
      <w:pPr>
        <w:spacing w:after="0" w:line="18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This guidance expands the scope of Topic 718 to include share-based payment transactions for acquiring goods and services from nonemployees.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is effective for annual reporting period beginning after December 15, 2018, including interim periods. The Company will adopt this guidance on January 1, 2019 and does not anticipate a material impact to its consolidated financial statements upon adoption.</w:t>
      </w:r>
    </w:p>
    <w:p>
      <w:pPr>
        <w:spacing w:after="0" w:line="1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Income Statement - Reporting Comprehensive Income: Reclassification of Certain Tax effects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This guidance allows for the reclassification from accumulated other comprehensive income to retained earnings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stranded tax effects arising from the change in the reduction of the United States (“U.S.”) federal statutory income tax rate from 35% to 21%. This guidance is effective for annual reporting period beginning after December 15, 2018, including interim periods, with early adoption permitted. The Company will adopt this guidance on January 1, 2019 and anticipate a reclassification of $0.6 million from its accumulated other comprehensive loss to its accumulated deficit upon adoption.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647" w:right="279" w:bottom="1440" w:gutter="0" w:footer="0" w:header="0"/>
        </w:sectPr>
      </w:pPr>
    </w:p>
    <w:bookmarkStart w:id="144" w:name="page145"/>
    <w:bookmarkEnd w:id="144"/>
    <w:p>
      <w:pPr>
        <w:spacing w:after="0" w:line="250"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(“ASU 2016-13”).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In November 2018, the FASB issued ASU 2018-19, </w:t>
      </w:r>
      <w:r>
        <w:rPr>
          <w:rFonts w:ascii="Times New Roman" w:cs="Times New Roman" w:eastAsia="Times New Roman" w:hAnsi="Times New Roman"/>
          <w:sz w:val="18"/>
          <w:szCs w:val="18"/>
          <w:i w:val="1"/>
          <w:iCs w:val="1"/>
          <w:color w:val="auto"/>
        </w:rPr>
        <w:t>Codification Improvements to Topic 326, Financial Instruments-Credit Losses</w:t>
      </w:r>
      <w:r>
        <w:rPr>
          <w:rFonts w:ascii="Times New Roman" w:cs="Times New Roman" w:eastAsia="Times New Roman" w:hAnsi="Times New Roman"/>
          <w:sz w:val="18"/>
          <w:szCs w:val="18"/>
          <w:color w:val="auto"/>
        </w:rPr>
        <w:t xml:space="preserve"> (“ASU 2018-19”), which clarifies certain topics included within ASU 2016-13. ASU 2016-13 and ASU 2018-19 are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18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(“ASU 2018-11”)</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which provides entities the option to initially apply ASU 2016-02 at the adoption date and recognize a cumulative-effect adjustment to the opening balance of retained earnings in the period of adoption. ASU 2016-02 and ASU 2018-11 are effective for the annual reporting period beginning after December 15, 2018, including interim periods within that reporting period. The Company will adopt this guidance as of January 1, 2019 and utilize the modified retrospective transition method through a cumulative-effect adjustment at the beginning of the first quarter of 2019. Based on the current evaluation, the Company anticipates a recognition of approximately $47 million to $62 million in right-of-use assets and approximately $57 million to $67 million in lease liabilities, respectively, upon adoption of this guidance, for its operating leases and facility leases disclosed in Note 8 to its consolidated balance sheets. Accordingly, the related balances as of December 31, 2018 in property and equipment, net, and long-term portion of lease financing obligations would be removed. The Company does not anticipate a material impact to its consolidated statement of operations or consolidated statement of cash flows upon adoption of this guidance.</w:t>
      </w:r>
    </w:p>
    <w:p>
      <w:pPr>
        <w:spacing w:after="0" w:line="291" w:lineRule="exact"/>
        <w:rPr>
          <w:sz w:val="20"/>
          <w:szCs w:val="20"/>
          <w:color w:val="auto"/>
        </w:rPr>
      </w:pPr>
    </w:p>
    <w:p>
      <w:pPr>
        <w:ind w:right="9060" w:firstLine="6"/>
        <w:spacing w:after="0" w:line="390" w:lineRule="auto"/>
        <w:tabs>
          <w:tab w:leader="none" w:pos="371"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 Agreements Astellas Agreements</w:t>
      </w:r>
    </w:p>
    <w:p>
      <w:pPr>
        <w:spacing w:after="0"/>
        <w:rPr>
          <w:sz w:val="20"/>
          <w:szCs w:val="20"/>
          <w:color w:val="auto"/>
        </w:rPr>
      </w:pPr>
      <w:r>
        <w:rPr>
          <w:rFonts w:ascii="Times New Roman" w:cs="Times New Roman" w:eastAsia="Times New Roman" w:hAnsi="Times New Roman"/>
          <w:sz w:val="18"/>
          <w:szCs w:val="18"/>
          <w:i w:val="1"/>
          <w:iCs w:val="1"/>
          <w:color w:val="auto"/>
        </w:rPr>
        <w:t>Japan Agreement</w:t>
      </w:r>
    </w:p>
    <w:p>
      <w:pPr>
        <w:spacing w:after="0" w:line="11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w:t>
      </w:r>
    </w:p>
    <w:p>
      <w:pPr>
        <w:spacing w:after="0" w:line="18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During the second quarter of 2018, Astellas reported positive results from the final phase 3 CKD-dialysis trial of roxadustat in Japan, indicating that Astellas was ready to make an NDA submission for the treatment of anemia with roxadustat in CKD-dialysis patients in 2018. The Company evaluated the regulatory milestone payment associated with NDA submission in Japan based on variable consideration requirements under the current revenue standards and concluded that this milestone became probable of being achieved in the second quarter of 2018. Accordingly, the consideration of $15.0 million associated with this milestone was included in the transaction price and allocated to performance obligations under the Japan Agreement in the second quarter of 2018, substantially all of which was recognized as revenue during the year ended December 31, 2018 from performance obligations satisfied or partially satisfied.</w:t>
      </w:r>
    </w:p>
    <w:p>
      <w:pPr>
        <w:spacing w:after="0" w:line="184"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On November 30, 2018, FibroGen and Astellas entered into an amendment to the Japan Agreement that will allow Astellas to manufacture roxadustat drug product for commercialization in Japan (the “Japan Amendment”). Under this amendment, FibroGen would continue to manufacture and deliver to Astellas roxadustat API. The commercial terms of the Japan Agreement relating to the transfer price for roxadustat for commercial use remain substantially the same, reflecting an adjustment for the manufacture of drug product by Astellas rather than FibroGen. This amendment obligates Astellas to purchase API from the Company, of which $20.9 million was delivered to Astellas in the second quarter of 2018 under a material transfer agreement to conduct commercial scale manufacturing validation for roxadustat drug product in anticipation of commercial launch in Japan. The remaining $43.9 million of API was delivered to Astellas in December 2018.</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i w:val="1"/>
          <w:iCs w:val="1"/>
          <w:color w:val="auto"/>
        </w:rPr>
        <w:t>Europe Agreement</w:t>
      </w:r>
    </w:p>
    <w:p>
      <w:pPr>
        <w:spacing w:after="0" w:line="113"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18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In the fourth quarter of 2018, the Company’s was engaged in the final stages of review with its partners over the proposed development of roxadustat for the treatment of chemotherapy induced anemia (“CIA”). AstraZeneca and Astellas approved the program in December 2018 and January 2019, respectively. Costs associated with the development of this indication are expected to be shared 50-50 between the Company’s two partners. For revenue recognition purposes, the Company concluded that this new indication represents a modification to the Europe agreements and will be accounted for separately, meaning the development costs associated with the new indications are distinct from the original development costs. The development service period for roxadustat for the treatment of CIA under the Europe Agreement is estimated to continue through the end of 2023 to allow for development of this indication.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Agreements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U.S./Rest of World Agreement</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which were fully received in various amounts through June 2016. In addition, the U.S./RoW Agreement also provides for development and regulatory approval based milestone payments of up to $550.0 million, which include potential future indications which the companies choose to pursue, and commercial related milestone payments of up to $325.0 million.</w:t>
      </w:r>
    </w:p>
    <w:p>
      <w:pPr>
        <w:spacing w:after="0" w:line="1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Under the U.S./RoW Agreement, the Company and AstraZeneca will share equally in the development costs of roxadustat not already paid for by Astellas, up to a total of $233.0 million (i.e. the Company’s share of development costs is $116.5 million, which was reached in 2015). Development costs incurred by FibroGen during the development period in excess of the $233.0 million (aggregated spend) are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Agreement</w:t>
      </w:r>
    </w:p>
    <w:p>
      <w:pPr>
        <w:spacing w:after="0" w:line="11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which were fully received in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186"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In September 2016, AstraZeneca approved the protocol related to the development of roxadustat for the treatment of anemia in patients with myelodysplastic syndrome (“MDS”), for which the Company has received approval from then the China Food and Drug Administration (“CFDA,” now known as the National Medicine Products Administration (“NMPA”)) for its clinical trial application for a Phase 2/3 trial and acceptance of its Investigational New Drug Application from the U.S. Food and Drug Administration for a Phase 3 trial. As a result, for revenue recognition purposes, during the third quarter of 2016, the Company extended the estimated joint development service period for the AstraZeneca agreements from the end of 2018 to the end of 2020, to allow for development of MDS.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46" w:name="page147"/>
    <w:bookmarkEnd w:id="146"/>
    <w:p>
      <w:pPr>
        <w:ind w:right="60"/>
        <w:spacing w:after="0" w:line="249" w:lineRule="auto"/>
        <w:rPr>
          <w:sz w:val="20"/>
          <w:szCs w:val="20"/>
          <w:color w:val="auto"/>
        </w:rPr>
      </w:pPr>
      <w:r>
        <w:rPr>
          <w:rFonts w:ascii="Times New Roman" w:cs="Times New Roman" w:eastAsia="Times New Roman" w:hAnsi="Times New Roman"/>
          <w:sz w:val="18"/>
          <w:szCs w:val="18"/>
          <w:color w:val="auto"/>
        </w:rPr>
        <w:t>As mentioned above, in the fourth quarter of 2018, the Company was engaged in the final stages of review with its partners over the proposed development of roxadustat for the treatment of CIA. AstraZeneca and Astellas approved the program in December 2018 and January 2019, respectively. Costs associated with the development of this indication are expected to be shared 50-50 between the Company’s two partners. In addition to CIA, in December 2018, anemia of chronic inflammation (“ACI”) and multiple myeloma (“MM”) have been approved for development by AstraZeneca and is expected to be fully funded by them. For revenue recognition purposes, the Company concluded that the addition of these new indications represents a modification to the collaboration agreements and will be accounted for separately, meaning the development costs associated with the new indications are distinct from the original development costs. The development service period for roxadustat for the treatment of CIA, ACI and MM under the AstraZeneca agreements is estimated to continue through the end of 2024, to allow for development of these additional indications.</w:t>
      </w:r>
    </w:p>
    <w:p>
      <w:pPr>
        <w:spacing w:after="0" w:line="189"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In October 2017, then the CFDA (now known as the NMPA) accepted the Company’s recently submitted New Drug Application (“NDA”) for registration of roxadustat for anemia in dialysis-dependent CKD and non-dialysis-dependent CKD (NDD-CKD) patients. This NDA submission triggered a $15.0 million milestone payment to the Company by AstraZeneca, which became probable of being achieved during the third quarter of 2017, and therefore partially recognized as revenue under the new revenue standards during 2017.</w:t>
      </w:r>
    </w:p>
    <w:p>
      <w:pPr>
        <w:spacing w:after="0" w:line="1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December 17, 2018, FibroGen (China) Medical Technology Development Co., Ltd. (“FibroGen China”), received marketing authorization from the NMPA for roxadustat, a first-in-class hypoxia-inducible factor prolyl hydroxylase inhibitor, for the treatment of anemia caused by CKD in patients on dialysis. This approval triggered a $6.0 million milestone payable to the Company by AstraZeneca. On December 29, 2018, FibroGen China received First Manufacturing Approval for a Product in the Field in the Territory , which allows production for Phase IV clinical studies, patients’ early experience programs, donation programs, as well as to supply products for testing and assessments required prior to launch. This approval triggered a $6.0 million milestone payable to the Company by AstraZeneca. Approximately $9.9 million of the total $12.0 million milestone payables was recognized as revenue during the fourth quarter of 2018 from performance obligations satisfied or partially satisfied.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Astellas Agreements</w:t>
      </w:r>
    </w:p>
    <w:p>
      <w:pPr>
        <w:spacing w:after="0" w:line="113"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18"/>
          <w:szCs w:val="18"/>
          <w:color w:val="auto"/>
        </w:rPr>
        <w:t>For each of the Astellas agreements, the Company has evaluated the promised services within the respective arrangements and has identified performance obligations representing those services and bundles of services that are distinct.</w:t>
      </w:r>
    </w:p>
    <w:p>
      <w:pPr>
        <w:spacing w:after="0" w:line="16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Promised services that were not distinct have been combined with other promised services to form a distinct bundle of promised services, with revenue being recognized on the bundle of services rather than the individual services. There are no right-of-return provisions for the delivered items in the Astellas agreements.</w:t>
      </w:r>
    </w:p>
    <w:p>
      <w:pPr>
        <w:spacing w:after="0" w:line="177" w:lineRule="exact"/>
        <w:rPr>
          <w:sz w:val="20"/>
          <w:szCs w:val="20"/>
          <w:color w:val="auto"/>
        </w:rPr>
      </w:pPr>
    </w:p>
    <w:p>
      <w:pPr>
        <w:jc w:val="both"/>
        <w:ind w:right="200"/>
        <w:spacing w:after="0" w:line="274" w:lineRule="auto"/>
        <w:rPr>
          <w:sz w:val="20"/>
          <w:szCs w:val="20"/>
          <w:color w:val="auto"/>
        </w:rPr>
      </w:pPr>
      <w:r>
        <w:rPr>
          <w:rFonts w:ascii="Times New Roman" w:cs="Times New Roman" w:eastAsia="Times New Roman" w:hAnsi="Times New Roman"/>
          <w:sz w:val="17"/>
          <w:szCs w:val="17"/>
          <w:color w:val="auto"/>
        </w:rPr>
        <w:t>As of December 31, 2018, the transaction price for the Japan Agreement included $40.1 million of non-contingent upfront payments, $37.5 million of variable consideration related to payments for milestones considered probable of being achieved, and $12.1 million of variable consideration related to co-development billings. The transaction price for the Europe Agreement included $320.0 million of non-contingent upfront payments, $90.0 million of variable consideration related to payments for milestones considered probable of being achieved, and $180.9 million of variable consideration related to co-development billings.</w:t>
      </w:r>
    </w:p>
    <w:p>
      <w:pPr>
        <w:spacing w:after="0" w:line="1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revenue recognition purposes, the Company determined that the term of each collaboration agreement with Astellas begins on the effective date and ends upon the completion of all performance obligations contained in the agreement. The contract term is defined as the period in which parties to the contract have present and enforceable rights and obligations. The Company believes that the requirement to continue funding development for a substantive period of time and loss of product rights, along with non-refundable upfront payments already remitted by Astellas, create significant disincentive for Astellas to exercise its right to terminate the agreements.</w:t>
      </w:r>
    </w:p>
    <w:p>
      <w:pPr>
        <w:spacing w:after="0" w:line="18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For the Astellas agreements, the Company allocated the transaction price to the various performance obligations based on the relative SSP of each performance obligation, with the exception of co-development billings allocated entirely to co-development services performance obligations.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7" w:name="page148"/>
    <w:bookmarkEnd w:id="147"/>
    <w:p>
      <w:pPr>
        <w:ind w:right="20"/>
        <w:spacing w:after="0" w:line="249" w:lineRule="auto"/>
        <w:rPr>
          <w:sz w:val="20"/>
          <w:szCs w:val="20"/>
          <w:color w:val="auto"/>
        </w:rPr>
      </w:pPr>
      <w:r>
        <w:rPr>
          <w:rFonts w:ascii="Times New Roman" w:cs="Times New Roman" w:eastAsia="Times New Roman" w:hAnsi="Times New Roman"/>
          <w:sz w:val="18"/>
          <w:szCs w:val="18"/>
          <w:color w:val="auto"/>
        </w:rPr>
        <w:t>For the technology license under the Japan Agreement and Europe Agreement, SSP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SSP also considered certain future royalty payments associated with commercial performance of the Company’s compounds, transfer prices and expected gross margins.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promised services that were analyzed, along with their general timing of satisfaction and recognition as revenue, are as follows:</w:t>
      </w:r>
    </w:p>
    <w:p>
      <w:pPr>
        <w:spacing w:after="0" w:line="109" w:lineRule="exact"/>
        <w:rPr>
          <w:sz w:val="20"/>
          <w:szCs w:val="20"/>
          <w:color w:val="auto"/>
        </w:rPr>
      </w:pPr>
    </w:p>
    <w:p>
      <w:pPr>
        <w:ind w:left="460" w:right="120" w:hanging="454"/>
        <w:spacing w:after="0" w:line="265" w:lineRule="auto"/>
        <w:tabs>
          <w:tab w:leader="none" w:pos="460" w:val="left"/>
        </w:tabs>
        <w:numPr>
          <w:ilvl w:val="0"/>
          <w:numId w:val="5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License to the Company’s technology existing at the effective date of the agreements. </w:t>
      </w:r>
      <w:r>
        <w:rPr>
          <w:rFonts w:ascii="Times New Roman" w:cs="Times New Roman" w:eastAsia="Times New Roman" w:hAnsi="Times New Roman"/>
          <w:sz w:val="17"/>
          <w:szCs w:val="17"/>
          <w:color w:val="auto"/>
        </w:rPr>
        <w:t>For both of the Astellas agreements, the license was delivered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beginning of the agreement term. In both cases, the Company concluded at the time of the agreement that its collaboration partner, Astellas, would have the knowledge and capabilities to fully exploit the licenses without the Company’s further involvement. However, the Japan Agreement has contractual limitations that might affect Astellas’ ability to fully exploit the license and therefore, potentially, the conclusion as to whether the license is capable of being distinct. In the Japan Agreement, Astellas does not have the right to manufacture commercial supplies of the drug. In order to determine whether this characteristic of the agreement should lead to a conclusion that the license was not distinct in the context of the agreement, the Company considered the ability of Astellas to benefit from the license together with other resources readily available to Astellas. Finally, the Company considered the fact that at the time of delivery of the license, the development services were beyond the preclinical development phase and any remaining development work in either agreement would not be expected to result in any significant modification or customization to the licensed technology. As such, the development services are separately identifiable from the licensed technology, indicating that the license is a distinct performance obligation.</w:t>
      </w:r>
    </w:p>
    <w:p>
      <w:pPr>
        <w:spacing w:after="0" w:line="172" w:lineRule="exact"/>
        <w:rPr>
          <w:rFonts w:ascii="Times New Roman" w:cs="Times New Roman" w:eastAsia="Times New Roman" w:hAnsi="Times New Roman"/>
          <w:sz w:val="17"/>
          <w:szCs w:val="17"/>
          <w:i w:val="1"/>
          <w:iCs w:val="1"/>
          <w:color w:val="auto"/>
        </w:rPr>
      </w:pPr>
    </w:p>
    <w:p>
      <w:pPr>
        <w:ind w:left="480" w:right="60"/>
        <w:spacing w:after="0" w:line="251"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xml:space="preserve">Manufacturing rights. </w:t>
      </w:r>
      <w:r>
        <w:rPr>
          <w:rFonts w:ascii="Times New Roman" w:cs="Times New Roman" w:eastAsia="Times New Roman" w:hAnsi="Times New Roman"/>
          <w:sz w:val="18"/>
          <w:szCs w:val="18"/>
          <w:color w:val="auto"/>
        </w:rPr>
        <w:t>In the case of the Japan Agreement, the Company retained manufacturing rights largely because of the way the parties chose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FibroGen to be compensated under the agreement. At the time the agreement was signed, the Company believed that it was more advantageous upon commercialization to have a transfer price revenue model in place as opposed to a traditional sales-based model. The manufacturing process does not require specialized knowledge or expertise uniquely held by FibroGen, and notwithstanding contractual restrictions, Astellas could employ manufacturing services from readily available third parties in order to benefit from the license. Therefore, along with the foregoing paragraph, the Company determined that the license in Japan is a distinct performance obligation despite the retention of manufacturing rights by the Company.</w:t>
      </w:r>
    </w:p>
    <w:p>
      <w:pPr>
        <w:spacing w:after="0" w:line="186" w:lineRule="exact"/>
        <w:rPr>
          <w:rFonts w:ascii="Times New Roman" w:cs="Times New Roman" w:eastAsia="Times New Roman" w:hAnsi="Times New Roman"/>
          <w:sz w:val="17"/>
          <w:szCs w:val="17"/>
          <w:i w:val="1"/>
          <w:iCs w:val="1"/>
          <w:color w:val="auto"/>
        </w:rPr>
      </w:pPr>
    </w:p>
    <w:p>
      <w:pPr>
        <w:ind w:left="480" w:right="140"/>
        <w:spacing w:after="0" w:line="273"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In summary, the Company concludes that item (1) represents a performance obligation. The portion of the transaction price allocated to this performance obligation based on a relative SSP basis is recognized as revenue in its entirety at the point in time the license transfers to Astellas.</w:t>
      </w:r>
    </w:p>
    <w:p>
      <w:pPr>
        <w:spacing w:after="0" w:line="162" w:lineRule="exact"/>
        <w:rPr>
          <w:rFonts w:ascii="Times New Roman" w:cs="Times New Roman" w:eastAsia="Times New Roman" w:hAnsi="Times New Roman"/>
          <w:sz w:val="17"/>
          <w:szCs w:val="17"/>
          <w:i w:val="1"/>
          <w:iCs w:val="1"/>
          <w:color w:val="auto"/>
        </w:rPr>
      </w:pPr>
    </w:p>
    <w:p>
      <w:pPr>
        <w:ind w:left="460" w:hanging="454"/>
        <w:spacing w:after="0" w:line="249" w:lineRule="auto"/>
        <w:tabs>
          <w:tab w:leader="none" w:pos="46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Co-development services (Europe Agreement). </w:t>
      </w:r>
      <w:r>
        <w:rPr>
          <w:rFonts w:ascii="Times New Roman" w:cs="Times New Roman" w:eastAsia="Times New Roman" w:hAnsi="Times New Roman"/>
          <w:sz w:val="18"/>
          <w:szCs w:val="18"/>
          <w:color w:val="auto"/>
        </w:rPr>
        <w:t>This promise relates to co-development services that were reasonably expected to be performed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the time the collaboration agreement was signed and is considered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and out-of-pocket expenses incurred relative to total expected costs to be incurred. The measure of progress is updated each reporting period. Co-development services are expected to continue over the development period that is currently estimated to continue through the end of 2019. In addition, the Company concluded that the new indication related to CIA approved in January 2019 represents a modification to the Europe agreements at that time and will be accounted for separately, for which the development service period is estimated to continue through the end of 2023. There was no provision for co-development services in the Japan Agreement.</w:t>
      </w:r>
    </w:p>
    <w:p>
      <w:pPr>
        <w:spacing w:after="0" w:line="183" w:lineRule="exact"/>
        <w:rPr>
          <w:rFonts w:ascii="Times New Roman" w:cs="Times New Roman" w:eastAsia="Times New Roman" w:hAnsi="Times New Roman"/>
          <w:sz w:val="18"/>
          <w:szCs w:val="18"/>
          <w:i w:val="1"/>
          <w:iCs w:val="1"/>
          <w:color w:val="auto"/>
        </w:rPr>
      </w:pPr>
    </w:p>
    <w:p>
      <w:pPr>
        <w:ind w:left="460" w:right="780" w:hanging="454"/>
        <w:spacing w:after="0" w:line="276" w:lineRule="auto"/>
        <w:tabs>
          <w:tab w:leader="none" w:pos="46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License to the Company’s technology developed during the term of the agreement and development (referred to as “when and if available”) and information sharing services. </w:t>
      </w:r>
      <w:r>
        <w:rPr>
          <w:rFonts w:ascii="Times New Roman" w:cs="Times New Roman" w:eastAsia="Times New Roman" w:hAnsi="Times New Roman"/>
          <w:sz w:val="18"/>
          <w:szCs w:val="18"/>
          <w:color w:val="auto"/>
        </w:rPr>
        <w:t>These promises are generally satisfied throughout the term of the agreements.</w:t>
      </w:r>
    </w:p>
    <w:p>
      <w:pPr>
        <w:spacing w:after="0" w:line="159" w:lineRule="exact"/>
        <w:rPr>
          <w:rFonts w:ascii="Times New Roman" w:cs="Times New Roman" w:eastAsia="Times New Roman" w:hAnsi="Times New Roman"/>
          <w:sz w:val="18"/>
          <w:szCs w:val="18"/>
          <w:i w:val="1"/>
          <w:iCs w:val="1"/>
          <w:color w:val="auto"/>
        </w:rPr>
      </w:pPr>
    </w:p>
    <w:p>
      <w:pPr>
        <w:ind w:left="460" w:right="320" w:hanging="454"/>
        <w:spacing w:after="0" w:line="276" w:lineRule="auto"/>
        <w:tabs>
          <w:tab w:leader="none" w:pos="46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of clinical supplies of products. </w:t>
      </w:r>
      <w:r>
        <w:rPr>
          <w:rFonts w:ascii="Times New Roman" w:cs="Times New Roman" w:eastAsia="Times New Roman" w:hAnsi="Times New Roman"/>
          <w:sz w:val="18"/>
          <w:szCs w:val="18"/>
          <w:color w:val="auto"/>
        </w:rPr>
        <w:t>This promise is satisfied as supplies for clinical product are delivered for use in the Company’s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trial programs during the development period, or pre-commercialization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8" w:name="page149"/>
    <w:bookmarkEnd w:id="148"/>
    <w:p>
      <w:pPr>
        <w:ind w:left="460" w:hanging="454"/>
        <w:spacing w:after="0"/>
        <w:tabs>
          <w:tab w:leader="none" w:pos="46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Committee service</w:t>
      </w:r>
      <w:r>
        <w:rPr>
          <w:rFonts w:ascii="Times New Roman" w:cs="Times New Roman" w:eastAsia="Times New Roman" w:hAnsi="Times New Roman"/>
          <w:sz w:val="18"/>
          <w:szCs w:val="18"/>
          <w:color w:val="auto"/>
        </w:rPr>
        <w:t>. This promise is satisfied throughout the course of the agreements as meetings are attended.</w:t>
      </w:r>
    </w:p>
    <w:p>
      <w:pPr>
        <w:spacing w:after="0" w:line="218" w:lineRule="exact"/>
        <w:rPr>
          <w:rFonts w:ascii="Times New Roman" w:cs="Times New Roman" w:eastAsia="Times New Roman" w:hAnsi="Times New Roman"/>
          <w:sz w:val="18"/>
          <w:szCs w:val="18"/>
          <w:i w:val="1"/>
          <w:iCs w:val="1"/>
          <w:color w:val="auto"/>
        </w:rPr>
      </w:pPr>
    </w:p>
    <w:p>
      <w:pPr>
        <w:ind w:left="480" w:firstLine="4"/>
        <w:spacing w:after="0" w:line="25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Items (3)-(5) are bundled into a single performance obligation which is distinct given the fact that all are highly interrelated during the development period (pre-commercial phase of development) such that satisfying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82" w:lineRule="exact"/>
        <w:rPr>
          <w:rFonts w:ascii="Times New Roman" w:cs="Times New Roman" w:eastAsia="Times New Roman" w:hAnsi="Times New Roman"/>
          <w:sz w:val="18"/>
          <w:szCs w:val="18"/>
          <w:i w:val="1"/>
          <w:iCs w:val="1"/>
          <w:color w:val="auto"/>
        </w:rPr>
      </w:pPr>
    </w:p>
    <w:p>
      <w:pPr>
        <w:ind w:left="460" w:right="60" w:hanging="454"/>
        <w:spacing w:after="0" w:line="255" w:lineRule="auto"/>
        <w:tabs>
          <w:tab w:leader="none" w:pos="46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commercial supplies of products. </w:t>
      </w:r>
      <w:r>
        <w:rPr>
          <w:rFonts w:ascii="Times New Roman" w:cs="Times New Roman" w:eastAsia="Times New Roman" w:hAnsi="Times New Roman"/>
          <w:sz w:val="18"/>
          <w:szCs w:val="18"/>
          <w:color w:val="auto"/>
        </w:rPr>
        <w:t>This promised service is distinct as services are not interrelated with any of the other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Payments received for commercial supplies of products represent sales-based payments related predominately to the license of intellectual property under both Astellas agreements. Revenue is recognized as supplies are shipped for commercial use during the commercialization period. To date, no such revenue has been recognized.</w:t>
      </w:r>
    </w:p>
    <w:p>
      <w:pPr>
        <w:spacing w:after="0" w:line="181" w:lineRule="exact"/>
        <w:rPr>
          <w:rFonts w:ascii="Times New Roman" w:cs="Times New Roman" w:eastAsia="Times New Roman" w:hAnsi="Times New Roman"/>
          <w:sz w:val="18"/>
          <w:szCs w:val="18"/>
          <w:i w:val="1"/>
          <w:iCs w:val="1"/>
          <w:color w:val="auto"/>
        </w:rPr>
      </w:pPr>
    </w:p>
    <w:p>
      <w:pPr>
        <w:ind w:left="480" w:right="8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2018, the Company recorded revenue from commercial-grade API sales to Astellas to conduct commercial scale manufacturing validation based on a transaction price that is subject to potential future adjustments. This represents a form of variable consideration. The Company evaluates the latest available facts and circumstances to determine whether any adjustments to the estimated transaction price is necessary. As of December 31, 2018, no new facts or circumstances were available to warrant an adjustment to the transaction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AstraZeneca Agreements</w:t>
      </w:r>
    </w:p>
    <w:p>
      <w:pPr>
        <w:spacing w:after="0" w:line="11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auto"/>
        </w:rPr>
        <w:t>The Company evaluated whether the U.S./RoW Agreement and China Agreement should be accounted for as a single or separate arrangements and concluded that the agreements should be accounted for as a single arrangement with the presumption that two or more agreements executed with a single customer at or around the same time should be presumed to be a single arrangement. The key points the Company considered in reaching this conclusion are as follows:</w:t>
      </w:r>
    </w:p>
    <w:p>
      <w:pPr>
        <w:spacing w:after="0" w:line="53" w:lineRule="exact"/>
        <w:rPr>
          <w:sz w:val="20"/>
          <w:szCs w:val="20"/>
          <w:color w:val="auto"/>
        </w:rPr>
      </w:pPr>
    </w:p>
    <w:p>
      <w:pPr>
        <w:ind w:left="380" w:right="1140" w:hanging="374"/>
        <w:spacing w:after="0" w:line="273"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two agreements were largely negotiated separately, those negotiations proceeded concurrently, and were intended to be completed contemporaneously, presuming AstraZeneca decided to proceed with licenses in all regions available.</w:t>
      </w:r>
    </w:p>
    <w:p>
      <w:pPr>
        <w:spacing w:after="0" w:line="164" w:lineRule="exact"/>
        <w:rPr>
          <w:rFonts w:ascii="Times New Roman" w:cs="Times New Roman" w:eastAsia="Times New Roman" w:hAnsi="Times New Roman"/>
          <w:sz w:val="18"/>
          <w:szCs w:val="18"/>
          <w:color w:val="auto"/>
        </w:rPr>
      </w:pPr>
    </w:p>
    <w:p>
      <w:pPr>
        <w:ind w:left="380" w:right="140" w:hanging="374"/>
        <w:spacing w:after="0" w:line="259"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negotiations for both agreements, the Company and the counterparties understood and considered the possibility that one arrangement may be executed without the execution of the other arrangement. However, the preference for the Company and the counterparties during the negotiations was to execute both arrangements concurrently.</w:t>
      </w:r>
    </w:p>
    <w:p>
      <w:pPr>
        <w:spacing w:after="0" w:line="177" w:lineRule="exact"/>
        <w:rPr>
          <w:rFonts w:ascii="Times New Roman" w:cs="Times New Roman" w:eastAsia="Times New Roman" w:hAnsi="Times New Roman"/>
          <w:sz w:val="18"/>
          <w:szCs w:val="18"/>
          <w:color w:val="auto"/>
        </w:rPr>
      </w:pPr>
    </w:p>
    <w:p>
      <w:pPr>
        <w:jc w:val="both"/>
        <w:ind w:left="380" w:right="80" w:hanging="374"/>
        <w:spacing w:after="0" w:line="259"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 agreements were executed as separate agreements because different development, regulatory and commercial approaches required certain terms of the agreements to be structured differently, rather than because the Company or the counterparties considered the agreements to be fundamentally separate negotiations.</w:t>
      </w:r>
    </w:p>
    <w:p>
      <w:pPr>
        <w:spacing w:after="0" w:line="17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Accordingly, as the agreements are being accounted for as a single arrangement, upfront and other non-contingent consideration received and to be received has been and will be pooled together and allocated to each of the performance obligations in both the U.S./RoW Agreement and China Agreement based on their relative SSPs.</w:t>
      </w:r>
    </w:p>
    <w:p>
      <w:pPr>
        <w:spacing w:after="0" w:line="177"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color w:val="auto"/>
        </w:rPr>
        <w:t>For each of the AstraZeneca agreements, the Company has evaluated the promised services within the respective arrangements and has identified performance obligations representing those services and bundled services that are distinct.</w:t>
      </w:r>
    </w:p>
    <w:p>
      <w:pPr>
        <w:spacing w:after="0" w:line="16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color w:val="auto"/>
        </w:rPr>
        <w:t>Promised services that were not distinct have been combined with other promised services to form a distinct bundle of promised services, with revenue being recognized on the bundle of services rather than the individual promised services. There are no right-of-return provisions for the delivered items in the AstraZeneca agreements.</w:t>
      </w:r>
    </w:p>
    <w:p>
      <w:pPr>
        <w:spacing w:after="0" w:line="177"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color w:val="auto"/>
        </w:rPr>
        <w:t>As of December 31, 2018, the transaction price for the U.S./RoW Agreement and China Agreement included $402.2 million of non-contingent upfront payments, $42.0 million of variable consideration related to payments for milestones considered probable of being achieved, and $621.6 million of variable consideration related to co-development billings.</w:t>
      </w:r>
    </w:p>
    <w:p>
      <w:pPr>
        <w:spacing w:after="0" w:line="17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For the AstraZeneca agreements, the Company allocated the transaction price to the various performance obligations based on the relative SSP of each performance obligation, with the exception of co-development billings. Co-development billings under the U.S./RoW Agreement were allocated entirely to the U.S./RoW co-development services performance obligation, and co-development billings under the China Agreement were allocated entirely to the combined performance obligation under the China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149" w:name="page150"/>
    <w:bookmarkEnd w:id="149"/>
    <w:p>
      <w:pPr>
        <w:ind w:right="40"/>
        <w:spacing w:after="0" w:line="252" w:lineRule="auto"/>
        <w:rPr>
          <w:sz w:val="20"/>
          <w:szCs w:val="20"/>
          <w:color w:val="auto"/>
        </w:rPr>
      </w:pPr>
      <w:r>
        <w:rPr>
          <w:rFonts w:ascii="Times New Roman" w:cs="Times New Roman" w:eastAsia="Times New Roman" w:hAnsi="Times New Roman"/>
          <w:sz w:val="18"/>
          <w:szCs w:val="18"/>
          <w:color w:val="auto"/>
        </w:rPr>
        <w:t>For revenue recognition purposes, the Company determined that the term of its collaboration agreements with AstraZeneca begin on the effective date and ends upon the completion of all performance obligations contained in the agreements. The contract term is defined as the period in which parties to the contract have present and enforceable rights and obligations. The Company believes that the requirement to continue funding development for a substantive period of time and the loss of product rights, along with non-refundable upfront payments already remitted by AstraZeneca, represent substantive termination penalties that create significant disincentive for AstraZeneca to exercise its right to terminate the agreement.</w:t>
      </w:r>
    </w:p>
    <w:p>
      <w:pPr>
        <w:spacing w:after="0" w:line="18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For the technology license under the AstraZeneca U.S./RoW Agreement, SSP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U.S./RoW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promised services that were analyzed, along with their general timing of satisfaction and recognition as revenue, are as follows:</w:t>
      </w:r>
    </w:p>
    <w:p>
      <w:pPr>
        <w:spacing w:after="0" w:line="109" w:lineRule="exact"/>
        <w:rPr>
          <w:sz w:val="20"/>
          <w:szCs w:val="20"/>
          <w:color w:val="auto"/>
        </w:rPr>
      </w:pPr>
    </w:p>
    <w:p>
      <w:pPr>
        <w:ind w:left="460" w:right="60" w:hanging="454"/>
        <w:spacing w:after="0" w:line="250" w:lineRule="auto"/>
        <w:tabs>
          <w:tab w:leader="none" w:pos="46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License to the Company’s technology existing at the effective date of the agreements. </w:t>
      </w:r>
      <w:r>
        <w:rPr>
          <w:rFonts w:ascii="Times New Roman" w:cs="Times New Roman" w:eastAsia="Times New Roman" w:hAnsi="Times New Roman"/>
          <w:sz w:val="18"/>
          <w:szCs w:val="18"/>
          <w:color w:val="auto"/>
        </w:rPr>
        <w:t>For the U.S./RoW Agreement, the license was delivered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of the agreement term. The Company concluded that AstraZeneca has the knowledge and capabilities to fully exploit the license under the U.S./RoW Agreement without the Company’s further involvement. Finally, the Company considered the fact that at the time of delivery of the license, the development services were beyond the preclinical development phase and any remaining development work would not be expected to result in any significant modification or customization to the licensed technology. As such, the development services are separately identifiable from the licensed technology, indicating that the license is a distinct performance obligation. Therefore, the Company has concluded that the license is distinct and represents a performance obligation. The portion of the transaction price allocated to this performance obligation based on a relative SSP basis is recognized as revenue in its entirety at the point in time the license transfers to AstraZeneca.</w:t>
      </w:r>
    </w:p>
    <w:p>
      <w:pPr>
        <w:spacing w:after="0" w:line="182" w:lineRule="exact"/>
        <w:rPr>
          <w:rFonts w:ascii="Times New Roman" w:cs="Times New Roman" w:eastAsia="Times New Roman" w:hAnsi="Times New Roman"/>
          <w:sz w:val="18"/>
          <w:szCs w:val="18"/>
          <w:i w:val="1"/>
          <w:iCs w:val="1"/>
          <w:color w:val="auto"/>
        </w:rPr>
      </w:pPr>
    </w:p>
    <w:p>
      <w:pPr>
        <w:ind w:left="460" w:hanging="454"/>
        <w:spacing w:after="0" w:line="265" w:lineRule="auto"/>
        <w:tabs>
          <w:tab w:leader="none" w:pos="460" w:val="left"/>
        </w:tabs>
        <w:numPr>
          <w:ilvl w:val="0"/>
          <w:numId w:val="6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Co-development services. </w:t>
      </w:r>
      <w:r>
        <w:rPr>
          <w:rFonts w:ascii="Times New Roman" w:cs="Times New Roman" w:eastAsia="Times New Roman" w:hAnsi="Times New Roman"/>
          <w:sz w:val="17"/>
          <w:szCs w:val="17"/>
          <w:color w:val="auto"/>
        </w:rPr>
        <w:t>This promise relates to co-development services that were reasonably expected to be performed by the Company at the time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collaboration agreement was signed and is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Co-development services are expected to continue over the development period that is currently estimated to continue through the end of 2020. In addition, the Company concluded that the addition of the new indications related to CIA, ACI and MM approved during the fourth quarter of 2018 represents a modification to the collaboration agreements and will be accounted for separately, for which the joint development service period is estimated to continue through the end of 2024.</w:t>
      </w:r>
    </w:p>
    <w:p>
      <w:pPr>
        <w:spacing w:after="0" w:line="176" w:lineRule="exact"/>
        <w:rPr>
          <w:rFonts w:ascii="Times New Roman" w:cs="Times New Roman" w:eastAsia="Times New Roman" w:hAnsi="Times New Roman"/>
          <w:sz w:val="17"/>
          <w:szCs w:val="17"/>
          <w:i w:val="1"/>
          <w:iCs w:val="1"/>
          <w:color w:val="auto"/>
        </w:rPr>
      </w:pPr>
    </w:p>
    <w:p>
      <w:pPr>
        <w:ind w:left="460" w:right="320" w:hanging="454"/>
        <w:spacing w:after="0" w:line="276" w:lineRule="auto"/>
        <w:tabs>
          <w:tab w:leader="none" w:pos="46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of clinical supplies of products. </w:t>
      </w:r>
      <w:r>
        <w:rPr>
          <w:rFonts w:ascii="Times New Roman" w:cs="Times New Roman" w:eastAsia="Times New Roman" w:hAnsi="Times New Roman"/>
          <w:sz w:val="18"/>
          <w:szCs w:val="18"/>
          <w:color w:val="auto"/>
        </w:rPr>
        <w:t>This promise is satisfied as supplies for clinical product are delivered for use in the Company’s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trial programs during the development period, or pre-commercialization period.</w:t>
      </w:r>
    </w:p>
    <w:p>
      <w:pPr>
        <w:spacing w:after="0" w:line="159" w:lineRule="exact"/>
        <w:rPr>
          <w:rFonts w:ascii="Times New Roman" w:cs="Times New Roman" w:eastAsia="Times New Roman" w:hAnsi="Times New Roman"/>
          <w:sz w:val="18"/>
          <w:szCs w:val="18"/>
          <w:i w:val="1"/>
          <w:iCs w:val="1"/>
          <w:color w:val="auto"/>
        </w:rPr>
      </w:pPr>
    </w:p>
    <w:p>
      <w:pPr>
        <w:ind w:left="460" w:hanging="454"/>
        <w:spacing w:after="0"/>
        <w:tabs>
          <w:tab w:leader="none" w:pos="46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Information sharing and committee service. </w:t>
      </w:r>
      <w:r>
        <w:rPr>
          <w:rFonts w:ascii="Times New Roman" w:cs="Times New Roman" w:eastAsia="Times New Roman" w:hAnsi="Times New Roman"/>
          <w:sz w:val="18"/>
          <w:szCs w:val="18"/>
          <w:color w:val="auto"/>
        </w:rPr>
        <w:t>These promises are satisfied throughout the course of the agreement as services are provided.</w:t>
      </w:r>
    </w:p>
    <w:p>
      <w:pPr>
        <w:spacing w:after="0" w:line="218" w:lineRule="exact"/>
        <w:rPr>
          <w:rFonts w:ascii="Times New Roman" w:cs="Times New Roman" w:eastAsia="Times New Roman" w:hAnsi="Times New Roman"/>
          <w:sz w:val="18"/>
          <w:szCs w:val="18"/>
          <w:i w:val="1"/>
          <w:iCs w:val="1"/>
          <w:color w:val="auto"/>
        </w:rPr>
      </w:pPr>
    </w:p>
    <w:p>
      <w:pPr>
        <w:ind w:left="480"/>
        <w:spacing w:after="0" w:line="25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Items (3)-(4) are bundled into a single performance obligation which is distinct given the fact that all are highly interrelated during the development period (pre-commercial phase of development) such that delivering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50" w:name="page151"/>
    <w:bookmarkEnd w:id="150"/>
    <w:p>
      <w:pPr>
        <w:ind w:left="460" w:right="100" w:hanging="454"/>
        <w:spacing w:after="0" w:line="255" w:lineRule="auto"/>
        <w:tabs>
          <w:tab w:leader="none" w:pos="4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commercial supplies of products. </w:t>
      </w:r>
      <w:r>
        <w:rPr>
          <w:rFonts w:ascii="Times New Roman" w:cs="Times New Roman" w:eastAsia="Times New Roman" w:hAnsi="Times New Roman"/>
          <w:sz w:val="18"/>
          <w:szCs w:val="18"/>
          <w:color w:val="auto"/>
        </w:rPr>
        <w:t>This promise is distinct as services are not interrelated with any of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received for commercial supplies of products represent sales-based royalties related predominately to the license of intellectual property under the agreement. Revenue is recognized as supplies are shipped for commercial use during the commercialization period. To date, no such revenue has been recognized.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obligation that were analyzed, along with their general timing of satisfaction and recognition as revenue, are as follows:</w:t>
      </w:r>
    </w:p>
    <w:p>
      <w:pPr>
        <w:spacing w:after="0" w:line="109" w:lineRule="exact"/>
        <w:rPr>
          <w:sz w:val="20"/>
          <w:szCs w:val="20"/>
          <w:color w:val="auto"/>
        </w:rPr>
      </w:pPr>
    </w:p>
    <w:p>
      <w:pPr>
        <w:ind w:left="520" w:right="40" w:hanging="514"/>
        <w:spacing w:after="0" w:line="251" w:lineRule="auto"/>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 to the Company’s technology existing at the effective date of the agreement. </w:t>
      </w:r>
      <w:r>
        <w:rPr>
          <w:rFonts w:ascii="Times New Roman" w:cs="Times New Roman" w:eastAsia="Times New Roman" w:hAnsi="Times New Roman"/>
          <w:sz w:val="18"/>
          <w:szCs w:val="18"/>
          <w:color w:val="auto"/>
        </w:rPr>
        <w:t>The license was delivered at the beginning of the agreement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the China Agreement with AstraZeneca has contractual limitations that might affect AstraZeneca’s ability to fully exploit the license and therefore, potentially, the conclusion as to whether the license is distinct in the context of the agreement. In the China Agreement, AstraZeneca does not have the right to manufacture commercial supplies of the drug. In order to determine whether this characteristic of the arrangement should lead to a conclusion that the license was not distinct in the context of the agreement, the Company considered the ability of AstraZeneca to benefit from the license on its own or together with other resources readily available to AstraZeneca.</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For the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Due to certain regulatory restrictions in China, manufacturing services of commercial drug product in China are not readily available to AstraZeneca or any other parties. Therefore, AstraZeneca cannot benefit from the license on its own or together with other readily available resources. Accordingly, all the promises identified, including co-development services, under the China Agreement have been bundled into a single performance obligation and amounts of the transaction price allocable to this performance obligation are deferred until control of the manufactured commercial drug product has begun to transfer to AstraZeneca. Upon commencement of the transfer of control to commercial drug product, revenue would be recognized in a pattern consistent with estimated deliveries of the commercial drug product.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revenue recognized under the collaboration agreements</w:t>
      </w:r>
    </w:p>
    <w:p>
      <w:pPr>
        <w:spacing w:after="0" w:line="113"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18"/>
          <w:szCs w:val="18"/>
          <w:color w:val="auto"/>
        </w:rPr>
        <w:t>The table below summarizes the accounting treatment for the various performance obligations pursuant to each of the Astellas and AstraZeneca agreements. License amounts identified below are included in the “License revenue” line item in the consolidated statements of operations. All other elements identified below are included in the “Development and other revenue” line item in the consolidated statements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Japan Agreement were as follows (in thousands):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3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40" w:type="dxa"/>
            <w:vAlign w:val="bottom"/>
            <w:vMerge w:val="continue"/>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438"/>
              <w:spacing w:after="0" w:line="152" w:lineRule="exact"/>
              <w:rPr>
                <w:sz w:val="20"/>
                <w:szCs w:val="20"/>
                <w:color w:val="auto"/>
              </w:rPr>
            </w:pPr>
            <w:r>
              <w:rPr>
                <w:rFonts w:ascii="Times New Roman" w:cs="Times New Roman" w:eastAsia="Times New Roman" w:hAnsi="Times New Roman"/>
                <w:sz w:val="14"/>
                <w:szCs w:val="14"/>
                <w:b w:val="1"/>
                <w:bCs w:val="1"/>
                <w:color w:val="auto"/>
              </w:rPr>
              <w:t>2017 *</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418"/>
              <w:spacing w:after="0" w:line="152" w:lineRule="exact"/>
              <w:rPr>
                <w:sz w:val="20"/>
                <w:szCs w:val="20"/>
                <w:color w:val="auto"/>
              </w:rPr>
            </w:pPr>
            <w:r>
              <w:rPr>
                <w:rFonts w:ascii="Times New Roman" w:cs="Times New Roman" w:eastAsia="Times New Roman" w:hAnsi="Times New Roman"/>
                <w:sz w:val="14"/>
                <w:szCs w:val="14"/>
                <w:b w:val="1"/>
                <w:bCs w:val="1"/>
                <w:color w:val="auto"/>
              </w:rPr>
              <w:t>2016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Borders>
              <w:top w:val="single" w:sz="8" w:color="CFF0FC"/>
            </w:tcBorders>
            <w:shd w:val="clear" w:color="auto" w:fill="CFF0FC"/>
          </w:tcPr>
          <w:p>
            <w:pPr>
              <w:spacing w:after="0"/>
              <w:rPr>
                <w:sz w:val="18"/>
                <w:szCs w:val="18"/>
                <w:color w:val="auto"/>
              </w:rPr>
            </w:pPr>
          </w:p>
        </w:tc>
        <w:tc>
          <w:tcPr>
            <w:tcW w:w="3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6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14,323</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40" w:type="dxa"/>
            <w:vAlign w:val="bottom"/>
          </w:tcPr>
          <w:p>
            <w:pPr>
              <w:spacing w:after="0"/>
              <w:rPr>
                <w:sz w:val="20"/>
                <w:szCs w:val="20"/>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Development revenue</w:t>
            </w:r>
          </w:p>
        </w:tc>
        <w:tc>
          <w:tcPr>
            <w:tcW w:w="1000" w:type="dxa"/>
            <w:vAlign w:val="bottom"/>
            <w:gridSpan w:val="2"/>
          </w:tcPr>
          <w:p>
            <w:pPr>
              <w:jc w:val="right"/>
              <w:ind w:right="66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54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tcPr>
          <w:p>
            <w:pPr>
              <w:spacing w:after="0"/>
              <w:rPr>
                <w:sz w:val="20"/>
                <w:szCs w:val="20"/>
                <w:color w:val="auto"/>
              </w:rPr>
            </w:pPr>
          </w:p>
        </w:tc>
        <w:tc>
          <w:tcPr>
            <w:tcW w:w="36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20" w:hanging="514"/>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Recast to reflect the adoption of the new revenue standards. See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9671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related to consideration received and accounts receivable has been allocated to each of the following performance obligations under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 Agreement, along with any associated deferred revenue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62"/>
              <w:spacing w:after="0" w:line="146"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Japan Agreement</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62"/>
              <w:spacing w:after="0" w:line="146"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Revenue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8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74,089</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74,089</w:t>
            </w: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1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0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license and development revenue</w:t>
            </w: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87,997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88,283</w:t>
            </w: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8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3" w:right="219" w:bottom="1440" w:gutter="0" w:footer="0" w:header="0"/>
        </w:sectPr>
      </w:pPr>
    </w:p>
    <w:bookmarkStart w:id="151" w:name="page152"/>
    <w:bookmarkEnd w:id="151"/>
    <w:p>
      <w:pPr>
        <w:ind w:right="120"/>
        <w:spacing w:after="0" w:line="255" w:lineRule="auto"/>
        <w:rPr>
          <w:sz w:val="20"/>
          <w:szCs w:val="20"/>
          <w:color w:val="auto"/>
        </w:rPr>
      </w:pPr>
      <w:r>
        <w:rPr>
          <w:rFonts w:ascii="Times New Roman" w:cs="Times New Roman" w:eastAsia="Times New Roman" w:hAnsi="Times New Roman"/>
          <w:sz w:val="18"/>
          <w:szCs w:val="18"/>
          <w:color w:val="auto"/>
        </w:rPr>
        <w:t>The revenue recognized under the Japan Agreement for the year ended December 31, 2018 included an increase of $14.9 million resulting from changes to estimated variable consideration in the current year relating to performance obligations satisfied or partially satisfied in previous periods. The remainder of the transaction price related to the Japan Agreement includes $1.4 million of variable consideration from estimated future co-development billing and is expected to be recognized over the remaining development service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Europe Agreement were as follows (in thousands):</w:t>
      </w:r>
    </w:p>
    <w:p>
      <w:pPr>
        <w:spacing w:after="0" w:line="7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3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40" w:type="dxa"/>
            <w:vAlign w:val="bottom"/>
            <w:vMerge w:val="continue"/>
          </w:tcPr>
          <w:p>
            <w:pPr>
              <w:spacing w:after="0"/>
              <w:rPr>
                <w:sz w:val="13"/>
                <w:szCs w:val="13"/>
                <w:color w:val="auto"/>
              </w:rPr>
            </w:pPr>
          </w:p>
        </w:tc>
        <w:tc>
          <w:tcPr>
            <w:tcW w:w="3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478"/>
              <w:spacing w:after="0" w:line="152" w:lineRule="exact"/>
              <w:rPr>
                <w:sz w:val="20"/>
                <w:szCs w:val="20"/>
                <w:color w:val="auto"/>
              </w:rPr>
            </w:pPr>
            <w:r>
              <w:rPr>
                <w:rFonts w:ascii="Times New Roman" w:cs="Times New Roman" w:eastAsia="Times New Roman" w:hAnsi="Times New Roman"/>
                <w:sz w:val="14"/>
                <w:szCs w:val="14"/>
                <w:b w:val="1"/>
                <w:bCs w:val="1"/>
                <w:color w:val="auto"/>
              </w:rPr>
              <w:t>2017 *</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498"/>
              <w:spacing w:after="0" w:line="152" w:lineRule="exact"/>
              <w:rPr>
                <w:sz w:val="20"/>
                <w:szCs w:val="20"/>
                <w:color w:val="auto"/>
              </w:rPr>
            </w:pPr>
            <w:r>
              <w:rPr>
                <w:rFonts w:ascii="Times New Roman" w:cs="Times New Roman" w:eastAsia="Times New Roman" w:hAnsi="Times New Roman"/>
                <w:sz w:val="14"/>
                <w:szCs w:val="14"/>
                <w:b w:val="1"/>
                <w:bCs w:val="1"/>
                <w:color w:val="auto"/>
              </w:rPr>
              <w:t>2016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Borders>
              <w:top w:val="single" w:sz="8" w:color="CFF0FC"/>
            </w:tcBorders>
            <w:shd w:val="clear" w:color="auto" w:fill="CFF0FC"/>
          </w:tcPr>
          <w:p>
            <w:pPr>
              <w:spacing w:after="0"/>
              <w:rPr>
                <w:sz w:val="18"/>
                <w:szCs w:val="18"/>
                <w:color w:val="auto"/>
              </w:rPr>
            </w:pPr>
          </w:p>
        </w:tc>
        <w:tc>
          <w:tcPr>
            <w:tcW w:w="3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p>
        </w:tc>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Development revenue</w:t>
            </w:r>
          </w:p>
        </w:tc>
        <w:tc>
          <w:tcPr>
            <w:tcW w:w="1100" w:type="dxa"/>
            <w:vAlign w:val="bottom"/>
            <w:gridSpan w:val="2"/>
          </w:tcPr>
          <w:p>
            <w:pPr>
              <w:jc w:val="right"/>
              <w:ind w:right="78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58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60" w:type="dxa"/>
            <w:vAlign w:val="bottom"/>
          </w:tcPr>
          <w:p>
            <w:pPr>
              <w:spacing w:after="0"/>
              <w:rPr>
                <w:sz w:val="20"/>
                <w:szCs w:val="20"/>
                <w:color w:val="auto"/>
              </w:rPr>
            </w:pPr>
          </w:p>
        </w:tc>
        <w:tc>
          <w:tcPr>
            <w:tcW w:w="42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80" w:hanging="521"/>
        <w:spacing w:after="0"/>
        <w:tabs>
          <w:tab w:leader="none" w:pos="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Recast to reflect the adoption of the new revenue standards. See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9671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related to consideration received and accounts receivable has been allocated to each of the following performance obligations under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Agreement, along with any associated deferred revenue as follows (in thousands):</w:t>
      </w:r>
    </w:p>
    <w:tbl>
      <w:tblPr>
        <w:tblLayout w:type="fixed"/>
        <w:tblInd w:w="58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62"/>
              <w:spacing w:after="0" w:line="139"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62"/>
              <w:spacing w:after="0" w:line="146"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6"/>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Europe Agreement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62"/>
              <w:spacing w:after="0" w:line="146"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Revenue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0"/>
        </w:trPr>
        <w:tc>
          <w:tcPr>
            <w:tcW w:w="5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18"/>
        </w:trPr>
        <w:tc>
          <w:tcPr>
            <w:tcW w:w="5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370,481</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370,481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202,836</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license and development revenue</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573,317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revenue recognized under the Europe Agreement for the year ended December 31, 2018 included an increase in revenue of $0.6 million, resulting from changes to estimated variable consideration in the current year relating to performance obligations satisfied or partially satisfied in previous periods. The remainder of the transaction price related to the Europe Agreement includes $14.3 million of variable consideration from estimated future co-development billing and is expected to be recognized over the remaining development service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U.S./RoW and China Agreements were as follows (in thousands):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3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40" w:type="dxa"/>
            <w:vAlign w:val="bottom"/>
            <w:vMerge w:val="continue"/>
          </w:tcPr>
          <w:p>
            <w:pPr>
              <w:spacing w:after="0"/>
              <w:rPr>
                <w:sz w:val="13"/>
                <w:szCs w:val="13"/>
                <w:color w:val="auto"/>
              </w:rPr>
            </w:pPr>
          </w:p>
        </w:tc>
        <w:tc>
          <w:tcPr>
            <w:tcW w:w="3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476"/>
              <w:spacing w:after="0" w:line="152" w:lineRule="exact"/>
              <w:rPr>
                <w:sz w:val="20"/>
                <w:szCs w:val="20"/>
                <w:color w:val="auto"/>
              </w:rPr>
            </w:pPr>
            <w:r>
              <w:rPr>
                <w:rFonts w:ascii="Times New Roman" w:cs="Times New Roman" w:eastAsia="Times New Roman" w:hAnsi="Times New Roman"/>
                <w:sz w:val="14"/>
                <w:szCs w:val="14"/>
                <w:b w:val="1"/>
                <w:bCs w:val="1"/>
                <w:color w:val="auto"/>
              </w:rPr>
              <w:t>2017 *</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496"/>
              <w:spacing w:after="0" w:line="152" w:lineRule="exact"/>
              <w:rPr>
                <w:sz w:val="20"/>
                <w:szCs w:val="20"/>
                <w:color w:val="auto"/>
              </w:rPr>
            </w:pPr>
            <w:r>
              <w:rPr>
                <w:rFonts w:ascii="Times New Roman" w:cs="Times New Roman" w:eastAsia="Times New Roman" w:hAnsi="Times New Roman"/>
                <w:sz w:val="14"/>
                <w:szCs w:val="14"/>
                <w:b w:val="1"/>
                <w:bCs w:val="1"/>
                <w:color w:val="auto"/>
              </w:rPr>
              <w:t>2016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340" w:type="dxa"/>
            <w:vAlign w:val="bottom"/>
            <w:tcBorders>
              <w:top w:val="single" w:sz="8" w:color="auto"/>
            </w:tcBorders>
            <w:shd w:val="clear" w:color="auto" w:fill="CFF0FC"/>
          </w:tcPr>
          <w:p>
            <w:pPr>
              <w:spacing w:after="0" w:line="200" w:lineRule="exact"/>
              <w:rPr>
                <w:sz w:val="20"/>
                <w:szCs w:val="20"/>
                <w:color w:val="auto"/>
              </w:rPr>
            </w:pPr>
            <w:r>
              <w:rPr>
                <w:rFonts w:ascii="Times New Roman" w:cs="Times New Roman" w:eastAsia="Times New Roman" w:hAnsi="Times New Roman"/>
                <w:sz w:val="18"/>
                <w:szCs w:val="18"/>
                <w:color w:val="auto"/>
              </w:rPr>
              <w:t>U.S. / RoW</w:t>
            </w:r>
          </w:p>
        </w:tc>
        <w:tc>
          <w:tcPr>
            <w:tcW w:w="160" w:type="dxa"/>
            <w:vAlign w:val="bottom"/>
            <w:tcBorders>
              <w:top w:val="single" w:sz="8" w:color="CFF0FC"/>
            </w:tcBorders>
            <w:shd w:val="clear" w:color="auto" w:fill="CFF0FC"/>
          </w:tcPr>
          <w:p>
            <w:pPr>
              <w:spacing w:after="0"/>
              <w:rPr>
                <w:sz w:val="17"/>
                <w:szCs w:val="17"/>
                <w:color w:val="auto"/>
              </w:rPr>
            </w:pPr>
          </w:p>
        </w:tc>
        <w:tc>
          <w:tcPr>
            <w:tcW w:w="3480" w:type="dxa"/>
            <w:vAlign w:val="bottom"/>
            <w:tcBorders>
              <w:top w:val="single" w:sz="8" w:color="auto"/>
            </w:tcBorders>
            <w:shd w:val="clear" w:color="auto" w:fill="CFF0FC"/>
          </w:tcPr>
          <w:p>
            <w:pPr>
              <w:spacing w:after="0" w:line="200" w:lineRule="exact"/>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China</w:t>
            </w:r>
          </w:p>
        </w:tc>
        <w:tc>
          <w:tcPr>
            <w:tcW w:w="160" w:type="dxa"/>
            <w:vAlign w:val="bottom"/>
            <w:shd w:val="clear" w:color="auto" w:fill="CFF0FC"/>
          </w:tcPr>
          <w:p>
            <w:pPr>
              <w:spacing w:after="0"/>
              <w:rPr>
                <w:sz w:val="20"/>
                <w:szCs w:val="20"/>
                <w:color w:val="auto"/>
              </w:rPr>
            </w:pPr>
          </w:p>
        </w:tc>
        <w:tc>
          <w:tcPr>
            <w:tcW w:w="34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Development revenue</w:t>
            </w:r>
          </w:p>
        </w:tc>
        <w:tc>
          <w:tcPr>
            <w:tcW w:w="1060" w:type="dxa"/>
            <w:vAlign w:val="bottom"/>
            <w:gridSpan w:val="2"/>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104,970</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100,928</w:t>
            </w:r>
          </w:p>
        </w:tc>
        <w:tc>
          <w:tcPr>
            <w:tcW w:w="16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40" w:type="dxa"/>
            <w:vAlign w:val="bottom"/>
            <w:shd w:val="clear" w:color="auto" w:fill="CFF0FC"/>
          </w:tcPr>
          <w:p>
            <w:pPr>
              <w:spacing w:after="0"/>
              <w:rPr>
                <w:sz w:val="19"/>
                <w:szCs w:val="19"/>
                <w:color w:val="auto"/>
              </w:rPr>
            </w:pPr>
          </w:p>
        </w:tc>
        <w:tc>
          <w:tcPr>
            <w:tcW w:w="3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China performance obligation</w:t>
            </w:r>
          </w:p>
        </w:tc>
        <w:tc>
          <w:tcPr>
            <w:tcW w:w="106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520" w:hanging="514"/>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Recast to reflect the adoption of the new revenue standards. See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2109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related to consideration received and accounts receivable has been allocated to each of the following performance obligations under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U.S./RoW Agreement and China Agreement, along with any associated deferred revenue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U.S. / RoW and China Agreements</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Revenue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8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294,163</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294,163</w:t>
            </w: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Co-development, information sharing &amp;</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 services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408,637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429,158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 performance obligation</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125,848</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license and development revenue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702,800</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146,369</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849,169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8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52" w:name="page153"/>
    <w:bookmarkEnd w:id="152"/>
    <w:p>
      <w:pPr>
        <w:ind w:right="20"/>
        <w:spacing w:after="0" w:line="251" w:lineRule="auto"/>
        <w:rPr>
          <w:sz w:val="20"/>
          <w:szCs w:val="20"/>
          <w:color w:val="auto"/>
        </w:rPr>
      </w:pPr>
      <w:r>
        <w:rPr>
          <w:rFonts w:ascii="Times New Roman" w:cs="Times New Roman" w:eastAsia="Times New Roman" w:hAnsi="Times New Roman"/>
          <w:sz w:val="18"/>
          <w:szCs w:val="18"/>
          <w:color w:val="auto"/>
        </w:rPr>
        <w:t>The revenue recognized under the U.S./RoW Agreement and China Agreement for the year ended December 31, 2018 included an increase in revenue of $20.2 million resulting from changes to estimated variable consideration in the current year relating to performance obligations satisfied or partially satisfied in previous periods. The remainder of the transaction price related to the U.S./RoW Agreement and China Agreement includes $197.4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113"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As described above, the Japan Amendment obligates Astellas to purchase API from the Company to conduct commercial scale manufacturing validation for roxadustat drug product in anticipation of commercial launch in Japan. The Company fulfilled all the delivery obligations under the term of the Japan Amendment during the year ended December 31, 2018, and recognized the related product revenue of $64.8 million in the same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Revenues</w:t>
      </w:r>
    </w:p>
    <w:p>
      <w:pPr>
        <w:spacing w:after="0" w:line="11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Other revenues consist primarily of collagen material sold for research purposes. Other revenues were immaterial for each of the three years ended December 31, 2018.</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1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 term portion of deferred revenue represents amounts to be recognized after one year through the end of the non-contingent performance period of the underlying performance obligations.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317" w:lineRule="exact"/>
        <w:rPr>
          <w:sz w:val="20"/>
          <w:szCs w:val="20"/>
          <w:color w:val="auto"/>
        </w:rPr>
      </w:pPr>
    </w:p>
    <w:p>
      <w:pPr>
        <w:ind w:left="380" w:hanging="374"/>
        <w:spacing w:after="0"/>
        <w:tabs>
          <w:tab w:leader="none" w:pos="3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presents all financial assets and liabilities and any other assets and liabilities that are recognized or disclosed at fair value on a nonrecurring basis. The guidance defines fair value, establishes a framework for measuring fair value in generally accepted accounting principles and expands disclosures about fair-value measurements. The guidance also requires fair value measurements be classified and disclosed in one of the following three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Quoted prices in active markets for identical assets or liabilities.</w:t>
      </w:r>
    </w:p>
    <w:p>
      <w:pPr>
        <w:spacing w:after="0" w:line="1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Observable inputs other than quoted prices in active markets for identical assets or liabilities.</w:t>
      </w:r>
    </w:p>
    <w:p>
      <w:pPr>
        <w:spacing w:after="0" w:line="1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w:t>
      </w:r>
    </w:p>
    <w:p>
      <w:pPr>
        <w:spacing w:after="0" w:line="21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values certain assets and liabilities, focusing on the inputs used to measure fair value, particularly in instances where the measurement uses significant unobservable (Level 3) inputs. The Company’s financial instruments are valued using quoted prices in active markets (Level 1) or based upon other observable inputs (Level 2). The Company’s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73" w:right="2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The fair values of the Company’s financial assets that are measured on a recurring basis are as follows (in thousands):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4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4"/>
              <w:spacing w:after="0" w:line="15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6"/>
              <w:spacing w:after="0" w:line="15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61"/>
              <w:spacing w:after="0" w:line="15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4"/>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bills</w:t>
            </w: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292,317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224,953</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deposit</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29,910</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303,576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334,863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88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638,439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0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4"/>
              <w:spacing w:after="0" w:line="15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6"/>
              <w:spacing w:after="0" w:line="15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right"/>
              <w:ind w:right="61"/>
              <w:spacing w:after="0" w:line="15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4"/>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9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240" w:type="dxa"/>
            <w:vAlign w:val="bottom"/>
          </w:tcPr>
          <w:p>
            <w:pPr>
              <w:spacing w:after="0"/>
              <w:rPr>
                <w:sz w:val="18"/>
                <w:szCs w:val="18"/>
                <w:color w:val="auto"/>
              </w:rPr>
            </w:pPr>
          </w:p>
        </w:tc>
        <w:tc>
          <w:tcPr>
            <w:tcW w:w="1040" w:type="dxa"/>
            <w:vAlign w:val="bottom"/>
          </w:tcPr>
          <w:p>
            <w:pPr>
              <w:jc w:val="right"/>
              <w:ind w:right="88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569,942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588,565</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2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financial liabilities that are carried at historical cost are as follows (in thousands):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2"/>
        </w:trPr>
        <w:tc>
          <w:tcPr>
            <w:tcW w:w="39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200"/>
              <w:spacing w:after="0" w:line="15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line="15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1"/>
              <w:spacing w:after="0" w:line="15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1"/>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18"/>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98,105</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98,105</w:t>
            </w:r>
          </w:p>
        </w:tc>
        <w:tc>
          <w:tcPr>
            <w:tcW w:w="120" w:type="dxa"/>
            <w:vAlign w:val="bottom"/>
            <w:shd w:val="clear" w:color="auto" w:fill="CFF0FC"/>
          </w:tcPr>
          <w:p>
            <w:pPr>
              <w:spacing w:after="0"/>
              <w:rPr>
                <w:sz w:val="18"/>
                <w:szCs w:val="18"/>
                <w:color w:val="auto"/>
              </w:rPr>
            </w:pPr>
          </w:p>
        </w:tc>
      </w:tr>
      <w:tr>
        <w:trPr>
          <w:trHeight w:val="384"/>
        </w:trPr>
        <w:tc>
          <w:tcPr>
            <w:tcW w:w="3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2"/>
        </w:trPr>
        <w:tc>
          <w:tcPr>
            <w:tcW w:w="39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200"/>
              <w:spacing w:after="0" w:line="15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line="15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1"/>
              <w:spacing w:after="0" w:line="15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1"/>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18"/>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98,476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98,476</w:t>
            </w:r>
          </w:p>
        </w:tc>
        <w:tc>
          <w:tcPr>
            <w:tcW w:w="12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8"/>
          <w:szCs w:val="18"/>
          <w:color w:val="auto"/>
        </w:rPr>
        <w:t>The fair value of the Company’s financial liabilities were derived by using an income approach, which required Level 3 inputs such as discounted estimated future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assets or liabilities between levels for the years ended December 31, 2018, 2017 and 2016.</w:t>
      </w:r>
    </w:p>
    <w:p>
      <w:pPr>
        <w:spacing w:after="0" w:line="321" w:lineRule="exact"/>
        <w:rPr>
          <w:sz w:val="20"/>
          <w:szCs w:val="20"/>
          <w:color w:val="auto"/>
        </w:rPr>
      </w:pPr>
    </w:p>
    <w:p>
      <w:pPr>
        <w:ind w:right="9020" w:firstLine="6"/>
        <w:spacing w:after="0" w:line="391" w:lineRule="auto"/>
        <w:tabs>
          <w:tab w:leader="none" w:pos="371"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 Components Cash and Cash Equivalents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34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61"/>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95"/>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38,783</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103,716</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notes and bills</w:t>
            </w:r>
          </w:p>
        </w:tc>
        <w:tc>
          <w:tcPr>
            <w:tcW w:w="1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49,934</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80" w:type="dxa"/>
            <w:vAlign w:val="bottom"/>
          </w:tcPr>
          <w:p>
            <w:pPr>
              <w:spacing w:after="0"/>
              <w:rPr>
                <w:sz w:val="18"/>
                <w:szCs w:val="18"/>
                <w:color w:val="auto"/>
              </w:rPr>
            </w:pPr>
          </w:p>
        </w:tc>
        <w:tc>
          <w:tcPr>
            <w:tcW w:w="118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89,258</w:t>
            </w:r>
          </w:p>
        </w:tc>
        <w:tc>
          <w:tcPr>
            <w:tcW w:w="280" w:type="dxa"/>
            <w:vAlign w:val="bottom"/>
          </w:tcPr>
          <w:p>
            <w:pPr>
              <w:spacing w:after="0"/>
              <w:rPr>
                <w:sz w:val="18"/>
                <w:szCs w:val="18"/>
                <w:color w:val="auto"/>
              </w:rPr>
            </w:pPr>
          </w:p>
        </w:tc>
        <w:tc>
          <w:tcPr>
            <w:tcW w:w="5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673,658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8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color w:val="auto"/>
              </w:rPr>
              <w:t>153</w:t>
            </w: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90"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392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13"/>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18"/>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101,200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93,758</w:t>
            </w:r>
          </w:p>
        </w:tc>
        <w:tc>
          <w:tcPr>
            <w:tcW w:w="80" w:type="dxa"/>
            <w:vAlign w:val="bottom"/>
            <w:shd w:val="clear" w:color="auto" w:fill="CFF0FC"/>
          </w:tcPr>
          <w:p>
            <w:pPr>
              <w:spacing w:after="0"/>
              <w:rPr>
                <w:sz w:val="18"/>
                <w:szCs w:val="18"/>
                <w:color w:val="auto"/>
              </w:rPr>
            </w:pPr>
          </w:p>
        </w:tc>
      </w:tr>
      <w:tr>
        <w:trPr>
          <w:trHeight w:val="22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Building shell (Refer to Note 8)</w:t>
            </w: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53,879</w:t>
            </w:r>
          </w:p>
        </w:tc>
        <w:tc>
          <w:tcPr>
            <w:tcW w:w="80" w:type="dxa"/>
            <w:vAlign w:val="bottom"/>
          </w:tcPr>
          <w:p>
            <w:pPr>
              <w:spacing w:after="0"/>
              <w:rPr>
                <w:sz w:val="19"/>
                <w:szCs w:val="19"/>
                <w:color w:val="auto"/>
              </w:rPr>
            </w:pPr>
          </w:p>
        </w:tc>
      </w:tr>
      <w:tr>
        <w:trPr>
          <w:trHeight w:val="22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80" w:type="dxa"/>
            <w:vAlign w:val="bottom"/>
            <w:shd w:val="clear" w:color="auto" w:fill="CFF0FC"/>
          </w:tcPr>
          <w:p>
            <w:pPr>
              <w:spacing w:after="0"/>
              <w:rPr>
                <w:sz w:val="19"/>
                <w:szCs w:val="19"/>
                <w:color w:val="auto"/>
              </w:rPr>
            </w:pPr>
          </w:p>
        </w:tc>
      </w:tr>
      <w:tr>
        <w:trPr>
          <w:trHeight w:val="22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80" w:type="dxa"/>
            <w:vAlign w:val="bottom"/>
            <w:shd w:val="clear" w:color="auto" w:fill="CFF0FC"/>
          </w:tcPr>
          <w:p>
            <w:pPr>
              <w:spacing w:after="0"/>
              <w:rPr>
                <w:sz w:val="19"/>
                <w:szCs w:val="19"/>
                <w:color w:val="auto"/>
              </w:rPr>
            </w:pPr>
          </w:p>
        </w:tc>
      </w:tr>
      <w:tr>
        <w:trPr>
          <w:trHeight w:val="22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80" w:type="dxa"/>
            <w:vAlign w:val="bottom"/>
          </w:tcPr>
          <w:p>
            <w:pPr>
              <w:spacing w:after="0"/>
              <w:rPr>
                <w:sz w:val="19"/>
                <w:szCs w:val="19"/>
                <w:color w:val="auto"/>
              </w:rPr>
            </w:pPr>
          </w:p>
        </w:tc>
      </w:tr>
      <w:tr>
        <w:trPr>
          <w:trHeight w:val="225"/>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80" w:type="dxa"/>
            <w:vAlign w:val="bottom"/>
            <w:shd w:val="clear" w:color="auto" w:fill="CFF0FC"/>
          </w:tcPr>
          <w:p>
            <w:pPr>
              <w:spacing w:after="0"/>
              <w:rPr>
                <w:sz w:val="19"/>
                <w:szCs w:val="19"/>
                <w:color w:val="auto"/>
              </w:rPr>
            </w:pPr>
          </w:p>
        </w:tc>
      </w:tr>
      <w:tr>
        <w:trPr>
          <w:trHeight w:val="218"/>
        </w:trPr>
        <w:tc>
          <w:tcPr>
            <w:tcW w:w="39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192,397</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189,117</w:t>
            </w:r>
          </w:p>
        </w:tc>
        <w:tc>
          <w:tcPr>
            <w:tcW w:w="80" w:type="dxa"/>
            <w:vAlign w:val="bottom"/>
            <w:tcBorders>
              <w:bottom w:val="single" w:sz="8" w:color="CFF0FC"/>
            </w:tcBorders>
          </w:tcPr>
          <w:p>
            <w:pPr>
              <w:spacing w:after="0"/>
              <w:rPr>
                <w:sz w:val="18"/>
                <w:szCs w:val="18"/>
                <w:color w:val="auto"/>
              </w:rPr>
            </w:pPr>
          </w:p>
        </w:tc>
      </w:tr>
      <w:tr>
        <w:trPr>
          <w:trHeight w:val="218"/>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(65,199)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80" w:type="dxa"/>
            <w:vAlign w:val="bottom"/>
            <w:shd w:val="clear" w:color="auto" w:fill="CFF0FC"/>
          </w:tcPr>
          <w:p>
            <w:pPr>
              <w:spacing w:after="0"/>
              <w:rPr>
                <w:sz w:val="18"/>
                <w:szCs w:val="18"/>
                <w:color w:val="auto"/>
              </w:rPr>
            </w:pPr>
          </w:p>
        </w:tc>
      </w:tr>
      <w:tr>
        <w:trPr>
          <w:trHeight w:val="218"/>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tcPr>
          <w:p>
            <w:pPr>
              <w:spacing w:after="0"/>
              <w:rPr>
                <w:sz w:val="18"/>
                <w:szCs w:val="18"/>
                <w:color w:val="auto"/>
              </w:rPr>
            </w:pPr>
          </w:p>
        </w:tc>
        <w:tc>
          <w:tcPr>
            <w:tcW w:w="98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127,198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129,476</w:t>
            </w:r>
          </w:p>
        </w:tc>
        <w:tc>
          <w:tcPr>
            <w:tcW w:w="8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2018, 2017 and 2016 was $6.6 million, $6.1 million, and $6.0 million, respectively.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The Company’s investments consist of available-for-sale debt investments, marketable equity investments, term deposit and certificate of deposit. The amortized cost, gross unrealized holding gains or losses, and fair value of the Company’s investments by major investments type are summarized in the tables below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8"/>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Pr>
          <w:p>
            <w:pPr>
              <w:spacing w:after="0"/>
              <w:rPr>
                <w:sz w:val="11"/>
                <w:szCs w:val="11"/>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bills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467,296</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467,336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Term deposit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587,885</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78"/>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Pr>
          <w:p>
            <w:pPr>
              <w:spacing w:after="0"/>
              <w:rPr>
                <w:sz w:val="11"/>
                <w:szCs w:val="11"/>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42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53,985</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72,566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available-for-sale investments and term deposit were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35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532,144</w:t>
            </w: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After one year through four years</w:t>
            </w:r>
          </w:p>
        </w:tc>
        <w:tc>
          <w:tcPr>
            <w:tcW w:w="35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45,102</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debt investments</w:t>
            </w:r>
          </w:p>
        </w:tc>
        <w:tc>
          <w:tcPr>
            <w:tcW w:w="3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577,246</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Bond and mutual funds</w:t>
            </w: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35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investments</w:t>
            </w:r>
          </w:p>
        </w:tc>
        <w:tc>
          <w:tcPr>
            <w:tcW w:w="3560" w:type="dxa"/>
            <w:vAlign w:val="bottom"/>
          </w:tcPr>
          <w:p>
            <w:pPr>
              <w:spacing w:after="0"/>
              <w:rPr>
                <w:sz w:val="18"/>
                <w:szCs w:val="18"/>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587,964</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560" w:type="dxa"/>
            <w:vAlign w:val="bottom"/>
            <w:vMerge w:val="restart"/>
          </w:tcPr>
          <w:p>
            <w:pPr>
              <w:jc w:val="right"/>
              <w:ind w:right="2192"/>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77" w:right="219" w:bottom="1440" w:gutter="0" w:footer="0" w:header="0"/>
        </w:sectPr>
      </w:pPr>
    </w:p>
    <w:bookmarkStart w:id="155" w:name="page156"/>
    <w:bookmarkEnd w:id="155"/>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periodically reviews its available-for-sale investments and term deposit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years ended December 31, 2018, the Company did not recognize any other-than-temporary impairment loss.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90"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394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8"/>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4"/>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18"/>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1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32,321</w:t>
            </w:r>
          </w:p>
        </w:tc>
        <w:tc>
          <w:tcPr>
            <w:tcW w:w="80" w:type="dxa"/>
            <w:vAlign w:val="bottom"/>
            <w:shd w:val="clear" w:color="auto" w:fill="CFF0FC"/>
          </w:tcPr>
          <w:p>
            <w:pPr>
              <w:spacing w:after="0"/>
              <w:rPr>
                <w:sz w:val="18"/>
                <w:szCs w:val="18"/>
                <w:color w:val="auto"/>
              </w:rPr>
            </w:pPr>
          </w:p>
        </w:tc>
      </w:tr>
      <w:tr>
        <w:trPr>
          <w:trHeight w:val="225"/>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80" w:type="dxa"/>
            <w:vAlign w:val="bottom"/>
          </w:tcPr>
          <w:p>
            <w:pPr>
              <w:spacing w:after="0"/>
              <w:rPr>
                <w:sz w:val="19"/>
                <w:szCs w:val="19"/>
                <w:color w:val="auto"/>
              </w:rPr>
            </w:pPr>
          </w:p>
        </w:tc>
      </w:tr>
      <w:tr>
        <w:trPr>
          <w:trHeight w:val="225"/>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taxes and other</w:t>
            </w:r>
          </w:p>
        </w:tc>
        <w:tc>
          <w:tcPr>
            <w:tcW w:w="1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80" w:type="dxa"/>
            <w:vAlign w:val="bottom"/>
            <w:shd w:val="clear" w:color="auto" w:fill="CFF0FC"/>
          </w:tcPr>
          <w:p>
            <w:pPr>
              <w:spacing w:after="0"/>
              <w:rPr>
                <w:sz w:val="19"/>
                <w:szCs w:val="19"/>
                <w:color w:val="auto"/>
              </w:rPr>
            </w:pPr>
          </w:p>
        </w:tc>
      </w:tr>
      <w:tr>
        <w:trPr>
          <w:trHeight w:val="225"/>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tcPr>
          <w:p>
            <w:pPr>
              <w:spacing w:after="0"/>
              <w:rPr>
                <w:sz w:val="19"/>
                <w:szCs w:val="19"/>
                <w:color w:val="auto"/>
              </w:rPr>
            </w:pPr>
          </w:p>
        </w:tc>
      </w:tr>
      <w:tr>
        <w:trPr>
          <w:trHeight w:val="225"/>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80" w:type="dxa"/>
            <w:vAlign w:val="bottom"/>
            <w:shd w:val="clear" w:color="auto" w:fill="CFF0FC"/>
          </w:tcPr>
          <w:p>
            <w:pPr>
              <w:spacing w:after="0"/>
              <w:rPr>
                <w:sz w:val="19"/>
                <w:szCs w:val="19"/>
                <w:color w:val="auto"/>
              </w:rPr>
            </w:pPr>
          </w:p>
        </w:tc>
      </w:tr>
      <w:tr>
        <w:trPr>
          <w:trHeight w:val="218"/>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360" w:type="dxa"/>
            <w:vAlign w:val="bottom"/>
          </w:tcPr>
          <w:p>
            <w:pPr>
              <w:spacing w:after="0"/>
              <w:rPr>
                <w:sz w:val="18"/>
                <w:szCs w:val="18"/>
                <w:color w:val="auto"/>
              </w:rPr>
            </w:pP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8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4" w:lineRule="exact"/>
        <w:rPr>
          <w:sz w:val="20"/>
          <w:szCs w:val="20"/>
          <w:color w:val="auto"/>
        </w:rPr>
      </w:pPr>
    </w:p>
    <w:p>
      <w:pPr>
        <w:ind w:left="380" w:hanging="374"/>
        <w:spacing w:after="0"/>
        <w:tabs>
          <w:tab w:leader="none" w:pos="3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Development Obligations</w:t>
      </w:r>
    </w:p>
    <w:p>
      <w:pPr>
        <w:spacing w:after="0" w:line="1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Technology Development Center of the Republic of Finland (“TEKES”) product development obligations consist of 11 separate advances (each in the form of a note agreement) received by FibroGen Europe between 1996 and 2008 from TEKES. These advances are granted on a project by project basis to fund various product development efforts undertaken by FibroGen Europe only. Each separate note bears interest (not compounded) calculated as one percentage point less than the Bank of Finland rate in effect at the time of the note, but no less than 3.0%.</w:t>
      </w:r>
    </w:p>
    <w:p>
      <w:pPr>
        <w:spacing w:after="0" w:line="18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If the research work funded by TEKES does not result in an economically profitable business or does not meet its technological objectives, TEKES may, on application from FibroGen Europe, forgive each of these loans, including accrued interest, either in full or in part. As of December 31, 2018 and 2017, the Company had $10.8 million and $11.3 million of principal outstanding, respectively, and $6.0 million and $5.9 million of interest accrued, respectively, which were presented in the product development obligations line on the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 guarantor of these loans, and these loans are not repayable by FibroGen Europe until it has distributable funds.</w:t>
      </w:r>
    </w:p>
    <w:p>
      <w:pPr>
        <w:spacing w:after="0" w:line="321" w:lineRule="exact"/>
        <w:rPr>
          <w:sz w:val="20"/>
          <w:szCs w:val="20"/>
          <w:color w:val="auto"/>
        </w:rPr>
      </w:pPr>
    </w:p>
    <w:p>
      <w:pPr>
        <w:ind w:left="380" w:hanging="374"/>
        <w:spacing w:after="0"/>
        <w:tabs>
          <w:tab w:leader="none" w:pos="3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 Payable</w:t>
      </w:r>
    </w:p>
    <w:p>
      <w:pPr>
        <w:spacing w:after="0" w:line="113"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In January 2013, FibroGen China entered into a $0.6 million convertible promissory note. The note bears simple interest at a rate of two percent (2.00%) per annum, accrued on an annual basis in arrears. The outstanding principal balance and unpaid accrued interest on the note is due and payable upon the earlier of</w:t>
      </w:r>
    </w:p>
    <w:p>
      <w:pPr>
        <w:ind w:firstLine="6"/>
        <w:spacing w:after="0" w:line="247" w:lineRule="auto"/>
        <w:tabs>
          <w:tab w:leader="none" w:pos="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initial public offering of FibroGen China or (b) the eight year anniversary of the date of the note. The total outstanding principal balance and unpaid accrued interest on the note will be converted into Series A Preferred Stock of FibroGen China at the option of the lender or by the Company at its discretion. As of December 31, 2018 and 2017, the total outstanding principal balance and accrued interest were $0.7 million and $0.6 million, respectively, and recorded in the other long-term liabilities in the consolidated balance sheets.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73" w:right="259" w:bottom="1440" w:gutter="0" w:footer="0" w:header="0"/>
        </w:sectPr>
      </w:pPr>
    </w:p>
    <w:bookmarkStart w:id="156" w:name="page157"/>
    <w:bookmarkEnd w:id="156"/>
    <w:p>
      <w:pPr>
        <w:ind w:right="8540" w:firstLine="6"/>
        <w:spacing w:after="0" w:line="369" w:lineRule="auto"/>
        <w:tabs>
          <w:tab w:leader="none" w:pos="371"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Operating Leases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all non-cancelable operating lease obligations as of December 31, 2018 are as follows (in thousands):</w:t>
      </w:r>
    </w:p>
    <w:p>
      <w:pPr>
        <w:spacing w:after="0" w:line="224"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18"/>
        </w:trPr>
        <w:tc>
          <w:tcPr>
            <w:tcW w:w="6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Borders>
              <w:top w:val="single" w:sz="8" w:color="CFF0FC"/>
            </w:tcBorders>
            <w:shd w:val="clear" w:color="auto" w:fill="CFF0FC"/>
          </w:tcPr>
          <w:p>
            <w:pPr>
              <w:spacing w:after="0"/>
              <w:rPr>
                <w:sz w:val="18"/>
                <w:szCs w:val="18"/>
                <w:color w:val="auto"/>
              </w:rPr>
            </w:pPr>
          </w:p>
        </w:tc>
      </w:tr>
      <w:tr>
        <w:trPr>
          <w:trHeight w:val="225"/>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r>
      <w:tr>
        <w:trPr>
          <w:trHeight w:val="225"/>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r>
      <w:tr>
        <w:trPr>
          <w:trHeight w:val="225"/>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r>
      <w:tr>
        <w:trPr>
          <w:trHeight w:val="225"/>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minimum payments</w:t>
            </w: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Lease Financing Obligations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Inc.</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September 2006, the Company entered into a long-term property lease with Shorenstein Properties LLC (“Alexandria” or “landlord”) providing the Company with 234,249 square feet of space for an initial term of 15 years. Upon signing, a stand-by letter of credit was established in the amount of $7.3 million which has been included in restricted time deposits. Starting the fourth quarter of 2016, on an annual basis, 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this letter of credit was released. As a result, the restriction of a $1.0 million was removed, and the amount was reclassified from restricted time deposits to short-term investment during the fourth quarter of each year since 2016. The agreement included an expansion option to occupy part of an adjacent building within 31 months of the lease commencement date of November 20, 2008. In June 2012, the Company gave notice to its landlord that it would not exercise this expansion option, which resulted in a $5.0 million payment liability to the landlord which is being financed over the remaining lease term of its lease.</w:t>
      </w:r>
    </w:p>
    <w:p>
      <w:pPr>
        <w:spacing w:after="0" w:line="186"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 connection with this lease, the Company was responsible for approximately 60% of the construction costs for the tenant improvements. The Company is deemed, for accounting purposes only, to be the accounting owner of the entire project including the building shell, even though it is not the legal owner. The balance of the tenant improvements were paid by Alexandria in the form of a tenant improvement allowance of $140.50 per square foot of rentable space, or $32.5 million.</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7"/>
          <w:szCs w:val="17"/>
          <w:color w:val="auto"/>
        </w:rPr>
        <w:t>In connection with the Company’s accounting for this transaction, the Company capitalized Alexandria’s costs of constructing the building shell which totaled $50.8 million, and recognized a corresponding lease financing obligation. The Company also recognized, as an additional lease financing obligation, the reimbursements totaling $32.5 million from landlord for tenant improvements since these reimbursements are also deemed to be a financing obligation.</w:t>
      </w:r>
    </w:p>
    <w:p>
      <w:pPr>
        <w:spacing w:after="0" w:line="159"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color w:val="auto"/>
        </w:rPr>
        <w:t>A portion of the monthly lease payment is allocated to land rent and recorded as an operating lease expense and the non-interest portion of the amortized lease payments to the landlord related to rent of the building is applied to the lease financing liability.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China</w:t>
      </w:r>
    </w:p>
    <w:p>
      <w:pPr>
        <w:spacing w:after="0" w:line="1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In February 2013, the Company entered into a long-term property lease with Beijing Economic-Technological Development Area (“BDA”) Management Committee for a pilot plant located in Beijing Yizhuang Biomedical Park (“BYBP”) of BDA. The leased space is 4,820 square meters over an eight (8) year term starting February 1, 2013.</w:t>
      </w:r>
    </w:p>
    <w:p>
      <w:pPr>
        <w:spacing w:after="0" w:line="177" w:lineRule="exact"/>
        <w:rPr>
          <w:sz w:val="20"/>
          <w:szCs w:val="20"/>
          <w:color w:val="auto"/>
        </w:rPr>
      </w:pPr>
    </w:p>
    <w:p>
      <w:pPr>
        <w:ind w:right="360"/>
        <w:spacing w:after="0" w:line="304" w:lineRule="auto"/>
        <w:rPr>
          <w:sz w:val="20"/>
          <w:szCs w:val="20"/>
          <w:color w:val="auto"/>
        </w:rPr>
      </w:pPr>
      <w:r>
        <w:rPr>
          <w:rFonts w:ascii="Times New Roman" w:cs="Times New Roman" w:eastAsia="Times New Roman" w:hAnsi="Times New Roman"/>
          <w:sz w:val="17"/>
          <w:szCs w:val="17"/>
          <w:color w:val="auto"/>
        </w:rPr>
        <w:t>In connection with this lease, the Company was responsible for approximately 100% of the construction costs for the tenant improvements. The Company is deemed, for accounting purposes only, to be the accounting owner of the entire project, including the building shell, even though it is not the legal owner.</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auto"/>
        </w:rPr>
        <w:t>In connection with the Company’s accounting for this transaction, the Company capitalized BDA Management Committee’s costs of constructing the building shell which totaled $3.1 million, and recognized a corresponding lease financing obligation. The Company also recognized, as an additional lease financing obligation, the reimbursements totaling $0.5 million from BYBP for a rent subsidy since this reimbursement is also deemed to be a financing obligation.</w:t>
      </w:r>
    </w:p>
    <w:p>
      <w:pPr>
        <w:spacing w:after="0" w:line="159"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color w:val="auto"/>
        </w:rPr>
        <w:t>A portion of the monthly lease payment is allocated to land rent and recorded as an operating lease expense and the non-interest portion of the amortized lease payments to the landlord related to rent of the building is applied to the lease financing liability.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57" w:name="page158"/>
    <w:bookmarkEnd w:id="157"/>
    <w:p>
      <w:pPr>
        <w:ind w:right="220"/>
        <w:spacing w:after="0" w:line="273" w:lineRule="auto"/>
        <w:rPr>
          <w:sz w:val="20"/>
          <w:szCs w:val="20"/>
          <w:color w:val="auto"/>
        </w:rPr>
      </w:pPr>
      <w:r>
        <w:rPr>
          <w:rFonts w:ascii="Times New Roman" w:cs="Times New Roman" w:eastAsia="Times New Roman" w:hAnsi="Times New Roman"/>
          <w:sz w:val="18"/>
          <w:szCs w:val="18"/>
          <w:color w:val="auto"/>
        </w:rPr>
        <w:t>Future minimum lease payments, on a consolidated basis, under the Company’s facility lease financing obligations as of December 31, 2018 are as follows (in thousands):</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 financing</w:t>
            </w:r>
          </w:p>
        </w:tc>
        <w:tc>
          <w:tcPr>
            <w:tcW w:w="0" w:type="dxa"/>
            <w:vAlign w:val="bottom"/>
          </w:tcPr>
          <w:p>
            <w:pPr>
              <w:spacing w:after="0"/>
              <w:rPr>
                <w:sz w:val="1"/>
                <w:szCs w:val="1"/>
                <w:color w:val="auto"/>
              </w:rPr>
            </w:pPr>
          </w:p>
        </w:tc>
      </w:tr>
      <w:tr>
        <w:trPr>
          <w:trHeight w:val="170"/>
        </w:trPr>
        <w:tc>
          <w:tcPr>
            <w:tcW w:w="7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18"/>
        </w:trPr>
        <w:tc>
          <w:tcPr>
            <w:tcW w:w="7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minimum payments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Apart from the property leases with Alexandria and BDA Management Committee, rent expense for leased facilities under operating lease commitments was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million, $3.0 million, and $2.8 million for the years ended December 31, 2018, 2017 and 2016, respectively. The Company received sublease income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 million, $3.9 million, and $3.8 million for the years ended December 31, 2018, 2017 and 2016, respectively, which were recorded as a reduction of research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development expenses and general and administrative expenses for the respective periods.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186"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w:t>
      </w:r>
    </w:p>
    <w:p>
      <w:pPr>
        <w:spacing w:after="0" w:line="269" w:lineRule="exact"/>
        <w:rPr>
          <w:sz w:val="20"/>
          <w:szCs w:val="20"/>
          <w:color w:val="auto"/>
        </w:rPr>
      </w:pPr>
    </w:p>
    <w:p>
      <w:pPr>
        <w:ind w:right="7820" w:firstLine="6"/>
        <w:spacing w:after="0" w:line="390" w:lineRule="auto"/>
        <w:tabs>
          <w:tab w:leader="none" w:pos="371"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and Stock-based Compensation Subsidiary Stock and Non-Controlling Interests</w:t>
      </w:r>
    </w:p>
    <w:p>
      <w:pPr>
        <w:spacing w:after="0"/>
        <w:rPr>
          <w:sz w:val="20"/>
          <w:szCs w:val="20"/>
          <w:color w:val="auto"/>
        </w:rPr>
      </w:pPr>
      <w:r>
        <w:rPr>
          <w:rFonts w:ascii="Times New Roman" w:cs="Times New Roman" w:eastAsia="Times New Roman" w:hAnsi="Times New Roman"/>
          <w:sz w:val="18"/>
          <w:szCs w:val="18"/>
          <w:i w:val="1"/>
          <w:iCs w:val="1"/>
          <w:color w:val="auto"/>
        </w:rPr>
        <w:t>FibroGen Europe</w:t>
      </w:r>
    </w:p>
    <w:p>
      <w:pPr>
        <w:spacing w:after="0" w:line="11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December 31, 2018 and 2017, respectively, FibroGen Europe had a total of 42,619,022 shares of Preferred Stock outstanding, of which there were 1,700,845 shares of Series A Preferred Stock, 1,875,000 shares of Series B Preferred Stock, 1,599,503 shares of Series C Preferred Stock, 1,520,141 shares of Series D Preferred Stock, 459,565 shares of Series E Preferred Stock, 5,714,332 shares of Series F Preferred Stock, 9,927,500 shares of Series G Preferred Stock and 19,822,136 shares of Series H Preferred Stock, all of which shares no longer have any right to be exchanged for FibroGen, Inc.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FibroGen Europe’s shares of Preferred Stock (“Preferred Shares”) have the following rights, preferences and privileges:</w:t>
      </w:r>
    </w:p>
    <w:p>
      <w:pPr>
        <w:spacing w:after="0" w:line="109" w:lineRule="exact"/>
        <w:rPr>
          <w:sz w:val="20"/>
          <w:szCs w:val="20"/>
          <w:color w:val="auto"/>
        </w:rPr>
      </w:pPr>
    </w:p>
    <w:p>
      <w:pPr>
        <w:ind w:left="520"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 When the assets of FibroGen Europe are distributed (except for distribution in a liquidation), Preferred Shares shall have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to dividend or other forms of distribution as shares of Common Stock of FibroGen Europe. In the event of a merger, holders of Preferred Shares do not have the right to demand FibroGen Europe to redeem all or part of their Preferred Shares. FibroGen Europe may repurchase shares of Common Stock or Preferred Shares for consideration.</w:t>
      </w:r>
    </w:p>
    <w:p>
      <w:pPr>
        <w:spacing w:after="0" w:line="74"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Pre-emptive Right </w:t>
      </w:r>
      <w:r>
        <w:rPr>
          <w:rFonts w:ascii="Times New Roman" w:cs="Times New Roman" w:eastAsia="Times New Roman" w:hAnsi="Times New Roman"/>
          <w:sz w:val="18"/>
          <w:szCs w:val="18"/>
          <w:color w:val="auto"/>
        </w:rPr>
        <w:t>— Preferred Shares shall have pre-emptive subscription right in accordance with the Finnish Limited Liability Companies Act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shares are issued, option rights are given, or convertible loan is taken,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pre-emptive right does not apply to a directed share issue, for which two thirds (2/3) of the voting shares represented at a general meeting of shareholders approve for an important legitimate cause.</w:t>
      </w:r>
    </w:p>
    <w:p>
      <w:pPr>
        <w:spacing w:after="0" w:line="74" w:lineRule="exact"/>
        <w:rPr>
          <w:sz w:val="20"/>
          <w:szCs w:val="20"/>
          <w:color w:val="auto"/>
        </w:rPr>
      </w:pPr>
    </w:p>
    <w:p>
      <w:pPr>
        <w:ind w:left="520" w:right="18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Redemption Right </w:t>
      </w:r>
      <w:r>
        <w:rPr>
          <w:rFonts w:ascii="Times New Roman" w:cs="Times New Roman" w:eastAsia="Times New Roman" w:hAnsi="Times New Roman"/>
          <w:sz w:val="18"/>
          <w:szCs w:val="18"/>
          <w:color w:val="auto"/>
        </w:rPr>
        <w:t>— If a Preferred Share can be redeemed by a majority shareholder owning more than ninety percent (90%) of the shares of FibroGen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in accordance with the provisions of the Finnish Limited Liability Companies Act, the minority holders of Preferred Shares have the right to request redemption of their shares.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58" w:name="page159"/>
    <w:bookmarkEnd w:id="158"/>
    <w:p>
      <w:pPr>
        <w:ind w:left="520" w:right="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Voting Right </w:t>
      </w:r>
      <w:r>
        <w:rPr>
          <w:rFonts w:ascii="Times New Roman" w:cs="Times New Roman" w:eastAsia="Times New Roman" w:hAnsi="Times New Roman"/>
          <w:sz w:val="18"/>
          <w:szCs w:val="18"/>
          <w:color w:val="auto"/>
        </w:rPr>
        <w:t>— Each share has one vote. Preferred Shares have voting rights only in situations that are specifically provided in the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which include a merger transaction and directed share issue. In addition, Preferred Shares have right to vote in a general shareholder meeting for amending the Articles of Association if the amendment will affect the rights of Preferred Shares.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Conversion Right </w:t>
      </w:r>
      <w:r>
        <w:rPr>
          <w:rFonts w:ascii="Times New Roman" w:cs="Times New Roman" w:eastAsia="Times New Roman" w:hAnsi="Times New Roman"/>
          <w:sz w:val="18"/>
          <w:szCs w:val="18"/>
          <w:color w:val="auto"/>
        </w:rPr>
        <w:t>(1-for-1 basis into Common Stock of FibroGen Europe):</w:t>
      </w:r>
    </w:p>
    <w:p>
      <w:pPr>
        <w:spacing w:after="0" w:line="113" w:lineRule="exact"/>
        <w:rPr>
          <w:sz w:val="20"/>
          <w:szCs w:val="20"/>
          <w:color w:val="auto"/>
        </w:rPr>
      </w:pPr>
    </w:p>
    <w:p>
      <w:pPr>
        <w:ind w:left="1040" w:right="340" w:hanging="518"/>
        <w:spacing w:after="0" w:line="259"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conversion right: Preferred Shares can be converted into common shares upon the written request of a shareholder provided that the conversion is feasible within the maximum and minimum amounts of shares of classes of FibroGen Europe as set forth in its Articles of Association. Such request can be withdrawn before the notification of conversion is filed with the Finnish Trade Register.</w:t>
      </w:r>
    </w:p>
    <w:p>
      <w:pPr>
        <w:spacing w:after="0" w:line="71" w:lineRule="exact"/>
        <w:rPr>
          <w:rFonts w:ascii="Times New Roman" w:cs="Times New Roman" w:eastAsia="Times New Roman" w:hAnsi="Times New Roman"/>
          <w:sz w:val="18"/>
          <w:szCs w:val="18"/>
          <w:color w:val="auto"/>
        </w:rPr>
      </w:pPr>
    </w:p>
    <w:p>
      <w:pPr>
        <w:ind w:left="1040" w:hanging="518"/>
        <w:spacing w:after="0" w:line="249"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Compulsory conversion right: Preferred Shares will be converted into common shares if (i) FibroGen Europe’s shares are listed in a stock exchange or other trading system in the European Economic Area, or (ii) FibroGen Europe’s recombinant collagen and gelatin production technology is being put into commercial use in the area of EU and certain other European states. Commercial use means there is income generated from the first commercial sale of the products incorporating the above mentioned technology and does not include license fees, development financing, milestone payments or income from test products or equipment used in research. The board of directors of FibroGen Europe shall notify the shareholders of the compulsory conversion in writing, and the shareholders shall request to convert their shares within the timeframe provided in the notification. Should the shareholders fail to make the conversion request within the time limit, FibroGen Europe may redeem the shares of such shareholders.</w:t>
      </w:r>
    </w:p>
    <w:p>
      <w:pPr>
        <w:spacing w:after="0" w:line="81" w:lineRule="exact"/>
        <w:rPr>
          <w:sz w:val="20"/>
          <w:szCs w:val="20"/>
          <w:color w:val="auto"/>
        </w:rPr>
      </w:pPr>
    </w:p>
    <w:p>
      <w:pPr>
        <w:ind w:left="520"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Liquidation Right </w:t>
      </w:r>
      <w:r>
        <w:rPr>
          <w:rFonts w:ascii="Times New Roman" w:cs="Times New Roman" w:eastAsia="Times New Roman" w:hAnsi="Times New Roman"/>
          <w:sz w:val="18"/>
          <w:szCs w:val="18"/>
          <w:color w:val="auto"/>
        </w:rPr>
        <w:t>— In the event of a dissolution of FibroGen Europe, holders of Preferred Shares are entitled to be paid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price of the shares before any distribution is made to holders of common shares. Among holders of Preferred Shares, holders of shares of Series F Preferred Stock are entitled to be paid in an amount equal to the subscription price of Series F Preferred Stock before any distribution is made to holders of other Preferred Shares.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China</w:t>
      </w:r>
    </w:p>
    <w:p>
      <w:pPr>
        <w:spacing w:after="0" w:line="113"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8"/>
          <w:szCs w:val="18"/>
          <w:color w:val="auto"/>
        </w:rPr>
        <w:t>FibroGen China had 6,758,000 Series A Preference Shares outstanding as of December 31, 2018 and 2017, respectively. The holders of the FibroGen China Series A Preference Shares have the following rights, preferences and privileges:</w:t>
      </w:r>
    </w:p>
    <w:p>
      <w:pPr>
        <w:spacing w:after="0" w:line="57" w:lineRule="exact"/>
        <w:rPr>
          <w:sz w:val="20"/>
          <w:szCs w:val="20"/>
          <w:color w:val="auto"/>
        </w:rPr>
      </w:pPr>
    </w:p>
    <w:p>
      <w:pPr>
        <w:ind w:left="520"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In the event of liquidation, dissolution, or winding up of the Company, either voluntary or involuntary, including by means of a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FibroGen China Series A Preference Shares are entitled to be paid an amount equal to the product of the number of shares held by a holder of shares of FibroGen China Series A Preference Shares and the original issue price of $1.00 (subject to equitable adjustment for any stock dividend, combination, split, reclassification, recapitalization) plus all declared and unpaid dividends thereon.</w:t>
      </w:r>
    </w:p>
    <w:p>
      <w:pPr>
        <w:spacing w:after="0" w:line="74" w:lineRule="exact"/>
        <w:rPr>
          <w:sz w:val="20"/>
          <w:szCs w:val="20"/>
          <w:color w:val="auto"/>
        </w:rPr>
      </w:pPr>
    </w:p>
    <w:p>
      <w:pPr>
        <w:ind w:left="520" w:right="5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 Each share of FibroGen China Series A Preference Shares is convertible into the number of fully paid and non-assessable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FibroGen China that results from dividing the original issue price by the conversion price in effect at the time of the conversion, subject to adjustments for stock splits, stock dividends, reclassifications and like events. The FibroGen China Series A Preference Shares have a conversion price that is equal to the original issuance price such that the conversion ratio to FibroGen China Common Stock is 1:1 as of all periods presented.</w:t>
      </w:r>
    </w:p>
    <w:p>
      <w:pPr>
        <w:spacing w:after="0" w:line="74" w:lineRule="exact"/>
        <w:rPr>
          <w:sz w:val="20"/>
          <w:szCs w:val="20"/>
          <w:color w:val="auto"/>
        </w:rPr>
      </w:pPr>
    </w:p>
    <w:p>
      <w:pPr>
        <w:jc w:val="both"/>
        <w:ind w:left="520" w:right="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 The holders of FibroGen China Series A Preference Shares are entitled to vote together with the FibroGen China Common Stock holders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submitted for a vote of the stockholders. The holder of each share of FibroGen China Series A Preference Shares has the number of votes equal to the number of shares of FibroGen China Common Stock into which it is convertible.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The holders of FibroGen China Series A Preference Shares are entitled to receive cash dividends when and if declared, at a rate of 6%.</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11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Non-controlling interest positions related to the issuance of subsidiary stock as described above are reported as a separate component of consolidated equity from the equity attributable to the Company’s stockholders at December 31, 2018 and 2017. In addition, the Company does not allocate losses to the non-controlling interests as the outstanding shares representing the non-controlling interest do not represent a residual equity interest in the subsidiary. Upon the initial public offering and as described above, all eligible FibroGen Europe preferred shares were exchanged for 958,996 shares of FibroGen Common Stock. No other FibroGen Europe shares have the right to be exchanged for FibroGen, Inc.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3"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color w:val="auto"/>
        </w:rPr>
        <w:t>Each share of Common Stock is entitled to one vote. The holders of Common Stock are also entitled to receive dividends whenever funds are legally available and when declared by the board of directors, subject to the prior rights of holders of all classes of stock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 Stock outstanding, shares of stock plans outstanding and shares reserved for future issuance related to stock options and RSUs grant and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Employee Stock Purchase Plan (“ESPP”) purchases are as follows (in thousands):</w:t>
      </w:r>
    </w:p>
    <w:p>
      <w:pPr>
        <w:spacing w:after="0" w:line="271"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6320" w:type="dxa"/>
            <w:vAlign w:val="bottom"/>
          </w:tcPr>
          <w:p>
            <w:pPr>
              <w:spacing w:after="0"/>
              <w:rPr>
                <w:sz w:val="14"/>
                <w:szCs w:val="14"/>
                <w:color w:val="auto"/>
              </w:rPr>
            </w:pPr>
          </w:p>
        </w:tc>
        <w:tc>
          <w:tcPr>
            <w:tcW w:w="18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3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416"/>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4"/>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18"/>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85,432</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82,498</w:t>
            </w:r>
          </w:p>
        </w:tc>
        <w:tc>
          <w:tcPr>
            <w:tcW w:w="80" w:type="dxa"/>
            <w:vAlign w:val="bottom"/>
            <w:shd w:val="clear" w:color="auto" w:fill="CFF0FC"/>
          </w:tcPr>
          <w:p>
            <w:pPr>
              <w:spacing w:after="0"/>
              <w:rPr>
                <w:sz w:val="18"/>
                <w:szCs w:val="18"/>
                <w:color w:val="auto"/>
              </w:rPr>
            </w:pPr>
          </w:p>
        </w:tc>
      </w:tr>
      <w:tr>
        <w:trPr>
          <w:trHeight w:val="22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80" w:type="dxa"/>
            <w:vAlign w:val="bottom"/>
          </w:tcPr>
          <w:p>
            <w:pPr>
              <w:spacing w:after="0"/>
              <w:rPr>
                <w:sz w:val="19"/>
                <w:szCs w:val="19"/>
                <w:color w:val="auto"/>
              </w:rPr>
            </w:pPr>
          </w:p>
        </w:tc>
      </w:tr>
      <w:tr>
        <w:trPr>
          <w:trHeight w:val="225"/>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shd w:val="clear" w:color="auto" w:fill="CFF0FC"/>
          </w:tcPr>
          <w:p>
            <w:pPr>
              <w:spacing w:after="0"/>
              <w:rPr>
                <w:sz w:val="19"/>
                <w:szCs w:val="19"/>
                <w:color w:val="auto"/>
              </w:rPr>
            </w:pPr>
          </w:p>
        </w:tc>
      </w:tr>
      <w:tr>
        <w:trPr>
          <w:trHeight w:val="22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 outstanding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r>
      <w:tr>
        <w:trPr>
          <w:trHeight w:val="225"/>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stock options and RSUs grant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80" w:type="dxa"/>
            <w:vAlign w:val="bottom"/>
            <w:shd w:val="clear" w:color="auto" w:fill="CFF0FC"/>
          </w:tcPr>
          <w:p>
            <w:pPr>
              <w:spacing w:after="0"/>
              <w:rPr>
                <w:sz w:val="19"/>
                <w:szCs w:val="19"/>
                <w:color w:val="auto"/>
              </w:rPr>
            </w:pPr>
          </w:p>
        </w:tc>
      </w:tr>
      <w:tr>
        <w:trPr>
          <w:trHeight w:val="225"/>
        </w:trPr>
        <w:tc>
          <w:tcPr>
            <w:tcW w:w="6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Shares reserved for future ESPP offering</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FF0FC"/>
            </w:tcBorders>
          </w:tcPr>
          <w:p>
            <w:pPr>
              <w:spacing w:after="0"/>
              <w:rPr>
                <w:sz w:val="19"/>
                <w:szCs w:val="19"/>
                <w:color w:val="auto"/>
              </w:rPr>
            </w:pPr>
          </w:p>
        </w:tc>
      </w:tr>
      <w:tr>
        <w:trPr>
          <w:trHeight w:val="218"/>
        </w:trPr>
        <w:tc>
          <w:tcPr>
            <w:tcW w:w="6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105,953</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Plans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and RSU Plans</w:t>
      </w:r>
    </w:p>
    <w:p>
      <w:pPr>
        <w:spacing w:after="0" w:line="1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Under the Company’s Amended and Restated 2005 Stock Plan (“2005 Stock Plan”), the Company may issue shares of Common Stock and options to purchase Common Stock and other forms of equity incentives to employees, directors and consultants. Options granted under the 2005 Stock Plan may be incentive stock options or nonqualified stock options. Incentive stock options (“ISO”) may be granted only to employees and officers of the Company. Nonqualified stock options (“NSO”) and stock purchase rights may be granted to employees, directors and consultants. The board of directors has the authority to determine to whom options will be granted, the number of options, the term and the exercise price. Options are to be granted at an exercise price not less than fair market value for an ISO or an NSO. Options generally vest over four years. Options expire no more than 10 years after date of grant. Upon the effective date of the registration statement related to the Company’s initial public offering, the 2005 Plan was amended to cease the grant of any additional awards thereunder, although the Company will continue to issue common stock upon the exercise of previously granted stock options under the 2005 Plan.</w:t>
      </w:r>
    </w:p>
    <w:p>
      <w:pPr>
        <w:spacing w:after="0" w:line="17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September 2014, the Company adopted a 2014 Equity Incentive Plan (the “2014 Plan”) which became effective on November 13, 2014. The 2014 Plan is the successor equity compensation plan to the 2005 Plan. The 2014 Plan will terminate on November 12, 2024. The 2014 Plan provides for the grant of incentive stock options, nonqualified stock options, restricted stock awards, stock appreciation rights, performance stock awards, performance cash awards, restricted stock units and other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(25% vesting on the first anniversary of the vesting base date and quarterly thereafter over the next 3 years). Options generally expire ten years from the date of grant unless the optionee is a 10% stockholder, in which case the term will be five years from the date of grant. Unvested options exercised are subject to the Company’s repurchase right. Shares reserved for issuance increases on January 1 of each year commencing on January 1, 2016 and ending on January 1, 2024 by the lesser of (i) the amount equal to 4% of the number of shares issued and outstanding on December 31 immediately prior to the date of increase or (ii) such lower number of shares as may be determined by the board of directors. As of December 31, 2018, the Company has reserved 6,040,725 shares of its common stock that remains unissued for issuance under the 2014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shares upon share option exercise or share unit conversion is made through issuance of new shares authorized under the plan.</w:t>
      </w:r>
    </w:p>
    <w:p>
      <w:pPr>
        <w:spacing w:after="0" w:line="2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Common Stock option holders have the right to exercise unvested options, subject to a right held by the Company to repurchase the stock, at the original exercise price, in the event of voluntary or involuntary termination of employment of the stockholder. The shares are generally released from repurchase provisions ratably over four years. The Company accounts for the cash received in consideration for the early exercised options as a liability. At December 31, 2018 and 2017, no shares of Common Stock were subject to repurchase by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Stock option transactions, including forfeited options granted under the 2014 Plan as well as prior plans, are summarized below:</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Exercise per</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0" w:type="dxa"/>
            <w:vAlign w:val="bottom"/>
          </w:tcPr>
          <w:p>
            <w:pPr>
              <w:spacing w:after="0"/>
              <w:rPr>
                <w:sz w:val="1"/>
                <w:szCs w:val="1"/>
                <w:color w:val="auto"/>
              </w:rPr>
            </w:pPr>
          </w:p>
        </w:tc>
      </w:tr>
      <w:tr>
        <w:trPr>
          <w:trHeight w:val="218"/>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4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281,436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Vested and expected to vest, December 31, 2018</w:t>
            </w:r>
          </w:p>
        </w:tc>
        <w:tc>
          <w:tcPr>
            <w:tcW w:w="116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10,430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281,436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2018, 2017 and 2016 was $97.5 million, $111.9 million, and $17.9 million,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 activity:</w:t>
      </w:r>
    </w:p>
    <w:tbl>
      <w:tblPr>
        <w:tblLayout w:type="fixed"/>
        <w:tblInd w:w="116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1700" w:type="dxa"/>
            <w:vAlign w:val="bottom"/>
            <w:gridSpan w:val="2"/>
          </w:tcPr>
          <w:p>
            <w:pPr>
              <w:jc w:val="right"/>
              <w:ind w:right="740"/>
              <w:spacing w:after="0" w:line="15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 Grant</w:t>
            </w:r>
          </w:p>
        </w:tc>
        <w:tc>
          <w:tcPr>
            <w:tcW w:w="0" w:type="dxa"/>
            <w:vAlign w:val="bottom"/>
          </w:tcPr>
          <w:p>
            <w:pPr>
              <w:spacing w:after="0"/>
              <w:rPr>
                <w:sz w:val="1"/>
                <w:szCs w:val="1"/>
                <w:color w:val="auto"/>
              </w:rPr>
            </w:pPr>
          </w:p>
        </w:tc>
      </w:tr>
      <w:tr>
        <w:trPr>
          <w:trHeight w:val="170"/>
        </w:trPr>
        <w:tc>
          <w:tcPr>
            <w:tcW w:w="564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2017</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18"/>
          <w:szCs w:val="18"/>
          <w:color w:val="auto"/>
        </w:rPr>
        <w:t>Among the vested RSUs during the year ended December 31, 2017, 432,472 shares were released and issued, while the remaining was withheld for the related payroll taxes. The estimated weighted-average fair value of the awards granted during the years ended December 31, 2018, 2017 and 2016 was $53.69, $26.59 and $19.37,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ESPP</w:t>
      </w:r>
    </w:p>
    <w:p>
      <w:pPr>
        <w:spacing w:after="0" w:line="11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In September 2014, the Company adopted a 2014 ESPP that became effective on November 13, 2014. The 2014 ESPP is designed to enable eligible employees to periodically purchase shares of the Company’s common stock at a discount through payroll deductions of up to 15% of their eligible compensation, subject to any plan or IRS limitations. At the end of each offering period, employees are able to purchase shares at 85% of the lower of the fair market value of the Company’s common stock on the first trading day of the offering period or on the last day of the offering period. Purchases are accomplished through participation in discrete offering periods. The 2014 ESPP is intended to qualify as an ESPP under Section 423 of the Internal Revenue Code. The Company has reserved 1,600,000 shares of its common stock for issuance under the 2014 ESPP and shares reserved for issuance increases January 1 of each year commencing January 1, 2016 by the lesser of (i) a number of shares equal to 1% of the total number of outstanding shares of common stock on December 31 immediately prior to the date of increase; (ii) 1,200,000 shares or (iii) such number of shares as may be determined by the board of directors. There were 230,317 shares, 250,834 shares and 266,720 shares purchased by employees under the 2014 Purchased Plan for the years ended December 31, 2018, 2017 and 2016,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term of 2014 ESPP shares is the average of the remaining purchase periods under each offering period.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Stock-based compensation expense allocated to research and development and general and administrative expense for the years ended December 31, 2018, 2017 and 2016 was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2"/>
        </w:trPr>
        <w:tc>
          <w:tcPr>
            <w:tcW w:w="1160" w:type="dxa"/>
            <w:vAlign w:val="bottom"/>
          </w:tcPr>
          <w:p>
            <w:pPr>
              <w:spacing w:after="0"/>
              <w:rPr>
                <w:sz w:val="13"/>
                <w:szCs w:val="13"/>
                <w:color w:val="auto"/>
              </w:rPr>
            </w:pPr>
          </w:p>
        </w:tc>
        <w:tc>
          <w:tcPr>
            <w:tcW w:w="364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6"/>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6"/>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18"/>
        </w:trPr>
        <w:tc>
          <w:tcPr>
            <w:tcW w:w="116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25"/>
        </w:trPr>
        <w:tc>
          <w:tcPr>
            <w:tcW w:w="1160" w:type="dxa"/>
            <w:vAlign w:val="bottom"/>
          </w:tcPr>
          <w:p>
            <w:pPr>
              <w:spacing w:after="0"/>
              <w:rPr>
                <w:sz w:val="19"/>
                <w:szCs w:val="19"/>
                <w:color w:val="auto"/>
              </w:rPr>
            </w:pPr>
          </w:p>
        </w:tc>
        <w:tc>
          <w:tcPr>
            <w:tcW w:w="3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3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52,142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32,132</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05"/>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160</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11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161" w:name="page162"/>
    <w:bookmarkEnd w:id="161"/>
    <w:p>
      <w:pPr>
        <w:ind w:right="560"/>
        <w:spacing w:after="0" w:line="273"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valuation model. The fair value of employee stock options is being amortized on a straight-line basis over the requisite service period of the awards.</w:t>
      </w:r>
    </w:p>
    <w:p>
      <w:pPr>
        <w:spacing w:after="0" w:line="16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Prior to the Company’s initial public offering, the Company, in making its determinations of the fair value of its Common Stock, considered a variety of quantitative and qualitative factors, including (i) net present value of the Company’s projected earnings, (ii) fair market value of the stock of comparable publicly-traded companies, (iii) any third party transactions involving the Company’s convertible preferred stock, (iv) liquidation preferences of the Company’s preferred stock and the likelihood of conversion of the preferred stock, (v) changes in the Company’s business operations, financial condition and results of operations over time, including cash balances and burn-rate, (vi) the status of new product development, and (vii) general financial market conditions. Subsequent to the IPO, the fair market value of common stock is based on the closing price of the Company’s common stock as reported on the NASDAQ Global Select Market on the date of the grant.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employee stock options was estimated using the following assumptions:</w:t>
      </w:r>
    </w:p>
    <w:p>
      <w:pPr>
        <w:spacing w:after="0" w:line="111" w:lineRule="exact"/>
        <w:rPr>
          <w:sz w:val="20"/>
          <w:szCs w:val="20"/>
          <w:color w:val="auto"/>
        </w:rPr>
      </w:pPr>
    </w:p>
    <w:p>
      <w:pPr>
        <w:jc w:val="both"/>
        <w:ind w:left="520" w:right="400"/>
        <w:spacing w:after="0" w:line="259"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Expressed as a weighted-average, the expected life of the options is based on the average period the stock options are expected to be outstanding and was based on the Company’s historical information of the option exercise patterns and post-vesting termination behavior as well as contractual terms of the instruments.</w:t>
      </w:r>
    </w:p>
    <w:p>
      <w:pPr>
        <w:spacing w:after="0" w:line="72" w:lineRule="exact"/>
        <w:rPr>
          <w:sz w:val="20"/>
          <w:szCs w:val="20"/>
          <w:color w:val="auto"/>
        </w:rPr>
      </w:pPr>
    </w:p>
    <w:p>
      <w:pPr>
        <w:ind w:left="520" w:right="100"/>
        <w:spacing w:after="0" w:line="259"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xml:space="preserve"> While the Company considers its historical data regarding the volatility of its Common Stock, the expected volatility is currently based upon the historical volatility of comparable public entities. In evaluating comparable companies, the Company considered factors such as industry, stage of life cycle, size and duration as a public company.</w:t>
      </w:r>
    </w:p>
    <w:p>
      <w:pPr>
        <w:spacing w:after="0" w:line="72" w:lineRule="exact"/>
        <w:rPr>
          <w:sz w:val="20"/>
          <w:szCs w:val="20"/>
          <w:color w:val="auto"/>
        </w:rPr>
      </w:pPr>
    </w:p>
    <w:p>
      <w:pPr>
        <w:ind w:left="520"/>
        <w:spacing w:after="0" w:line="273"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Expressed as a weighted-average, the risk-free interest rate assumption is based on the U.S. Treasury instruments whose term was consistent with the expected term of the Company’s stock options.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auto"/>
        </w:rPr>
        <w:t>Expected Dividend Yield.</w:t>
      </w:r>
      <w:r>
        <w:rPr>
          <w:rFonts w:ascii="Times New Roman" w:cs="Times New Roman" w:eastAsia="Times New Roman" w:hAnsi="Times New Roman"/>
          <w:sz w:val="17"/>
          <w:szCs w:val="17"/>
          <w:color w:val="auto"/>
        </w:rPr>
        <w:t xml:space="preserve"> The Company has never declared or paid any cash dividends and does not plan to pay cash dividends in the foreseeable future.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estimate the fair value of stock options granted and ESPPs using the Black-Scholes option valuation model were as follows: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3"/>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3"/>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4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80" w:type="dxa"/>
            <w:vAlign w:val="bottom"/>
          </w:tcPr>
          <w:p>
            <w:pPr>
              <w:spacing w:after="0"/>
              <w:rPr>
                <w:sz w:val="20"/>
                <w:szCs w:val="20"/>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ESPPs</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47.3 - 75.3 %</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52.8 - 77.2 %</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61.9 - 80.7 %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0.8 - 2.9 %</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0.5 - 1.6 %</w:t>
            </w:r>
          </w:p>
        </w:tc>
        <w:tc>
          <w:tcPr>
            <w:tcW w:w="200" w:type="dxa"/>
            <w:vAlign w:val="bottom"/>
          </w:tcPr>
          <w:p>
            <w:pPr>
              <w:spacing w:after="0"/>
              <w:rPr>
                <w:sz w:val="19"/>
                <w:szCs w:val="19"/>
                <w:color w:val="auto"/>
              </w:rPr>
            </w:pPr>
          </w:p>
        </w:tc>
        <w:tc>
          <w:tcPr>
            <w:tcW w:w="12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0.2 - 1.0 %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80" w:type="dxa"/>
            <w:vAlign w:val="bottom"/>
          </w:tcPr>
          <w:p>
            <w:pPr>
              <w:spacing w:after="0"/>
              <w:rPr>
                <w:sz w:val="20"/>
                <w:szCs w:val="20"/>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2018, there was $46.6 million of total unrecognized compensation costs, net of estimated forfeitures, related to non-vested stock option awards granted that will be recognized on a straight-line basis over the weighted-average period of 2.24 years. As of December 31, 2018, there was $40.9 million of total unrecognized compensation costs, net of estimated forfeitures, related to non-vested RSUs granted that will be recognized on a straight-line basis over the weighted-average period of 2.40 years.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The following warrants to purchase shares of Common Stock were issued in connection with certain facility and equipment lease financing arrangements and are outstanding at December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of Issuance</w:t>
            </w:r>
          </w:p>
        </w:tc>
        <w:tc>
          <w:tcPr>
            <w:tcW w:w="120" w:type="dxa"/>
            <w:vAlign w:val="bottom"/>
            <w:vMerge w:val="restart"/>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2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Reason for Issuance</w:t>
            </w:r>
          </w:p>
        </w:tc>
        <w:tc>
          <w:tcPr>
            <w:tcW w:w="120" w:type="dxa"/>
            <w:vAlign w:val="bottom"/>
          </w:tcPr>
          <w:p>
            <w:pPr>
              <w:spacing w:after="0"/>
              <w:rPr>
                <w:sz w:val="13"/>
                <w:szCs w:val="13"/>
                <w:color w:val="auto"/>
              </w:rPr>
            </w:pPr>
          </w:p>
        </w:tc>
        <w:tc>
          <w:tcPr>
            <w:tcW w:w="456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0"/>
        </w:trPr>
        <w:tc>
          <w:tcPr>
            <w:tcW w:w="1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Borders>
              <w:bottom w:val="single" w:sz="8" w:color="CFF0FC"/>
            </w:tcBorders>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8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44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17"/>
                <w:szCs w:val="17"/>
                <w:color w:val="auto"/>
              </w:rPr>
            </w:pPr>
          </w:p>
        </w:tc>
        <w:tc>
          <w:tcPr>
            <w:tcW w:w="2140" w:type="dxa"/>
            <w:vAlign w:val="bottom"/>
            <w:shd w:val="clear" w:color="auto" w:fill="CFF0FC"/>
          </w:tcPr>
          <w:p>
            <w:pPr>
              <w:jc w:val="center"/>
              <w:spacing w:after="0" w:line="200" w:lineRule="exact"/>
              <w:rPr>
                <w:sz w:val="20"/>
                <w:szCs w:val="20"/>
                <w:color w:val="auto"/>
              </w:rPr>
            </w:pPr>
            <w:r>
              <w:rPr>
                <w:rFonts w:ascii="Times New Roman" w:cs="Times New Roman" w:eastAsia="Times New Roman" w:hAnsi="Times New Roman"/>
                <w:sz w:val="18"/>
                <w:szCs w:val="18"/>
                <w:color w:val="auto"/>
                <w:w w:val="98"/>
              </w:rPr>
              <w:t>Issued in connection with</w:t>
            </w:r>
          </w:p>
        </w:tc>
        <w:tc>
          <w:tcPr>
            <w:tcW w:w="120" w:type="dxa"/>
            <w:vAlign w:val="bottom"/>
            <w:shd w:val="clear" w:color="auto" w:fill="CFF0FC"/>
          </w:tcPr>
          <w:p>
            <w:pPr>
              <w:spacing w:after="0"/>
              <w:rPr>
                <w:sz w:val="17"/>
                <w:szCs w:val="17"/>
                <w:color w:val="auto"/>
              </w:rPr>
            </w:pPr>
          </w:p>
        </w:tc>
        <w:tc>
          <w:tcPr>
            <w:tcW w:w="4560" w:type="dxa"/>
            <w:vAlign w:val="bottom"/>
            <w:shd w:val="clear" w:color="auto" w:fill="CFF0FC"/>
          </w:tcPr>
          <w:p>
            <w:pPr>
              <w:spacing w:after="0" w:line="200" w:lineRule="exact"/>
              <w:rPr>
                <w:sz w:val="20"/>
                <w:szCs w:val="20"/>
                <w:color w:val="auto"/>
              </w:rPr>
            </w:pPr>
            <w:r>
              <w:rPr>
                <w:rFonts w:ascii="Times New Roman" w:cs="Times New Roman" w:eastAsia="Times New Roman" w:hAnsi="Times New Roman"/>
                <w:sz w:val="18"/>
                <w:szCs w:val="18"/>
                <w:color w:val="auto"/>
                <w:w w:val="99"/>
              </w:rPr>
              <w:t>Five years after initial public offering or upon merger or sale of</w:t>
            </w:r>
          </w:p>
        </w:tc>
        <w:tc>
          <w:tcPr>
            <w:tcW w:w="0" w:type="dxa"/>
            <w:vAlign w:val="bottom"/>
          </w:tcPr>
          <w:p>
            <w:pPr>
              <w:spacing w:after="0"/>
              <w:rPr>
                <w:sz w:val="1"/>
                <w:szCs w:val="1"/>
                <w:color w:val="auto"/>
              </w:rPr>
            </w:pPr>
          </w:p>
        </w:tc>
      </w:tr>
      <w:tr>
        <w:trPr>
          <w:trHeight w:val="125"/>
        </w:trPr>
        <w:tc>
          <w:tcPr>
            <w:tcW w:w="18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440" w:type="dxa"/>
            <w:vAlign w:val="bottom"/>
            <w:gridSpan w:val="2"/>
            <w:vMerge w:val="continue"/>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1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lease agreement</w:t>
            </w:r>
          </w:p>
        </w:tc>
        <w:tc>
          <w:tcPr>
            <w:tcW w:w="468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the Company’s assets, whichever occurs first</w:t>
            </w:r>
          </w:p>
        </w:tc>
        <w:tc>
          <w:tcPr>
            <w:tcW w:w="0" w:type="dxa"/>
            <w:vAlign w:val="bottom"/>
          </w:tcPr>
          <w:p>
            <w:pPr>
              <w:spacing w:after="0"/>
              <w:rPr>
                <w:sz w:val="1"/>
                <w:szCs w:val="1"/>
                <w:color w:val="auto"/>
              </w:rPr>
            </w:pPr>
          </w:p>
        </w:tc>
      </w:tr>
      <w:tr>
        <w:trPr>
          <w:trHeight w:val="105"/>
        </w:trPr>
        <w:tc>
          <w:tcPr>
            <w:tcW w:w="1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140" w:type="dxa"/>
            <w:vAlign w:val="bottom"/>
            <w:vMerge w:val="continue"/>
            <w:shd w:val="clear" w:color="auto" w:fill="CFF0FC"/>
          </w:tcPr>
          <w:p>
            <w:pPr>
              <w:spacing w:after="0"/>
              <w:rPr>
                <w:sz w:val="9"/>
                <w:szCs w:val="9"/>
                <w:color w:val="auto"/>
              </w:rPr>
            </w:pPr>
          </w:p>
        </w:tc>
        <w:tc>
          <w:tcPr>
            <w:tcW w:w="46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13"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following securities were excluded from the calculation of diluted net loss per share because their effect would have been anti-dilutive for the three years presented (in thousands):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5280" w:type="dxa"/>
            <w:vAlign w:val="bottom"/>
          </w:tcPr>
          <w:p>
            <w:pPr>
              <w:spacing w:after="0"/>
              <w:rPr>
                <w:sz w:val="13"/>
                <w:szCs w:val="13"/>
                <w:color w:val="auto"/>
              </w:rPr>
            </w:pPr>
          </w:p>
        </w:tc>
        <w:tc>
          <w:tcPr>
            <w:tcW w:w="1460" w:type="dxa"/>
            <w:vAlign w:val="bottom"/>
          </w:tcPr>
          <w:p>
            <w:pPr>
              <w:jc w:val="right"/>
              <w:ind w:right="515"/>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1720" w:type="dxa"/>
            <w:vAlign w:val="bottom"/>
            <w:gridSpan w:val="2"/>
          </w:tcPr>
          <w:p>
            <w:pPr>
              <w:jc w:val="right"/>
              <w:ind w:right="512"/>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3"/>
                <w:szCs w:val="13"/>
                <w:color w:val="auto"/>
              </w:rPr>
            </w:pPr>
          </w:p>
        </w:tc>
        <w:tc>
          <w:tcPr>
            <w:tcW w:w="1480" w:type="dxa"/>
            <w:vAlign w:val="bottom"/>
          </w:tcPr>
          <w:p>
            <w:pPr>
              <w:jc w:val="right"/>
              <w:ind w:right="515"/>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218"/>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4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24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Borders>
              <w:top w:val="single" w:sz="8" w:color="CFF0FC"/>
            </w:tcBorders>
            <w:shd w:val="clear" w:color="auto" w:fill="CFF0FC"/>
          </w:tcPr>
          <w:p>
            <w:pPr>
              <w:spacing w:after="0"/>
              <w:rPr>
                <w:sz w:val="18"/>
                <w:szCs w:val="18"/>
                <w:color w:val="auto"/>
              </w:rPr>
            </w:pPr>
          </w:p>
        </w:tc>
      </w:tr>
      <w:tr>
        <w:trPr>
          <w:trHeight w:val="22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RSUs outstanding</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r>
      <w:tr>
        <w:trPr>
          <w:trHeight w:val="225"/>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r>
      <w:tr>
        <w:trPr>
          <w:trHeight w:val="218"/>
        </w:trPr>
        <w:tc>
          <w:tcPr>
            <w:tcW w:w="52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2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FibroGen, Inc. 401(k) Plan</w:t>
      </w:r>
    </w:p>
    <w:p>
      <w:pPr>
        <w:spacing w:after="0" w:line="1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full-time United States of America-based employees are eligible to make contributions to the Company’s 401(k) Plan. Under this plan, participating employees may defer up to 60% of their pretax salary during the year, but not more than statutory limits. The Company may elect to match employee contributions. Matching contributions of $2.9 million, $2.5 million and $2.3 million were made during years ended December 31, 2018, 2017 and 2016, respectively.</w:t>
      </w:r>
    </w:p>
    <w:p>
      <w:pPr>
        <w:spacing w:after="0" w:line="28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taxes are as follows (in thousands):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2"/>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6"/>
              <w:spacing w:after="0" w:line="152" w:lineRule="exact"/>
              <w:rPr>
                <w:sz w:val="20"/>
                <w:szCs w:val="20"/>
                <w:color w:val="auto"/>
              </w:rPr>
            </w:pPr>
            <w:r>
              <w:rPr>
                <w:rFonts w:ascii="Times New Roman" w:cs="Times New Roman" w:eastAsia="Times New Roman" w:hAnsi="Times New Roman"/>
                <w:sz w:val="14"/>
                <w:szCs w:val="14"/>
                <w:b w:val="1"/>
                <w:bCs w:val="1"/>
                <w:color w:val="auto"/>
              </w:rPr>
              <w:t>2017 *</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6"/>
              <w:spacing w:after="0" w:line="152" w:lineRule="exact"/>
              <w:rPr>
                <w:sz w:val="20"/>
                <w:szCs w:val="20"/>
                <w:color w:val="auto"/>
              </w:rPr>
            </w:pPr>
            <w:r>
              <w:rPr>
                <w:rFonts w:ascii="Times New Roman" w:cs="Times New Roman" w:eastAsia="Times New Roman" w:hAnsi="Times New Roman"/>
                <w:sz w:val="14"/>
                <w:szCs w:val="14"/>
                <w:b w:val="1"/>
                <w:bCs w:val="1"/>
                <w:color w:val="auto"/>
              </w:rPr>
              <w:t>2016 *</w:t>
            </w:r>
          </w:p>
        </w:tc>
        <w:tc>
          <w:tcPr>
            <w:tcW w:w="120" w:type="dxa"/>
            <w:vAlign w:val="bottom"/>
            <w:tcBorders>
              <w:bottom w:val="single" w:sz="8" w:color="CFF0FC"/>
            </w:tcBorders>
          </w:tcPr>
          <w:p>
            <w:pPr>
              <w:spacing w:after="0"/>
              <w:rPr>
                <w:sz w:val="13"/>
                <w:szCs w:val="13"/>
                <w:color w:val="auto"/>
              </w:rPr>
            </w:pPr>
          </w:p>
        </w:tc>
      </w:tr>
      <w:tr>
        <w:trPr>
          <w:trHeight w:val="218"/>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87"/>
              </w:rPr>
              <w:t>(38,472)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87"/>
              </w:rPr>
              <w:t>(25,342)</w:t>
            </w:r>
          </w:p>
        </w:tc>
        <w:tc>
          <w:tcPr>
            <w:tcW w:w="120" w:type="dxa"/>
            <w:vAlign w:val="bottom"/>
            <w:shd w:val="clear" w:color="auto" w:fill="CFF0FC"/>
          </w:tcPr>
          <w:p>
            <w:pPr>
              <w:spacing w:after="0"/>
              <w:rPr>
                <w:sz w:val="18"/>
                <w:szCs w:val="18"/>
                <w:color w:val="auto"/>
              </w:rPr>
            </w:pPr>
          </w:p>
        </w:tc>
      </w:tr>
      <w:tr>
        <w:trPr>
          <w:trHeight w:val="225"/>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19"/>
                <w:szCs w:val="19"/>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(47,644)</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(39,819)</w:t>
            </w:r>
          </w:p>
        </w:tc>
        <w:tc>
          <w:tcPr>
            <w:tcW w:w="240" w:type="dxa"/>
            <w:vAlign w:val="bottom"/>
          </w:tcPr>
          <w:p>
            <w:pPr>
              <w:spacing w:after="0"/>
              <w:rPr>
                <w:sz w:val="19"/>
                <w:szCs w:val="19"/>
                <w:color w:val="auto"/>
              </w:rPr>
            </w:pP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(32,797)</w:t>
            </w:r>
          </w:p>
        </w:tc>
      </w:tr>
      <w:tr>
        <w:trPr>
          <w:trHeight w:val="218"/>
        </w:trPr>
        <w:tc>
          <w:tcPr>
            <w:tcW w:w="6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87"/>
              </w:rPr>
              <w:t>(86,116)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(120,554)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87"/>
              </w:rPr>
              <w:t>(58,139)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1" w:lineRule="exact"/>
        <w:rPr>
          <w:sz w:val="20"/>
          <w:szCs w:val="20"/>
          <w:color w:val="auto"/>
        </w:rPr>
      </w:pPr>
    </w:p>
    <w:p>
      <w:pPr>
        <w:ind w:left="520" w:hanging="514"/>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Recast to reflect the adoption of the new revenue standards. See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9671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(benefit from) income taxes consists of the following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80" w:type="dxa"/>
            <w:vAlign w:val="bottom"/>
          </w:tcPr>
          <w:p>
            <w:pPr>
              <w:spacing w:after="0"/>
              <w:rPr>
                <w:sz w:val="13"/>
                <w:szCs w:val="13"/>
                <w:color w:val="auto"/>
              </w:rPr>
            </w:pPr>
          </w:p>
        </w:tc>
        <w:tc>
          <w:tcPr>
            <w:tcW w:w="41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23"/>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9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740" w:type="dxa"/>
            <w:vAlign w:val="bottom"/>
            <w:gridSpan w:val="2"/>
          </w:tcPr>
          <w:p>
            <w:pPr>
              <w:jc w:val="right"/>
              <w:ind w:right="66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1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1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w:t>
            </w:r>
          </w:p>
        </w:tc>
        <w:tc>
          <w:tcPr>
            <w:tcW w:w="19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16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deferred</w:t>
            </w:r>
          </w:p>
        </w:tc>
        <w:tc>
          <w:tcPr>
            <w:tcW w:w="1920" w:type="dxa"/>
            <w:vAlign w:val="bottom"/>
            <w:tcBorders>
              <w:bottom w:val="single" w:sz="8" w:color="CFF0FC"/>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19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6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20" w:type="dxa"/>
            <w:vAlign w:val="bottom"/>
            <w:vMerge w:val="restart"/>
          </w:tcPr>
          <w:p>
            <w:pPr>
              <w:jc w:val="right"/>
              <w:ind w:right="732"/>
              <w:spacing w:after="0"/>
              <w:rPr>
                <w:sz w:val="20"/>
                <w:szCs w:val="20"/>
                <w:color w:val="auto"/>
              </w:rPr>
            </w:pPr>
            <w:r>
              <w:rPr>
                <w:rFonts w:ascii="Times New Roman" w:cs="Times New Roman" w:eastAsia="Times New Roman" w:hAnsi="Times New Roman"/>
                <w:sz w:val="18"/>
                <w:szCs w:val="18"/>
                <w:color w:val="auto"/>
              </w:rPr>
              <w:t>162</w:t>
            </w: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8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49" w:right="2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t>The following is the reconciliation between the statutory federal income tax rate and the Company’s effective tax rate:</w:t>
      </w:r>
    </w:p>
    <w:p>
      <w:pPr>
        <w:spacing w:after="0" w:line="29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80" w:type="dxa"/>
            <w:vAlign w:val="bottom"/>
          </w:tcPr>
          <w:p>
            <w:pPr>
              <w:spacing w:after="0"/>
              <w:rPr>
                <w:sz w:val="13"/>
                <w:szCs w:val="13"/>
                <w:color w:val="auto"/>
              </w:rPr>
            </w:pPr>
          </w:p>
        </w:tc>
        <w:tc>
          <w:tcPr>
            <w:tcW w:w="5800" w:type="dxa"/>
            <w:vAlign w:val="bottom"/>
            <w:tcBorders>
              <w:bottom w:val="single" w:sz="8" w:color="CFF0FC"/>
            </w:tcBorders>
            <w:gridSpan w:val="2"/>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76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780" w:type="dxa"/>
            <w:vAlign w:val="bottom"/>
            <w:shd w:val="clear" w:color="auto" w:fill="CFF0FC"/>
          </w:tcPr>
          <w:p>
            <w:pPr>
              <w:spacing w:after="0"/>
              <w:rPr>
                <w:sz w:val="18"/>
                <w:szCs w:val="18"/>
                <w:color w:val="auto"/>
              </w:rPr>
            </w:pPr>
          </w:p>
        </w:tc>
        <w:tc>
          <w:tcPr>
            <w:tcW w:w="6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shd w:val="clear" w:color="auto" w:fill="CFF0FC"/>
          </w:tcPr>
          <w:p>
            <w:pPr>
              <w:spacing w:after="0"/>
              <w:rPr>
                <w:sz w:val="18"/>
                <w:szCs w:val="18"/>
                <w:color w:val="auto"/>
              </w:rPr>
            </w:pPr>
          </w:p>
        </w:tc>
        <w:tc>
          <w:tcPr>
            <w:tcW w:w="14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tax</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6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780" w:type="dxa"/>
            <w:vAlign w:val="bottom"/>
            <w:shd w:val="clear" w:color="auto" w:fill="CFF0FC"/>
          </w:tcPr>
          <w:p>
            <w:pPr>
              <w:spacing w:after="0"/>
              <w:rPr>
                <w:sz w:val="19"/>
                <w:szCs w:val="19"/>
                <w:color w:val="auto"/>
              </w:rPr>
            </w:pPr>
          </w:p>
        </w:tc>
        <w:tc>
          <w:tcPr>
            <w:tcW w:w="6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50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deferred tax assets due to rate change</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6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 due to rate change</w:t>
            </w: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9"/>
                <w:szCs w:val="19"/>
                <w:color w:val="auto"/>
              </w:rPr>
            </w:pPr>
          </w:p>
        </w:tc>
        <w:tc>
          <w:tcPr>
            <w:tcW w:w="66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9"/>
              </w:rPr>
              <w:t>(43.9)%</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losses not benefitted</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780" w:type="dxa"/>
            <w:vAlign w:val="bottom"/>
          </w:tcPr>
          <w:p>
            <w:pPr>
              <w:spacing w:after="0"/>
              <w:rPr>
                <w:sz w:val="19"/>
                <w:szCs w:val="19"/>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9"/>
              </w:rPr>
              <w:t>(43.8)%</w:t>
            </w:r>
          </w:p>
        </w:tc>
        <w:tc>
          <w:tcPr>
            <w:tcW w:w="15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6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net operating losses not benefitted</w:t>
            </w: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780" w:type="dxa"/>
            <w:vAlign w:val="bottom"/>
            <w:shd w:val="clear" w:color="auto" w:fill="CFF0FC"/>
          </w:tcPr>
          <w:p>
            <w:pPr>
              <w:spacing w:after="0"/>
              <w:rPr>
                <w:sz w:val="19"/>
                <w:szCs w:val="19"/>
                <w:color w:val="auto"/>
              </w:rPr>
            </w:pPr>
          </w:p>
        </w:tc>
        <w:tc>
          <w:tcPr>
            <w:tcW w:w="66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150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Orphan drug credit</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tcPr>
          <w:p>
            <w:pPr>
              <w:spacing w:after="0"/>
              <w:rPr>
                <w:sz w:val="19"/>
                <w:szCs w:val="19"/>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shd w:val="clear" w:color="auto" w:fill="CFF0FC"/>
          </w:tcPr>
          <w:p>
            <w:pPr>
              <w:spacing w:after="0"/>
              <w:rPr>
                <w:sz w:val="19"/>
                <w:szCs w:val="19"/>
                <w:color w:val="auto"/>
              </w:rPr>
            </w:pPr>
          </w:p>
        </w:tc>
        <w:tc>
          <w:tcPr>
            <w:tcW w:w="66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150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8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78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vMerge w:val="continue"/>
          </w:tcPr>
          <w:p>
            <w:pPr>
              <w:spacing w:after="0"/>
              <w:rPr>
                <w:sz w:val="18"/>
                <w:szCs w:val="18"/>
                <w:color w:val="auto"/>
              </w:rPr>
            </w:pPr>
          </w:p>
        </w:tc>
        <w:tc>
          <w:tcPr>
            <w:tcW w:w="14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140" w:type="dxa"/>
            <w:vAlign w:val="bottom"/>
            <w:gridSpan w:val="4"/>
          </w:tcPr>
          <w:p>
            <w:pPr>
              <w:jc w:val="right"/>
              <w:ind w:right="629"/>
              <w:spacing w:after="0"/>
              <w:rPr>
                <w:sz w:val="20"/>
                <w:szCs w:val="20"/>
                <w:color w:val="auto"/>
              </w:rPr>
            </w:pPr>
            <w:r>
              <w:rPr>
                <w:rFonts w:ascii="Times New Roman" w:cs="Times New Roman" w:eastAsia="Times New Roman" w:hAnsi="Times New Roman"/>
                <w:sz w:val="18"/>
                <w:szCs w:val="18"/>
                <w:color w:val="auto"/>
                <w:w w:val="97"/>
              </w:rPr>
              <w:t>Significant components of the Company’s deferred tax assets are as follows (in thousands):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5"/>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15"/>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91,683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71,256</w:t>
            </w:r>
          </w:p>
        </w:tc>
        <w:tc>
          <w:tcPr>
            <w:tcW w:w="8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 and accruals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193,987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(193,987)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(159,540)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vMerge w:val="restart"/>
          </w:tcPr>
          <w:p>
            <w:pPr>
              <w:spacing w:after="0"/>
              <w:rPr>
                <w:sz w:val="19"/>
                <w:szCs w:val="19"/>
                <w:color w:val="auto"/>
              </w:rPr>
            </w:pPr>
          </w:p>
        </w:tc>
        <w:tc>
          <w:tcPr>
            <w:tcW w:w="5980" w:type="dxa"/>
            <w:vAlign w:val="bottom"/>
            <w:gridSpan w:val="2"/>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8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bottom w:val="single" w:sz="8" w:color="CFF0FC"/>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9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 valuation allowance has been provided to reduce the deferred tax assets to an amount management believes is more likely than not to be realized. Expected realization of the deferred tax assets for which a valuation allowance has not been recognized is based on upon the reversal of existing temporary differences and future taxable income.</w:t>
      </w:r>
    </w:p>
    <w:p>
      <w:pPr>
        <w:spacing w:after="0" w:line="177"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The valuation allowance increased by $34.4 million, $30.5 million and $12.3 million for the years ended December 31, 2018, 2017 and 2016, respectively. Due to uncertainty surrounding the realization of the favorable tax attributes in the future tax returns, the Company has established a valuation allowance against its otherwise recognizable net deferred tax assets.</w:t>
      </w:r>
    </w:p>
    <w:p>
      <w:pPr>
        <w:spacing w:after="0" w:line="1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December 31, 2018, the Company had net operating loss carryforwards available to offset future taxable income of approximately $400.3 million and $148.1 million for federal and state tax purposes, respectively. These carryforwards will begin to expire in 2026 for federal and 2019 for state purposes, if not utilized before these dates. The Company also had foreign net operating loss carryforwards of approximately $86.3 million which expire between 2019 and 2028 if not utilized.</w:t>
      </w:r>
    </w:p>
    <w:p>
      <w:pPr>
        <w:spacing w:after="0" w:line="18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At December 31, 2018, the Company had approximately $46.4 million of federal and $26.3 million of California research and development tax credit and other tax credit carryforwards available to offset future taxable income. The federal credits begin to expire in 2019 and the California research credits have no expiration dates.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545" w:right="279" w:bottom="1440" w:gutter="0" w:footer="0" w:header="0"/>
        </w:sectPr>
      </w:pPr>
    </w:p>
    <w:bookmarkStart w:id="164" w:name="page165"/>
    <w:bookmarkEnd w:id="164"/>
    <w:p>
      <w:pPr>
        <w:ind w:right="100"/>
        <w:spacing w:after="0" w:line="251" w:lineRule="auto"/>
        <w:rPr>
          <w:sz w:val="20"/>
          <w:szCs w:val="20"/>
          <w:color w:val="auto"/>
        </w:rPr>
      </w:pPr>
      <w:r>
        <w:rPr>
          <w:rFonts w:ascii="Times New Roman" w:cs="Times New Roman" w:eastAsia="Times New Roman" w:hAnsi="Times New Roman"/>
          <w:sz w:val="18"/>
          <w:szCs w:val="18"/>
          <w:color w:val="auto"/>
        </w:rPr>
        <w:t>On December 22, 2017, the Tax Cuts and Jobs Act (“Tax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In the fourth quarter of 2018, the Company completed its analysis to determine the effect of the Tax Act and no material adjustments were recognized as of December 31, 2018. Developing interpretations of the provisions of the Tax Act, changes to U.S. Treasury regulations, administrative interpretations or court decisions interpreting the Tax Act in the future periods may require further adjustments to the Company’s analysis.</w:t>
      </w:r>
    </w:p>
    <w:p>
      <w:pPr>
        <w:spacing w:after="0" w:line="18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Due to the adoption of ASU 2016-09 in 2017, the Company recorded a retrospective increase of $19.5 million in the deferred tax assets for previously unrecognized excess tax benefits that existed as of December 31, 2016, and a corresponding increase of $19.5 million in the valuation allowance against these deferred tax assets. In addition, all excess tax benefits and deficiencies are recognized as income tax expense and will result in increased volatility in the Company’s income tax.</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Federal and state tax laws impose substantial restrictions on the utilization of net operating loss and credit carryforwards in the event of an “ownership change” for tax purposes, as defined in IRC Section 382. The Company reviewed its stock ownership for year ended December 31, 2018 and concluded no ownership changes occurred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1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The Company had unrecognized tax benefits of approximately $28.0 million as of December 31, 2018. Approximately $0.5 million of unrecognized tax benefits, if recognized, would affect the effective tax rate. The interest accrued as of December 31, 2018 and 2017 was immaterial.</w:t>
      </w:r>
    </w:p>
    <w:p>
      <w:pPr>
        <w:spacing w:after="0" w:line="165"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color w:val="auto"/>
        </w:rPr>
        <w:t>A reconciliation of the beginning and ending amounts of unrecognized income tax benefits during the three years ended December 31, 2018 is as follows (in thousands):</w:t>
      </w:r>
    </w:p>
    <w:p>
      <w:pPr>
        <w:spacing w:after="0" w:line="251"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Federal and State</w:t>
            </w:r>
          </w:p>
        </w:tc>
      </w:tr>
      <w:tr>
        <w:trPr>
          <w:trHeight w:val="218"/>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2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24,213</w:t>
            </w:r>
          </w:p>
        </w:tc>
        <w:tc>
          <w:tcPr>
            <w:tcW w:w="80" w:type="dxa"/>
            <w:vAlign w:val="bottom"/>
            <w:tcBorders>
              <w:top w:val="single" w:sz="8" w:color="CFF0FC"/>
            </w:tcBorders>
            <w:shd w:val="clear" w:color="auto" w:fill="CFF0FC"/>
          </w:tcPr>
          <w:p>
            <w:pPr>
              <w:spacing w:after="0"/>
              <w:rPr>
                <w:sz w:val="18"/>
                <w:szCs w:val="18"/>
                <w:color w:val="auto"/>
              </w:rPr>
            </w:pPr>
          </w:p>
        </w:tc>
      </w:tr>
      <w:tr>
        <w:trPr>
          <w:trHeight w:val="225"/>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Decrease due to prior positions</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(7,109)</w:t>
            </w:r>
          </w:p>
        </w:tc>
      </w:tr>
      <w:tr>
        <w:trPr>
          <w:trHeight w:val="225"/>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due to current year position</w:t>
            </w:r>
          </w:p>
        </w:tc>
        <w:tc>
          <w:tcPr>
            <w:tcW w:w="2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80" w:type="dxa"/>
            <w:vAlign w:val="bottom"/>
            <w:shd w:val="clear" w:color="auto" w:fill="CFF0FC"/>
          </w:tcPr>
          <w:p>
            <w:pPr>
              <w:spacing w:after="0"/>
              <w:rPr>
                <w:sz w:val="19"/>
                <w:szCs w:val="19"/>
                <w:color w:val="auto"/>
              </w:rPr>
            </w:pPr>
          </w:p>
        </w:tc>
      </w:tr>
      <w:tr>
        <w:trPr>
          <w:trHeight w:val="21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80" w:type="dxa"/>
            <w:vAlign w:val="bottom"/>
          </w:tcPr>
          <w:p>
            <w:pPr>
              <w:spacing w:after="0"/>
              <w:rPr>
                <w:sz w:val="18"/>
                <w:szCs w:val="18"/>
                <w:color w:val="auto"/>
              </w:rPr>
            </w:pPr>
          </w:p>
        </w:tc>
      </w:tr>
      <w:tr>
        <w:trPr>
          <w:trHeight w:val="225"/>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due to prior positions</w:t>
            </w: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CFF0FC"/>
          </w:tcPr>
          <w:p>
            <w:pPr>
              <w:spacing w:after="0"/>
              <w:rPr>
                <w:sz w:val="19"/>
                <w:szCs w:val="19"/>
                <w:color w:val="auto"/>
              </w:rPr>
            </w:pPr>
          </w:p>
        </w:tc>
      </w:tr>
      <w:tr>
        <w:trPr>
          <w:trHeight w:val="225"/>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due to current year position</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80" w:type="dxa"/>
            <w:vAlign w:val="bottom"/>
          </w:tcPr>
          <w:p>
            <w:pPr>
              <w:spacing w:after="0"/>
              <w:rPr>
                <w:sz w:val="19"/>
                <w:szCs w:val="19"/>
                <w:color w:val="auto"/>
              </w:rPr>
            </w:pPr>
          </w:p>
        </w:tc>
      </w:tr>
      <w:tr>
        <w:trPr>
          <w:trHeight w:val="225"/>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Decrease due to U.S. tax rate change</w:t>
            </w: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(2,044)</w:t>
            </w:r>
          </w:p>
        </w:tc>
      </w:tr>
      <w:tr>
        <w:trPr>
          <w:trHeight w:val="21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2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80" w:type="dxa"/>
            <w:vAlign w:val="bottom"/>
          </w:tcPr>
          <w:p>
            <w:pPr>
              <w:spacing w:after="0"/>
              <w:rPr>
                <w:sz w:val="18"/>
                <w:szCs w:val="18"/>
                <w:color w:val="auto"/>
              </w:rPr>
            </w:pPr>
          </w:p>
        </w:tc>
      </w:tr>
      <w:tr>
        <w:trPr>
          <w:trHeight w:val="225"/>
        </w:trPr>
        <w:tc>
          <w:tcPr>
            <w:tcW w:w="5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Increase due to prior positions</w:t>
            </w: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FF0FC"/>
          </w:tcPr>
          <w:p>
            <w:pPr>
              <w:spacing w:after="0"/>
              <w:rPr>
                <w:sz w:val="19"/>
                <w:szCs w:val="19"/>
                <w:color w:val="auto"/>
              </w:rPr>
            </w:pPr>
          </w:p>
        </w:tc>
      </w:tr>
      <w:tr>
        <w:trPr>
          <w:trHeight w:val="225"/>
        </w:trPr>
        <w:tc>
          <w:tcPr>
            <w:tcW w:w="51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Increase due to current year position</w:t>
            </w:r>
          </w:p>
        </w:tc>
        <w:tc>
          <w:tcPr>
            <w:tcW w:w="2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80" w:type="dxa"/>
            <w:vAlign w:val="bottom"/>
            <w:tcBorders>
              <w:bottom w:val="single" w:sz="8" w:color="CFF0FC"/>
            </w:tcBorders>
          </w:tcPr>
          <w:p>
            <w:pPr>
              <w:spacing w:after="0"/>
              <w:rPr>
                <w:sz w:val="19"/>
                <w:szCs w:val="19"/>
                <w:color w:val="auto"/>
              </w:rPr>
            </w:pPr>
          </w:p>
        </w:tc>
      </w:tr>
      <w:tr>
        <w:trPr>
          <w:trHeight w:val="218"/>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2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Unrecognized tax benefits may change during the next twelve months for items that arise in the ordinary course of business. The Company does not anticipate a material change to its unrecognized tax benefits over the next twelve months that would affect the Company’s effective tax 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interest and penalties as a component of tax expense, if any.</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U.S. state and other foreign jurisdictions. The U.S. federal and U.S. state taxing authorities may choose to audit tax returns for tax years beyond the statute of limitation period due to significant tax attribute carryforwards from prior years, making adjustments only to carryforward attributes. The foreign statute of limitation generally remains open from 2009 to 2018. The Company is not currently under audit in any tax jurisdiction.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545" w:right="259" w:bottom="1440" w:gutter="0" w:footer="0" w:header="0"/>
        </w:sectPr>
      </w:pPr>
    </w:p>
    <w:bookmarkStart w:id="165" w:name="page166"/>
    <w:bookmarkEnd w:id="165"/>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Astellas is an equity investor in the Company and considered a related party. During the years ended December 31, 2018, 2017 and 2016, the Company recorded revenue related to collaboration agreements with Astellas of $100.0 million, $20.1 million, and $31.3 million, respectively. The related party revenue for the year ended December 31, 2018 included $64.8 million product revenue for API to conduct commercial scale manufacturing validation for roxadustat drug product in anticipation of commercial launch in Japan. See Note 3 and below for details. The related party revenue was recast for each of the years ended December 31, 2017 and 2016 as a result of adoption of the new revenue standards. See Note 2 for details.</w:t>
      </w:r>
    </w:p>
    <w:p>
      <w:pPr>
        <w:spacing w:after="0" w:line="185"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During the years ended December 31, 2018, 2017 and 2016, the Company recorded expense related to collaboration agreements with Astellas of $1.5 million, $1.0 million and $6.4 million,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and 2017, accounts receivable from Astellas were $47.2 million and $4.0 million, respectively, and amounts due to Astellas were</w:t>
      </w:r>
    </w:p>
    <w:p>
      <w:pPr>
        <w:spacing w:after="0" w:line="24"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8"/>
          <w:szCs w:val="18"/>
          <w:color w:val="auto"/>
        </w:rPr>
        <w:t>$0.4 million and $0.3 million, respectively. The amounts due are included in accrued liabilities on the consolidated balance sheets. The accounts receivable from Astellas as of December 31, 2018 included $43.8 million related to the delivery of roxadustat API to Astellas during the fourth quarter of 2018. The sale of API was pursuant to the Japan Amendment allowing Astellas to manufacture roxadustat drug product for commercialization in Japan.</w:t>
      </w:r>
    </w:p>
    <w:p>
      <w:pPr>
        <w:spacing w:after="0" w:line="29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and Geographic Information</w:t>
      </w:r>
    </w:p>
    <w:p>
      <w:pPr>
        <w:spacing w:after="0" w:line="11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the chief operating decision maker (“CODM”). The CODM reviews financial information presented for the Company’s various clinical trial programs as well as results on a consolidated basis. License revenues and development revenues received are not allocated to various programs for purposes of determining a profit measure and resource allocation decisions are made by the CODM based primarily on consolidated results. As such, the Company has concluded that it operates as one segment. Supplemental enterprise-wide information has been presented below.</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Revenues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revenues, which are based on the bill-to region, are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ind w:right="14"/>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39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0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80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112,916</w:t>
            </w:r>
          </w:p>
        </w:tc>
        <w:tc>
          <w:tcPr>
            <w:tcW w:w="2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110,861</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151,736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 (related party)</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100,002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3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10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Pr>
          <w:p>
            <w:pPr>
              <w:spacing w:after="0"/>
              <w:rPr>
                <w:sz w:val="18"/>
                <w:szCs w:val="18"/>
                <w:color w:val="auto"/>
              </w:rPr>
            </w:pPr>
          </w:p>
        </w:tc>
        <w:tc>
          <w:tcPr>
            <w:tcW w:w="96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212,958</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130,996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183,189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Geographic Long-Lived Assets</w:t>
            </w:r>
          </w:p>
        </w:tc>
        <w:tc>
          <w:tcPr>
            <w:tcW w:w="1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48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net by geographic location are as follows (in thousands):</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21"/>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103,539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107,228</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10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23,659</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22,248</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127,198</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129,476</w:t>
            </w:r>
          </w:p>
        </w:tc>
        <w:tc>
          <w:tcPr>
            <w:tcW w:w="80" w:type="dxa"/>
            <w:vAlign w:val="bottom"/>
            <w:tcBorders>
              <w:bottom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revenues to date have been generated from the following collaboration partners that respectively accounted for more than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of the Company’s total revenue and accounts receivable: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Percentage of Revenue</w:t>
            </w: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8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Percentage of Accounts Receivable</w:t>
            </w:r>
          </w:p>
        </w:tc>
        <w:tc>
          <w:tcPr>
            <w:tcW w:w="20" w:type="dxa"/>
            <w:vAlign w:val="bottom"/>
          </w:tcPr>
          <w:p>
            <w:pPr>
              <w:spacing w:after="0"/>
              <w:rPr>
                <w:sz w:val="16"/>
                <w:szCs w:val="16"/>
                <w:color w:val="auto"/>
              </w:rPr>
            </w:pPr>
          </w:p>
        </w:tc>
      </w:tr>
      <w:tr>
        <w:trPr>
          <w:trHeight w:val="24"/>
        </w:trPr>
        <w:tc>
          <w:tcPr>
            <w:tcW w:w="3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2"/>
        </w:trPr>
        <w:tc>
          <w:tcPr>
            <w:tcW w:w="30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center"/>
              <w:ind w:right="72"/>
              <w:spacing w:after="0" w:line="152" w:lineRule="exact"/>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3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Borders>
              <w:bottom w:val="single" w:sz="8" w:color="auto"/>
            </w:tcBorders>
            <w:gridSpan w:val="3"/>
          </w:tcPr>
          <w:p>
            <w:pPr>
              <w:jc w:val="center"/>
              <w:ind w:left="902"/>
              <w:spacing w:after="0" w:line="15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30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09"/>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32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58"/>
              <w:spacing w:after="0" w:line="15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82"/>
              <w:spacing w:after="0" w:line="152"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8"/>
              <w:spacing w:after="0" w:line="15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Astellas—Related party</w:t>
            </w: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w w:val="79"/>
              </w:rPr>
              <w:t>%</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r>
      <w:tr>
        <w:trPr>
          <w:trHeight w:val="231"/>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AstraZeneca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6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85%</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0"/>
                <w:szCs w:val="20"/>
                <w:color w:val="auto"/>
              </w:rPr>
            </w:pPr>
          </w:p>
        </w:tc>
      </w:tr>
      <w:tr>
        <w:trPr>
          <w:trHeight w:val="737"/>
        </w:trPr>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30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49" w:right="219" w:bottom="1440" w:gutter="0" w:footer="0" w:header="0"/>
        </w:sectPr>
      </w:pPr>
    </w:p>
    <w:bookmarkStart w:id="166" w:name="page167"/>
    <w:bookmarkEnd w:id="16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(Credited)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to Other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4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1"/>
              <w:spacing w:after="0" w:line="15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82"/>
              <w:spacing w:after="0" w:line="159" w:lineRule="exact"/>
              <w:rPr>
                <w:sz w:val="20"/>
                <w:szCs w:val="20"/>
                <w:color w:val="auto"/>
              </w:rPr>
            </w:pPr>
            <w:r>
              <w:rPr>
                <w:rFonts w:ascii="Times New Roman" w:cs="Times New Roman" w:eastAsia="Times New Roman" w:hAnsi="Times New Roman"/>
                <w:sz w:val="14"/>
                <w:szCs w:val="14"/>
                <w:b w:val="1"/>
                <w:bCs w:val="1"/>
                <w:color w:val="auto"/>
              </w:rPr>
              <w:t>to Statement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2"/>
              <w:spacing w:after="0" w:line="159" w:lineRule="exact"/>
              <w:rPr>
                <w:sz w:val="20"/>
                <w:szCs w:val="20"/>
                <w:color w:val="auto"/>
              </w:rPr>
            </w:pPr>
            <w:r>
              <w:rPr>
                <w:rFonts w:ascii="Times New Roman" w:cs="Times New Roman" w:eastAsia="Times New Roman" w:hAnsi="Times New Roman"/>
                <w:sz w:val="14"/>
                <w:szCs w:val="14"/>
                <w:b w:val="1"/>
                <w:bCs w:val="1"/>
                <w:color w:val="auto"/>
              </w:rPr>
              <w:t>Accounts -</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9"/>
              <w:spacing w:after="0" w:line="159" w:lineRule="exact"/>
              <w:rPr>
                <w:sz w:val="20"/>
                <w:szCs w:val="20"/>
                <w:color w:val="auto"/>
              </w:rPr>
            </w:pPr>
            <w:r>
              <w:rPr>
                <w:rFonts w:ascii="Times New Roman" w:cs="Times New Roman" w:eastAsia="Times New Roman" w:hAnsi="Times New Roman"/>
                <w:sz w:val="14"/>
                <w:szCs w:val="14"/>
                <w:b w:val="1"/>
                <w:bCs w:val="1"/>
                <w:color w:val="auto"/>
                <w:w w:val="99"/>
              </w:rPr>
              <w:t>Deductions,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20" w:type="dxa"/>
            <w:vAlign w:val="bottom"/>
          </w:tcPr>
          <w:p>
            <w:pPr>
              <w:spacing w:after="0"/>
              <w:rPr>
                <w:sz w:val="13"/>
                <w:szCs w:val="13"/>
                <w:color w:val="auto"/>
              </w:rPr>
            </w:pPr>
          </w:p>
        </w:tc>
      </w:tr>
      <w:tr>
        <w:trPr>
          <w:trHeight w:val="170"/>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of Operation</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20" w:type="dxa"/>
            <w:vAlign w:val="bottom"/>
          </w:tcPr>
          <w:p>
            <w:pPr>
              <w:spacing w:after="0"/>
              <w:rPr>
                <w:sz w:val="14"/>
                <w:szCs w:val="14"/>
                <w:color w:val="auto"/>
              </w:rPr>
            </w:pPr>
          </w:p>
        </w:tc>
      </w:tr>
      <w:tr>
        <w:trPr>
          <w:trHeight w:val="218"/>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allowances for deferred tax assets</w:t>
            </w: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159,540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128,995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1"/>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17"/>
        </w:trPr>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-28575</wp:posOffset>
            </wp:positionV>
            <wp:extent cx="3365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67" w:name="page168"/>
    <w:bookmarkEnd w:id="167"/>
    <w:p>
      <w:pPr>
        <w:ind w:right="1300"/>
        <w:spacing w:after="0" w:line="399"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Attached as exhibits 31.1 and 31.2 to this Annual Report on Form 10-K are certifications of our Chief Executive Officer and our Chief Financial Officer required by Rule 13a-14(a) and 15d-15(e) promulgated under the Securities Exchange Act of 1934, as amended (the “Rule 13a-14(a) and 15d-15(e) Certifications”). This Controls and Procedures section of the Annual Report on Form 10-K includes the information concerning the controls evaluation referred to in the Rule 13a-14(a) and 15d-15(e) Certifications.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of December 31, 2018, the end of the period covered by this Annual Report on Form 10-K. Disclosure controls and procedures (as defined in Rules 13a-15(e) and 15d-15(e) under the Securities Exchange Act of 1934, as amended (the “Exchange Act”)) are designed to provide reasonable assurance that information required to be disclosed by a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its Chief Executive Officer and Chief Financial Officer, as appropriate to allow timely decisions regarding required disclosure.</w:t>
      </w:r>
    </w:p>
    <w:p>
      <w:pPr>
        <w:spacing w:after="0" w:line="186"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Based on management’s evaluation, our principal executive officer and principal financial officer have concluded that our disclosure controls and procedures were effective as of December 31, 2018 at the reasonable assurance level.</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1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Our internal control over financial reporting is a process established under the supervision of and with the participation of our management, including our Chief Executive Officer and our Chief Financial Officer.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Management, with the participation and under the supervision of our Chief Executive Officer and our Chief Financial Officer, evaluated our internal control over financial reporting as of December 31, 2018, the end of our fiscal year, using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set forth by the Committee of Sponsoring Organizations of the Treadway Commission.</w:t>
      </w:r>
    </w:p>
    <w:p>
      <w:pPr>
        <w:spacing w:after="0" w:line="17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Based on management’s evaluation of our internal control over financial reporting, management concluded that, our internal control over financial reporting was effective as of December 31, 2018.</w:t>
      </w:r>
    </w:p>
    <w:p>
      <w:pPr>
        <w:spacing w:after="0" w:line="165"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2018 has been audited by PricewaterhouseCoopers LLP, an independent registered public accounting firm, as stated in their report which appears herein.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most recent fiscal quarter ended December 31, 2018 that materially affected, or is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168" w:name="page169"/>
    <w:bookmarkEnd w:id="1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2019 Annual Meeting of Stockholders to be filed with the SEC within 120 days after the end of the fiscal year ended December 31, 2018.</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3"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8"/>
          <w:szCs w:val="18"/>
          <w:color w:val="auto"/>
        </w:rPr>
        <w:t>We have adopted a Code of Business Conduct which applies to all of our directors, officers and employees. A copy of our Code of Business Conduct can be found on our website (</w:t>
      </w:r>
      <w:r>
        <w:rPr>
          <w:rFonts w:ascii="Times New Roman" w:cs="Times New Roman" w:eastAsia="Times New Roman" w:hAnsi="Times New Roman"/>
          <w:sz w:val="18"/>
          <w:szCs w:val="18"/>
          <w:u w:val="single" w:color="auto"/>
          <w:color w:val="auto"/>
        </w:rPr>
        <w:t>www.FibroGen.com</w:t>
      </w:r>
      <w:r>
        <w:rPr>
          <w:rFonts w:ascii="Times New Roman" w:cs="Times New Roman" w:eastAsia="Times New Roman" w:hAnsi="Times New Roman"/>
          <w:sz w:val="18"/>
          <w:szCs w:val="18"/>
          <w:color w:val="auto"/>
        </w:rPr>
        <w:t>) under “Corporate Governance.” The contents of our website are not a part of this report.</w:t>
      </w:r>
    </w:p>
    <w:p>
      <w:pPr>
        <w:spacing w:after="0" w:line="165" w:lineRule="exact"/>
        <w:rPr>
          <w:sz w:val="20"/>
          <w:szCs w:val="20"/>
          <w:color w:val="auto"/>
        </w:rPr>
      </w:pPr>
    </w:p>
    <w:p>
      <w:pPr>
        <w:ind w:right="680"/>
        <w:spacing w:after="0" w:line="304" w:lineRule="auto"/>
        <w:rPr>
          <w:sz w:val="20"/>
          <w:szCs w:val="20"/>
          <w:color w:val="auto"/>
        </w:rPr>
      </w:pPr>
      <w:r>
        <w:rPr>
          <w:rFonts w:ascii="Times New Roman" w:cs="Times New Roman" w:eastAsia="Times New Roman" w:hAnsi="Times New Roman"/>
          <w:sz w:val="17"/>
          <w:szCs w:val="17"/>
          <w:color w:val="auto"/>
        </w:rPr>
        <w:t>In addition, we intend to promptly disclose the nature of any amendment to, or waiver from, our Code of Business Conduct that applies to our principal executive officer, principal financial officer, principal accounting officer or persons performing similar functions on our website in the future.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2019 Annual Meeting of Stockholders to be filed with the SEC within 120 days after the end of the fiscal year ended December 31, 2018.</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2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2019 Annual Meeting of Stockholders to be filed with the SEC within 120 days after the end of the fiscal year ended December 31, 2018.</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2019 Annual Meeting of Stockholders to be filed with the SEC within 120 days after the end of the fiscal year ended December 31, 2018.</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1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2019 Annual Meeting of Stockholders to be filed with the SEC within 120 days after the end of the fiscal year ended December 31, 2018.</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380"/>
          </w:cols>
          <w:pgMar w:left="240" w:top="331" w:right="27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3" w:lineRule="exact"/>
        <w:rPr>
          <w:sz w:val="20"/>
          <w:szCs w:val="20"/>
          <w:color w:val="auto"/>
        </w:rPr>
      </w:pPr>
    </w:p>
    <w:p>
      <w:pPr>
        <w:ind w:left="260" w:hanging="254"/>
        <w:spacing w:after="0"/>
        <w:tabs>
          <w:tab w:leader="none" w:pos="2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in response to this Item is included in Part II, Item 8 of this Annual Report on Form 10-K.</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13" w:lineRule="exact"/>
        <w:rPr>
          <w:sz w:val="20"/>
          <w:szCs w:val="20"/>
          <w:color w:val="auto"/>
        </w:rPr>
      </w:pPr>
    </w:p>
    <w:p>
      <w:pPr>
        <w:ind w:right="740" w:firstLine="518"/>
        <w:spacing w:after="0" w:line="273" w:lineRule="auto"/>
        <w:rPr>
          <w:sz w:val="20"/>
          <w:szCs w:val="20"/>
          <w:color w:val="auto"/>
        </w:rPr>
      </w:pPr>
      <w:r>
        <w:rPr>
          <w:rFonts w:ascii="Times New Roman" w:cs="Times New Roman" w:eastAsia="Times New Roman" w:hAnsi="Times New Roman"/>
          <w:sz w:val="18"/>
          <w:szCs w:val="18"/>
          <w:color w:val="auto"/>
        </w:rPr>
        <w:t>Schedule II is included on page 166. All other schedules are omitted because they are not required or the required information is included in the consolidated financial statements or notes thereto.</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15(b) below.</w:t>
      </w:r>
    </w:p>
    <w:p>
      <w:pPr>
        <w:spacing w:after="0" w:line="213" w:lineRule="exact"/>
        <w:rPr>
          <w:sz w:val="20"/>
          <w:szCs w:val="20"/>
          <w:color w:val="auto"/>
        </w:rPr>
      </w:pPr>
    </w:p>
    <w:p>
      <w:pPr>
        <w:ind w:right="120" w:firstLine="6"/>
        <w:spacing w:after="0" w:line="262" w:lineRule="auto"/>
        <w:tabs>
          <w:tab w:leader="none" w:pos="2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color w:val="auto"/>
        </w:rPr>
        <w:t>—We have filed, or incorporated into this Annual Report on Form 10-K by reference, the exhibits listed below. Where an exhibit is incorporated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the number in parentheses indicates the document to which cross-reference is made. Refer to the end of this table for a listing of cross-reference documents.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600" w:type="dxa"/>
            <w:vAlign w:val="bottom"/>
            <w:tcBorders>
              <w:bottom w:val="single" w:sz="8" w:color="auto"/>
            </w:tcBorders>
          </w:tcPr>
          <w:p>
            <w:pPr>
              <w:spacing w:after="0"/>
              <w:rPr>
                <w:sz w:val="14"/>
                <w:szCs w:val="14"/>
                <w:color w:val="auto"/>
              </w:rPr>
            </w:pPr>
          </w:p>
        </w:tc>
      </w:tr>
      <w:tr>
        <w:trPr>
          <w:trHeight w:val="152"/>
        </w:trPr>
        <w:tc>
          <w:tcPr>
            <w:tcW w:w="130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17"/>
          </w:tcPr>
          <w:p>
            <w:pPr>
              <w:ind w:left="340"/>
              <w:spacing w:after="0" w:line="15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6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tcPr>
          <w:p>
            <w:pPr>
              <w:spacing w:after="0"/>
              <w:rPr>
                <w:sz w:val="13"/>
                <w:szCs w:val="13"/>
                <w:color w:val="auto"/>
              </w:rPr>
            </w:pPr>
          </w:p>
        </w:tc>
        <w:tc>
          <w:tcPr>
            <w:tcW w:w="1200" w:type="dxa"/>
            <w:vAlign w:val="bottom"/>
            <w:tcBorders>
              <w:bottom w:val="single" w:sz="8" w:color="auto"/>
            </w:tcBorders>
          </w:tcPr>
          <w:p>
            <w:pPr>
              <w:ind w:left="200"/>
              <w:spacing w:after="0" w:line="152"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100" w:type="dxa"/>
            <w:vAlign w:val="bottom"/>
          </w:tcPr>
          <w:p>
            <w:pPr>
              <w:spacing w:after="0"/>
              <w:rPr>
                <w:sz w:val="13"/>
                <w:szCs w:val="13"/>
                <w:color w:val="auto"/>
              </w:rPr>
            </w:pPr>
          </w:p>
        </w:tc>
        <w:tc>
          <w:tcPr>
            <w:tcW w:w="1100" w:type="dxa"/>
            <w:vAlign w:val="bottom"/>
            <w:tcBorders>
              <w:bottom w:val="single" w:sz="8" w:color="auto"/>
            </w:tcBorders>
          </w:tcPr>
          <w:p>
            <w:pPr>
              <w:ind w:left="320"/>
              <w:spacing w:after="0" w:line="15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ind w:left="300"/>
              <w:spacing w:after="0" w:line="152"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11"/>
        </w:trPr>
        <w:tc>
          <w:tcPr>
            <w:tcW w:w="13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4700" w:type="dxa"/>
            <w:vAlign w:val="bottom"/>
            <w:gridSpan w:val="20"/>
          </w:tcPr>
          <w:p>
            <w:pPr>
              <w:spacing w:after="0"/>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Amended and Restated Certificate of Incorporation of FibroGen,</w:t>
              </w:r>
            </w:hyperlink>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7"/>
              </w:rPr>
              <w:t>11/21/2014</w:t>
            </w: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8"/>
                <w:szCs w:val="18"/>
                <w:color w:val="0000EE"/>
                <w:w w:val="94"/>
              </w:rPr>
            </w:pPr>
            <w:hyperlink r:id="rId271">
              <w:r>
                <w:rPr>
                  <w:rFonts w:ascii="Times New Roman" w:cs="Times New Roman" w:eastAsia="Times New Roman" w:hAnsi="Times New Roman"/>
                  <w:sz w:val="18"/>
                  <w:szCs w:val="18"/>
                  <w:color w:val="0000EE"/>
                  <w:w w:val="94"/>
                </w:rPr>
                <w:t>Inc.</w:t>
              </w:r>
            </w:hyperlink>
          </w:p>
        </w:tc>
        <w:tc>
          <w:tcPr>
            <w:tcW w:w="4300" w:type="dxa"/>
            <w:vAlign w:val="bottom"/>
            <w:tcBorders>
              <w:top w:val="single" w:sz="8" w:color="0000EE"/>
            </w:tcBorders>
            <w:gridSpan w:val="17"/>
          </w:tcPr>
          <w:p>
            <w:pPr>
              <w:spacing w:after="0"/>
              <w:rPr>
                <w:sz w:val="16"/>
                <w:szCs w:val="16"/>
                <w:color w:val="auto"/>
              </w:rPr>
            </w:pPr>
          </w:p>
        </w:tc>
        <w:tc>
          <w:tcPr>
            <w:tcW w:w="12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38"/>
        </w:trPr>
        <w:tc>
          <w:tcPr>
            <w:tcW w:w="13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4700" w:type="dxa"/>
            <w:vAlign w:val="bottom"/>
            <w:gridSpan w:val="20"/>
          </w:tcPr>
          <w:p>
            <w:pPr>
              <w:spacing w:after="0"/>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Amended and Restated Bylaws of FibroGen, Inc.</w:t>
              </w:r>
            </w:hyperlink>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7"/>
              </w:rPr>
              <w:t>10/23/2014</w:t>
            </w:r>
          </w:p>
        </w:tc>
      </w:tr>
      <w:tr>
        <w:trPr>
          <w:trHeight w:val="338"/>
        </w:trPr>
        <w:tc>
          <w:tcPr>
            <w:tcW w:w="13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5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r:id="rId273">
              <w:r>
                <w:rPr>
                  <w:rFonts w:ascii="Times New Roman" w:cs="Times New Roman" w:eastAsia="Times New Roman" w:hAnsi="Times New Roman"/>
                  <w:sz w:val="18"/>
                  <w:szCs w:val="18"/>
                  <w:color w:val="0000EE"/>
                  <w:w w:val="97"/>
                </w:rPr>
                <w:t>Form of Common Stock Certificate.</w:t>
              </w:r>
            </w:hyperlink>
          </w:p>
        </w:tc>
        <w:tc>
          <w:tcPr>
            <w:tcW w:w="920" w:type="dxa"/>
            <w:vAlign w:val="bottom"/>
            <w:tcBorders>
              <w:top w:val="single" w:sz="8" w:color="0000EE"/>
            </w:tcBorders>
          </w:tcPr>
          <w:p>
            <w:pPr>
              <w:spacing w:after="0"/>
              <w:rPr>
                <w:sz w:val="24"/>
                <w:szCs w:val="24"/>
                <w:color w:val="auto"/>
              </w:rPr>
            </w:pPr>
          </w:p>
        </w:tc>
        <w:tc>
          <w:tcPr>
            <w:tcW w:w="1220" w:type="dxa"/>
            <w:vAlign w:val="bottom"/>
            <w:gridSpan w:val="16"/>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7"/>
              </w:rPr>
              <w:t>11/21/2014</w:t>
            </w:r>
          </w:p>
        </w:tc>
      </w:tr>
      <w:tr>
        <w:trPr>
          <w:trHeight w:val="338"/>
        </w:trPr>
        <w:tc>
          <w:tcPr>
            <w:tcW w:w="13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43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r:id="rId274">
              <w:r>
                <w:rPr>
                  <w:rFonts w:ascii="Times New Roman" w:cs="Times New Roman" w:eastAsia="Times New Roman" w:hAnsi="Times New Roman"/>
                  <w:sz w:val="18"/>
                  <w:szCs w:val="18"/>
                  <w:color w:val="0000EE"/>
                  <w:w w:val="97"/>
                </w:rPr>
                <w:t>Investor Rights Agreement by and among FibroGen, Inc. and</w:t>
              </w:r>
            </w:hyperlink>
          </w:p>
        </w:tc>
        <w:tc>
          <w:tcPr>
            <w:tcW w:w="360" w:type="dxa"/>
            <w:vAlign w:val="bottom"/>
            <w:gridSpan w:val="7"/>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00" w:type="dxa"/>
            <w:vAlign w:val="bottom"/>
            <w:gridSpan w:val="20"/>
          </w:tcPr>
          <w:p>
            <w:pPr>
              <w:spacing w:after="0" w:line="192"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certain of its stockholders, dated as of December 1995.</w:t>
              </w:r>
            </w:hyperlink>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38"/>
        </w:trPr>
        <w:tc>
          <w:tcPr>
            <w:tcW w:w="13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43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r:id="rId275">
              <w:r>
                <w:rPr>
                  <w:rFonts w:ascii="Times New Roman" w:cs="Times New Roman" w:eastAsia="Times New Roman" w:hAnsi="Times New Roman"/>
                  <w:sz w:val="18"/>
                  <w:szCs w:val="18"/>
                  <w:color w:val="0000EE"/>
                  <w:w w:val="97"/>
                </w:rPr>
                <w:t>Investor Rights Agreement by and among FibroGen, Inc. and</w:t>
              </w:r>
            </w:hyperlink>
          </w:p>
        </w:tc>
        <w:tc>
          <w:tcPr>
            <w:tcW w:w="360" w:type="dxa"/>
            <w:vAlign w:val="bottom"/>
            <w:gridSpan w:val="7"/>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00" w:type="dxa"/>
            <w:vAlign w:val="bottom"/>
            <w:gridSpan w:val="20"/>
          </w:tcPr>
          <w:p>
            <w:pPr>
              <w:spacing w:after="0" w:line="192"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certain of its warrant holders, dated as of February 8, 2000.</w:t>
              </w:r>
            </w:hyperlink>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38"/>
        </w:trPr>
        <w:tc>
          <w:tcPr>
            <w:tcW w:w="13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44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r:id="rId276">
              <w:r>
                <w:rPr>
                  <w:rFonts w:ascii="Times New Roman" w:cs="Times New Roman" w:eastAsia="Times New Roman" w:hAnsi="Times New Roman"/>
                  <w:sz w:val="18"/>
                  <w:szCs w:val="18"/>
                  <w:color w:val="0000EE"/>
                  <w:w w:val="97"/>
                </w:rPr>
                <w:t>Warrant to Purchase 11,076 Shares of Common Stock issued to</w:t>
              </w:r>
            </w:hyperlink>
          </w:p>
        </w:tc>
        <w:tc>
          <w:tcPr>
            <w:tcW w:w="220" w:type="dxa"/>
            <w:vAlign w:val="bottom"/>
            <w:gridSpan w:val="5"/>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r:id="rId276">
              <w:r>
                <w:rPr>
                  <w:rFonts w:ascii="Times New Roman" w:cs="Times New Roman" w:eastAsia="Times New Roman" w:hAnsi="Times New Roman"/>
                  <w:sz w:val="18"/>
                  <w:szCs w:val="18"/>
                  <w:color w:val="0000EE"/>
                  <w:w w:val="97"/>
                </w:rPr>
                <w:t>Bristow Investments, L.P, dated as of February 8, 2000.</w:t>
              </w:r>
            </w:hyperlink>
          </w:p>
        </w:tc>
        <w:tc>
          <w:tcPr>
            <w:tcW w:w="760" w:type="dxa"/>
            <w:vAlign w:val="bottom"/>
            <w:gridSpan w:val="14"/>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38"/>
        </w:trPr>
        <w:tc>
          <w:tcPr>
            <w:tcW w:w="13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4700" w:type="dxa"/>
            <w:vAlign w:val="bottom"/>
            <w:gridSpan w:val="20"/>
          </w:tcPr>
          <w:p>
            <w:pPr>
              <w:spacing w:after="0"/>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Shareholders’ Agreement by and among FibroGen International</w:t>
              </w:r>
            </w:hyperlink>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8"/>
              </w:rPr>
              <w:t>11/8/2017</w:t>
            </w: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20" w:type="dxa"/>
            <w:vAlign w:val="bottom"/>
            <w:tcBorders>
              <w:top w:val="single" w:sz="8" w:color="0000EE"/>
            </w:tcBorders>
            <w:gridSpan w:val="16"/>
          </w:tcPr>
          <w:p>
            <w:pPr>
              <w:spacing w:after="0" w:line="192"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(Cayman) Limited and certain of its shareholders, dated as of</w:t>
              </w:r>
            </w:hyperlink>
          </w:p>
        </w:tc>
        <w:tc>
          <w:tcPr>
            <w:tcW w:w="180" w:type="dxa"/>
            <w:vAlign w:val="bottom"/>
            <w:gridSpan w:val="4"/>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8"/>
                <w:szCs w:val="18"/>
                <w:color w:val="0000EE"/>
                <w:w w:val="97"/>
              </w:rPr>
            </w:pPr>
            <w:hyperlink r:id="rId277">
              <w:r>
                <w:rPr>
                  <w:rFonts w:ascii="Times New Roman" w:cs="Times New Roman" w:eastAsia="Times New Roman" w:hAnsi="Times New Roman"/>
                  <w:sz w:val="18"/>
                  <w:szCs w:val="18"/>
                  <w:color w:val="0000EE"/>
                  <w:w w:val="97"/>
                </w:rPr>
                <w:t>September 8, 2017.</w:t>
              </w:r>
            </w:hyperlink>
          </w:p>
        </w:tc>
        <w:tc>
          <w:tcPr>
            <w:tcW w:w="2940" w:type="dxa"/>
            <w:vAlign w:val="bottom"/>
            <w:tcBorders>
              <w:top w:val="single" w:sz="8" w:color="0000EE"/>
            </w:tcBorders>
            <w:gridSpan w:val="10"/>
          </w:tcPr>
          <w:p>
            <w:pPr>
              <w:spacing w:after="0"/>
              <w:rPr>
                <w:sz w:val="16"/>
                <w:szCs w:val="16"/>
                <w:color w:val="auto"/>
              </w:rPr>
            </w:pPr>
          </w:p>
        </w:tc>
        <w:tc>
          <w:tcPr>
            <w:tcW w:w="380" w:type="dxa"/>
            <w:vAlign w:val="bottom"/>
            <w:gridSpan w:val="8"/>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38"/>
        </w:trPr>
        <w:tc>
          <w:tcPr>
            <w:tcW w:w="13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4"/>
                <w:szCs w:val="24"/>
                <w:color w:val="auto"/>
              </w:rPr>
            </w:pPr>
          </w:p>
        </w:tc>
        <w:tc>
          <w:tcPr>
            <w:tcW w:w="4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278">
              <w:r>
                <w:rPr>
                  <w:rFonts w:ascii="Times New Roman" w:cs="Times New Roman" w:eastAsia="Times New Roman" w:hAnsi="Times New Roman"/>
                  <w:sz w:val="18"/>
                  <w:szCs w:val="18"/>
                  <w:color w:val="0000EE"/>
                  <w:w w:val="97"/>
                </w:rPr>
                <w:t>Common Stock Purchase Agreement by and between FibroGen,</w:t>
              </w:r>
            </w:hyperlink>
          </w:p>
        </w:tc>
        <w:tc>
          <w:tcPr>
            <w:tcW w:w="160" w:type="dxa"/>
            <w:vAlign w:val="bottom"/>
            <w:gridSpan w:val="3"/>
          </w:tcPr>
          <w:p>
            <w:pPr>
              <w:spacing w:after="0"/>
              <w:rPr>
                <w:sz w:val="24"/>
                <w:szCs w:val="24"/>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7"/>
              </w:rPr>
              <w:t>10/24/2014</w:t>
            </w: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tcBorders>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r:id="rId278">
              <w:r>
                <w:rPr>
                  <w:rFonts w:ascii="Times New Roman" w:cs="Times New Roman" w:eastAsia="Times New Roman" w:hAnsi="Times New Roman"/>
                  <w:sz w:val="18"/>
                  <w:szCs w:val="18"/>
                  <w:color w:val="0000EE"/>
                  <w:w w:val="97"/>
                </w:rPr>
                <w:t>Inc. and AstraZeneca AB, dated as of October 20, 2014.</w:t>
              </w:r>
            </w:hyperlink>
          </w:p>
        </w:tc>
        <w:tc>
          <w:tcPr>
            <w:tcW w:w="720" w:type="dxa"/>
            <w:vAlign w:val="bottom"/>
            <w:gridSpan w:val="12"/>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38"/>
        </w:trPr>
        <w:tc>
          <w:tcPr>
            <w:tcW w:w="130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w w:val="95"/>
              </w:rPr>
              <w:t>10.1(i)+</w:t>
            </w:r>
          </w:p>
        </w:tc>
        <w:tc>
          <w:tcPr>
            <w:tcW w:w="80" w:type="dxa"/>
            <w:vAlign w:val="bottom"/>
          </w:tcPr>
          <w:p>
            <w:pPr>
              <w:spacing w:after="0"/>
              <w:rPr>
                <w:sz w:val="24"/>
                <w:szCs w:val="24"/>
                <w:color w:val="auto"/>
              </w:rPr>
            </w:pPr>
          </w:p>
        </w:tc>
        <w:tc>
          <w:tcPr>
            <w:tcW w:w="4700" w:type="dxa"/>
            <w:vAlign w:val="bottom"/>
            <w:gridSpan w:val="20"/>
          </w:tcPr>
          <w:p>
            <w:pPr>
              <w:spacing w:after="0"/>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FibroGen, Inc. Amended and Restated 2005 Stock Plan.</w:t>
              </w:r>
            </w:hyperlink>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10.3(i)</w:t>
            </w: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38"/>
        </w:trPr>
        <w:tc>
          <w:tcPr>
            <w:tcW w:w="130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w w:val="97"/>
              </w:rPr>
              <w:t>10.1(ii)+</w:t>
            </w:r>
          </w:p>
        </w:tc>
        <w:tc>
          <w:tcPr>
            <w:tcW w:w="80" w:type="dxa"/>
            <w:vAlign w:val="bottom"/>
          </w:tcPr>
          <w:p>
            <w:pPr>
              <w:spacing w:after="0"/>
              <w:rPr>
                <w:sz w:val="24"/>
                <w:szCs w:val="24"/>
                <w:color w:val="auto"/>
              </w:rPr>
            </w:pPr>
          </w:p>
        </w:tc>
        <w:tc>
          <w:tcPr>
            <w:tcW w:w="4700" w:type="dxa"/>
            <w:vAlign w:val="bottom"/>
            <w:gridSpan w:val="20"/>
          </w:tcPr>
          <w:p>
            <w:pPr>
              <w:spacing w:after="0"/>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Forms of stock option agreement, restricted stock purchase</w:t>
              </w:r>
            </w:hyperlink>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10.3(ii)</w:t>
            </w: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4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7"/>
              </w:rPr>
            </w:pPr>
            <w:hyperlink r:id="rId280">
              <w:r>
                <w:rPr>
                  <w:rFonts w:ascii="Times New Roman" w:cs="Times New Roman" w:eastAsia="Times New Roman" w:hAnsi="Times New Roman"/>
                  <w:sz w:val="18"/>
                  <w:szCs w:val="18"/>
                  <w:color w:val="0000EE"/>
                  <w:w w:val="97"/>
                </w:rPr>
                <w:t>agreement and stock appreciation right agreement under the</w:t>
              </w:r>
            </w:hyperlink>
          </w:p>
        </w:tc>
        <w:tc>
          <w:tcPr>
            <w:tcW w:w="460" w:type="dxa"/>
            <w:vAlign w:val="bottom"/>
            <w:gridSpan w:val="9"/>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00" w:type="dxa"/>
            <w:vAlign w:val="bottom"/>
            <w:gridSpan w:val="20"/>
          </w:tcPr>
          <w:p>
            <w:pPr>
              <w:spacing w:after="0" w:line="192"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FibroGen, Inc. Amended and Restated 2005 Stock Plan.</w:t>
              </w:r>
            </w:hyperlink>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38"/>
        </w:trPr>
        <w:tc>
          <w:tcPr>
            <w:tcW w:w="130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96"/>
              </w:rPr>
              <w:t>10.1(iii)+</w:t>
            </w:r>
          </w:p>
        </w:tc>
        <w:tc>
          <w:tcPr>
            <w:tcW w:w="80" w:type="dxa"/>
            <w:vAlign w:val="bottom"/>
          </w:tcPr>
          <w:p>
            <w:pPr>
              <w:spacing w:after="0"/>
              <w:rPr>
                <w:sz w:val="24"/>
                <w:szCs w:val="24"/>
                <w:color w:val="auto"/>
              </w:rPr>
            </w:pPr>
          </w:p>
        </w:tc>
        <w:tc>
          <w:tcPr>
            <w:tcW w:w="4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r:id="rId281">
              <w:r>
                <w:rPr>
                  <w:rFonts w:ascii="Times New Roman" w:cs="Times New Roman" w:eastAsia="Times New Roman" w:hAnsi="Times New Roman"/>
                  <w:sz w:val="18"/>
                  <w:szCs w:val="18"/>
                  <w:color w:val="0000EE"/>
                  <w:w w:val="97"/>
                </w:rPr>
                <w:t>Form of stock option agreement under the FibroGen, Inc.</w:t>
              </w:r>
            </w:hyperlink>
          </w:p>
        </w:tc>
        <w:tc>
          <w:tcPr>
            <w:tcW w:w="640" w:type="dxa"/>
            <w:vAlign w:val="bottom"/>
            <w:gridSpan w:val="11"/>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10.3(iii)</w:t>
            </w:r>
          </w:p>
        </w:tc>
        <w:tc>
          <w:tcPr>
            <w:tcW w:w="160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192"/>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tcBorders>
              <w:bottom w:val="single" w:sz="8" w:color="0000EE"/>
            </w:tcBorders>
            <w:gridSpan w:val="14"/>
          </w:tcPr>
          <w:p>
            <w:pPr>
              <w:spacing w:after="0" w:line="192" w:lineRule="exact"/>
              <w:rPr>
                <w:rFonts w:ascii="Times New Roman" w:cs="Times New Roman" w:eastAsia="Times New Roman" w:hAnsi="Times New Roman"/>
                <w:sz w:val="18"/>
                <w:szCs w:val="18"/>
                <w:color w:val="0000EE"/>
                <w:w w:val="97"/>
              </w:rPr>
            </w:pPr>
            <w:hyperlink r:id="rId281">
              <w:r>
                <w:rPr>
                  <w:rFonts w:ascii="Times New Roman" w:cs="Times New Roman" w:eastAsia="Times New Roman" w:hAnsi="Times New Roman"/>
                  <w:sz w:val="18"/>
                  <w:szCs w:val="18"/>
                  <w:color w:val="0000EE"/>
                  <w:w w:val="97"/>
                </w:rPr>
                <w:t>Amended and Restated 2005 Stock Plan applicable to options</w:t>
              </w:r>
            </w:hyperlink>
          </w:p>
        </w:tc>
        <w:tc>
          <w:tcPr>
            <w:tcW w:w="340" w:type="dxa"/>
            <w:vAlign w:val="bottom"/>
            <w:gridSpan w:val="6"/>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spacing w:after="0" w:line="8" w:lineRule="exact"/>
        <w:rPr>
          <w:sz w:val="20"/>
          <w:szCs w:val="20"/>
          <w:color w:val="auto"/>
        </w:rPr>
      </w:pPr>
    </w:p>
    <w:p>
      <w:pPr>
        <w:ind w:left="1380"/>
        <w:spacing w:after="0"/>
        <w:rPr>
          <w:rFonts w:ascii="Times New Roman" w:cs="Times New Roman" w:eastAsia="Times New Roman" w:hAnsi="Times New Roman"/>
          <w:sz w:val="18"/>
          <w:szCs w:val="18"/>
          <w:u w:val="single" w:color="auto"/>
          <w:color w:val="0000EE"/>
        </w:rPr>
      </w:pPr>
      <w:hyperlink r:id="rId281">
        <w:r>
          <w:rPr>
            <w:rFonts w:ascii="Times New Roman" w:cs="Times New Roman" w:eastAsia="Times New Roman" w:hAnsi="Times New Roman"/>
            <w:sz w:val="18"/>
            <w:szCs w:val="18"/>
            <w:u w:val="single" w:color="auto"/>
            <w:color w:val="0000EE"/>
          </w:rPr>
          <w:t>exchanged pursuant to FibroGen, Inc.’s 2010 amendment and</w:t>
        </w:r>
      </w:hyperlink>
    </w:p>
    <w:p>
      <w:pPr>
        <w:spacing w:after="0" w:line="24" w:lineRule="exact"/>
        <w:rPr>
          <w:sz w:val="20"/>
          <w:szCs w:val="20"/>
          <w:color w:val="auto"/>
        </w:rPr>
      </w:pPr>
    </w:p>
    <w:p>
      <w:pPr>
        <w:ind w:left="1380"/>
        <w:spacing w:after="0"/>
        <w:rPr>
          <w:rFonts w:ascii="Times New Roman" w:cs="Times New Roman" w:eastAsia="Times New Roman" w:hAnsi="Times New Roman"/>
          <w:sz w:val="18"/>
          <w:szCs w:val="18"/>
          <w:u w:val="single" w:color="auto"/>
          <w:color w:val="0000EE"/>
        </w:rPr>
      </w:pPr>
      <w:hyperlink r:id="rId281">
        <w:r>
          <w:rPr>
            <w:rFonts w:ascii="Times New Roman" w:cs="Times New Roman" w:eastAsia="Times New Roman" w:hAnsi="Times New Roman"/>
            <w:sz w:val="18"/>
            <w:szCs w:val="18"/>
            <w:u w:val="single" w:color="auto"/>
            <w:color w:val="0000EE"/>
          </w:rPr>
          <w:t>exchange offer.</w:t>
        </w:r>
      </w:hyperlink>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10.1(iv)+</w:t>
            </w:r>
          </w:p>
        </w:tc>
        <w:tc>
          <w:tcPr>
            <w:tcW w:w="45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8"/>
              </w:rPr>
            </w:pPr>
            <w:hyperlink r:id="rId283">
              <w:r>
                <w:rPr>
                  <w:rFonts w:ascii="Times New Roman" w:cs="Times New Roman" w:eastAsia="Times New Roman" w:hAnsi="Times New Roman"/>
                  <w:sz w:val="18"/>
                  <w:szCs w:val="18"/>
                  <w:color w:val="0000EE"/>
                  <w:w w:val="98"/>
                </w:rPr>
                <w:t>Form of 2010 amendment to the form of stock option agreement</w:t>
              </w:r>
            </w:hyperlink>
          </w:p>
        </w:tc>
        <w:tc>
          <w:tcPr>
            <w:tcW w:w="40" w:type="dxa"/>
            <w:vAlign w:val="bottom"/>
            <w:gridSpan w:val="2"/>
          </w:tcPr>
          <w:p>
            <w:pPr>
              <w:spacing w:after="0"/>
              <w:rPr>
                <w:sz w:val="17"/>
                <w:szCs w:val="17"/>
                <w:color w:val="auto"/>
              </w:rPr>
            </w:pPr>
          </w:p>
        </w:tc>
      </w:tr>
      <w:tr>
        <w:trPr>
          <w:trHeight w:val="192"/>
        </w:trPr>
        <w:tc>
          <w:tcPr>
            <w:tcW w:w="1380" w:type="dxa"/>
            <w:vAlign w:val="bottom"/>
          </w:tcPr>
          <w:p>
            <w:pPr>
              <w:spacing w:after="0"/>
              <w:rPr>
                <w:sz w:val="16"/>
                <w:szCs w:val="16"/>
                <w:color w:val="auto"/>
              </w:rPr>
            </w:pPr>
          </w:p>
        </w:tc>
        <w:tc>
          <w:tcPr>
            <w:tcW w:w="4280" w:type="dxa"/>
            <w:vAlign w:val="bottom"/>
            <w:tcBorders>
              <w:bottom w:val="single" w:sz="8" w:color="0000EE"/>
            </w:tcBorders>
            <w:gridSpan w:val="19"/>
          </w:tcPr>
          <w:p>
            <w:pPr>
              <w:spacing w:after="0" w:line="192" w:lineRule="exact"/>
              <w:rPr>
                <w:rFonts w:ascii="Times New Roman" w:cs="Times New Roman" w:eastAsia="Times New Roman" w:hAnsi="Times New Roman"/>
                <w:sz w:val="18"/>
                <w:szCs w:val="18"/>
                <w:color w:val="0000EE"/>
                <w:w w:val="97"/>
              </w:rPr>
            </w:pPr>
            <w:hyperlink r:id="rId283">
              <w:r>
                <w:rPr>
                  <w:rFonts w:ascii="Times New Roman" w:cs="Times New Roman" w:eastAsia="Times New Roman" w:hAnsi="Times New Roman"/>
                  <w:sz w:val="18"/>
                  <w:szCs w:val="18"/>
                  <w:color w:val="0000EE"/>
                  <w:w w:val="97"/>
                </w:rPr>
                <w:t>under the FibroGen, Inc. Amended and Restated 2005 Stock</w:t>
              </w:r>
            </w:hyperlink>
          </w:p>
        </w:tc>
        <w:tc>
          <w:tcPr>
            <w:tcW w:w="340" w:type="dxa"/>
            <w:vAlign w:val="bottom"/>
            <w:gridSpan w:val="13"/>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60" w:type="dxa"/>
            <w:vAlign w:val="bottom"/>
            <w:tcBorders>
              <w:bottom w:val="single" w:sz="8" w:color="0000EE"/>
            </w:tcBorders>
            <w:gridSpan w:val="29"/>
          </w:tcPr>
          <w:p>
            <w:pPr>
              <w:spacing w:after="0" w:line="192" w:lineRule="exact"/>
              <w:rPr>
                <w:rFonts w:ascii="Times New Roman" w:cs="Times New Roman" w:eastAsia="Times New Roman" w:hAnsi="Times New Roman"/>
                <w:sz w:val="18"/>
                <w:szCs w:val="18"/>
                <w:color w:val="0000EE"/>
                <w:w w:val="97"/>
              </w:rPr>
            </w:pPr>
            <w:hyperlink r:id="rId283">
              <w:r>
                <w:rPr>
                  <w:rFonts w:ascii="Times New Roman" w:cs="Times New Roman" w:eastAsia="Times New Roman" w:hAnsi="Times New Roman"/>
                  <w:sz w:val="18"/>
                  <w:szCs w:val="18"/>
                  <w:color w:val="0000EE"/>
                  <w:w w:val="97"/>
                </w:rPr>
                <w:t>Plan applicable to options amended pursuant to FibroGen, Inc.’s</w:t>
              </w:r>
            </w:hyperlink>
          </w:p>
        </w:tc>
        <w:tc>
          <w:tcPr>
            <w:tcW w:w="60" w:type="dxa"/>
            <w:vAlign w:val="bottom"/>
            <w:gridSpan w:val="3"/>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266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r:id="rId283">
              <w:r>
                <w:rPr>
                  <w:rFonts w:ascii="Times New Roman" w:cs="Times New Roman" w:eastAsia="Times New Roman" w:hAnsi="Times New Roman"/>
                  <w:sz w:val="18"/>
                  <w:szCs w:val="18"/>
                  <w:color w:val="0000EE"/>
                  <w:w w:val="97"/>
                </w:rPr>
                <w:t>2010 amendment and exchange offer.</w:t>
              </w:r>
            </w:hyperlink>
          </w:p>
        </w:tc>
        <w:tc>
          <w:tcPr>
            <w:tcW w:w="1960" w:type="dxa"/>
            <w:vAlign w:val="bottom"/>
            <w:gridSpan w:val="26"/>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10.1(v)+</w:t>
            </w:r>
          </w:p>
        </w:tc>
        <w:tc>
          <w:tcPr>
            <w:tcW w:w="45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8"/>
              </w:rPr>
            </w:pPr>
            <w:hyperlink r:id="rId284">
              <w:r>
                <w:rPr>
                  <w:rFonts w:ascii="Times New Roman" w:cs="Times New Roman" w:eastAsia="Times New Roman" w:hAnsi="Times New Roman"/>
                  <w:sz w:val="18"/>
                  <w:szCs w:val="18"/>
                  <w:color w:val="0000EE"/>
                  <w:w w:val="98"/>
                </w:rPr>
                <w:t>Form of 2013 amendment to the form of stock option agreement</w:t>
              </w:r>
            </w:hyperlink>
          </w:p>
        </w:tc>
        <w:tc>
          <w:tcPr>
            <w:tcW w:w="40" w:type="dxa"/>
            <w:vAlign w:val="bottom"/>
            <w:gridSpan w:val="2"/>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280" w:type="dxa"/>
            <w:vAlign w:val="bottom"/>
            <w:tcBorders>
              <w:bottom w:val="single" w:sz="8" w:color="0000EE"/>
            </w:tcBorders>
            <w:gridSpan w:val="19"/>
          </w:tcPr>
          <w:p>
            <w:pPr>
              <w:spacing w:after="0" w:line="192" w:lineRule="exact"/>
              <w:rPr>
                <w:rFonts w:ascii="Times New Roman" w:cs="Times New Roman" w:eastAsia="Times New Roman" w:hAnsi="Times New Roman"/>
                <w:sz w:val="18"/>
                <w:szCs w:val="18"/>
                <w:color w:val="0000EE"/>
                <w:w w:val="97"/>
              </w:rPr>
            </w:pPr>
            <w:hyperlink r:id="rId284">
              <w:r>
                <w:rPr>
                  <w:rFonts w:ascii="Times New Roman" w:cs="Times New Roman" w:eastAsia="Times New Roman" w:hAnsi="Times New Roman"/>
                  <w:sz w:val="18"/>
                  <w:szCs w:val="18"/>
                  <w:color w:val="0000EE"/>
                  <w:w w:val="97"/>
                </w:rPr>
                <w:t>under the FibroGen, Inc. Amended and Restated 2005 Stock</w:t>
              </w:r>
            </w:hyperlink>
          </w:p>
        </w:tc>
        <w:tc>
          <w:tcPr>
            <w:tcW w:w="340" w:type="dxa"/>
            <w:vAlign w:val="bottom"/>
            <w:gridSpan w:val="13"/>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34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7"/>
              </w:rPr>
            </w:pPr>
            <w:hyperlink r:id="rId284">
              <w:r>
                <w:rPr>
                  <w:rFonts w:ascii="Times New Roman" w:cs="Times New Roman" w:eastAsia="Times New Roman" w:hAnsi="Times New Roman"/>
                  <w:sz w:val="18"/>
                  <w:szCs w:val="18"/>
                  <w:color w:val="0000EE"/>
                  <w:w w:val="97"/>
                </w:rPr>
                <w:t>Plan applicable to options amended or exchanged pursuant to</w:t>
              </w:r>
            </w:hyperlink>
          </w:p>
        </w:tc>
        <w:tc>
          <w:tcPr>
            <w:tcW w:w="280" w:type="dxa"/>
            <w:vAlign w:val="bottom"/>
            <w:gridSpan w:val="11"/>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32"/>
          </w:tcPr>
          <w:p>
            <w:pPr>
              <w:spacing w:after="0" w:line="192"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FibroGen, Inc.’s 2010 amendment and exchange offer.</w:t>
              </w:r>
            </w:hyperlink>
          </w:p>
        </w:tc>
      </w:tr>
      <w:tr>
        <w:trPr>
          <w:trHeight w:val="20"/>
        </w:trPr>
        <w:tc>
          <w:tcPr>
            <w:tcW w:w="13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9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r:id="rId285">
              <w:r>
                <w:rPr>
                  <w:rFonts w:ascii="Times New Roman" w:cs="Times New Roman" w:eastAsia="Times New Roman" w:hAnsi="Times New Roman"/>
                  <w:sz w:val="18"/>
                  <w:szCs w:val="18"/>
                  <w:color w:val="0000EE"/>
                  <w:w w:val="97"/>
                </w:rPr>
                <w:t>FibroGen, Inc. 2014 Equity Incentive Plan and forms of</w:t>
              </w:r>
            </w:hyperlink>
          </w:p>
        </w:tc>
        <w:tc>
          <w:tcPr>
            <w:tcW w:w="660" w:type="dxa"/>
            <w:vAlign w:val="bottom"/>
            <w:gridSpan w:val="19"/>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1580" w:type="dxa"/>
            <w:vAlign w:val="bottom"/>
            <w:tcBorders>
              <w:bottom w:val="single" w:sz="8" w:color="0000EE"/>
            </w:tcBorders>
            <w:gridSpan w:val="3"/>
          </w:tcPr>
          <w:p>
            <w:pPr>
              <w:spacing w:after="0" w:line="192" w:lineRule="exact"/>
              <w:rPr>
                <w:rFonts w:ascii="Times New Roman" w:cs="Times New Roman" w:eastAsia="Times New Roman" w:hAnsi="Times New Roman"/>
                <w:sz w:val="18"/>
                <w:szCs w:val="18"/>
                <w:color w:val="0000EE"/>
                <w:w w:val="96"/>
              </w:rPr>
            </w:pPr>
            <w:hyperlink r:id="rId285">
              <w:r>
                <w:rPr>
                  <w:rFonts w:ascii="Times New Roman" w:cs="Times New Roman" w:eastAsia="Times New Roman" w:hAnsi="Times New Roman"/>
                  <w:sz w:val="18"/>
                  <w:szCs w:val="18"/>
                  <w:color w:val="0000EE"/>
                  <w:w w:val="96"/>
                </w:rPr>
                <w:t>agreement thereunder.</w:t>
              </w:r>
            </w:hyperlink>
          </w:p>
        </w:tc>
        <w:tc>
          <w:tcPr>
            <w:tcW w:w="3040" w:type="dxa"/>
            <w:vAlign w:val="bottom"/>
            <w:gridSpan w:val="29"/>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620" w:type="dxa"/>
            <w:vAlign w:val="bottom"/>
            <w:gridSpan w:val="32"/>
          </w:tcPr>
          <w:p>
            <w:pPr>
              <w:spacing w:after="0"/>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FibroGen, Inc. 2014 Employee Stock Purchase Plan.</w:t>
              </w:r>
            </w:hyperlink>
          </w:p>
        </w:tc>
      </w:tr>
      <w:tr>
        <w:trPr>
          <w:trHeight w:val="20"/>
        </w:trPr>
        <w:tc>
          <w:tcPr>
            <w:tcW w:w="13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7"/>
              </w:rPr>
            </w:pPr>
            <w:hyperlink r:id="rId287">
              <w:r>
                <w:rPr>
                  <w:rFonts w:ascii="Times New Roman" w:cs="Times New Roman" w:eastAsia="Times New Roman" w:hAnsi="Times New Roman"/>
                  <w:sz w:val="18"/>
                  <w:szCs w:val="18"/>
                  <w:color w:val="0000EE"/>
                  <w:w w:val="97"/>
                </w:rPr>
                <w:t>FibroGen, Inc. Non-Employee Director Compensation Policy, as</w:t>
              </w:r>
            </w:hyperlink>
          </w:p>
        </w:tc>
        <w:tc>
          <w:tcPr>
            <w:tcW w:w="2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32"/>
          </w:tcPr>
          <w:p>
            <w:pPr>
              <w:spacing w:after="0" w:line="192"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amended.</w:t>
              </w:r>
            </w:hyperlink>
          </w:p>
        </w:tc>
      </w:tr>
      <w:tr>
        <w:trPr>
          <w:trHeight w:val="20"/>
        </w:trPr>
        <w:tc>
          <w:tcPr>
            <w:tcW w:w="13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r:id="rId288">
              <w:r>
                <w:rPr>
                  <w:rFonts w:ascii="Times New Roman" w:cs="Times New Roman" w:eastAsia="Times New Roman" w:hAnsi="Times New Roman"/>
                  <w:sz w:val="18"/>
                  <w:szCs w:val="18"/>
                  <w:color w:val="0000EE"/>
                  <w:w w:val="97"/>
                </w:rPr>
                <w:t>FibroGen, Inc. 2018 Bonus Plan.</w:t>
              </w:r>
            </w:hyperlink>
          </w:p>
        </w:tc>
        <w:tc>
          <w:tcPr>
            <w:tcW w:w="2280" w:type="dxa"/>
            <w:vAlign w:val="bottom"/>
            <w:gridSpan w:val="28"/>
          </w:tcPr>
          <w:p>
            <w:pPr>
              <w:spacing w:after="0"/>
              <w:rPr>
                <w:sz w:val="24"/>
                <w:szCs w:val="24"/>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r:id="rId289">
              <w:r>
                <w:rPr>
                  <w:rFonts w:ascii="Times New Roman" w:cs="Times New Roman" w:eastAsia="Times New Roman" w:hAnsi="Times New Roman"/>
                  <w:sz w:val="18"/>
                  <w:szCs w:val="18"/>
                  <w:color w:val="0000EE"/>
                  <w:w w:val="97"/>
                </w:rPr>
                <w:t>Lease Agreement by and between FibroGen, Inc. and X-4</w:t>
              </w:r>
            </w:hyperlink>
          </w:p>
        </w:tc>
        <w:tc>
          <w:tcPr>
            <w:tcW w:w="520" w:type="dxa"/>
            <w:vAlign w:val="bottom"/>
            <w:gridSpan w:val="17"/>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420" w:type="dxa"/>
            <w:vAlign w:val="bottom"/>
            <w:tcBorders>
              <w:bottom w:val="single" w:sz="8" w:color="0000EE"/>
            </w:tcBorders>
            <w:gridSpan w:val="26"/>
          </w:tcPr>
          <w:p>
            <w:pPr>
              <w:spacing w:after="0" w:line="192" w:lineRule="exact"/>
              <w:rPr>
                <w:rFonts w:ascii="Times New Roman" w:cs="Times New Roman" w:eastAsia="Times New Roman" w:hAnsi="Times New Roman"/>
                <w:sz w:val="18"/>
                <w:szCs w:val="18"/>
                <w:color w:val="0000EE"/>
                <w:w w:val="97"/>
              </w:rPr>
            </w:pPr>
            <w:hyperlink r:id="rId289">
              <w:r>
                <w:rPr>
                  <w:rFonts w:ascii="Times New Roman" w:cs="Times New Roman" w:eastAsia="Times New Roman" w:hAnsi="Times New Roman"/>
                  <w:sz w:val="18"/>
                  <w:szCs w:val="18"/>
                  <w:color w:val="0000EE"/>
                  <w:w w:val="97"/>
                </w:rPr>
                <w:t>Dolphin LLC, dated as of September 22, 2006; as amended by</w:t>
              </w:r>
            </w:hyperlink>
          </w:p>
        </w:tc>
        <w:tc>
          <w:tcPr>
            <w:tcW w:w="200" w:type="dxa"/>
            <w:vAlign w:val="bottom"/>
            <w:gridSpan w:val="6"/>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420" w:type="dxa"/>
            <w:vAlign w:val="bottom"/>
            <w:tcBorders>
              <w:bottom w:val="single" w:sz="8" w:color="0000EE"/>
            </w:tcBorders>
            <w:gridSpan w:val="26"/>
          </w:tcPr>
          <w:p>
            <w:pPr>
              <w:spacing w:after="0" w:line="192" w:lineRule="exact"/>
              <w:rPr>
                <w:rFonts w:ascii="Times New Roman" w:cs="Times New Roman" w:eastAsia="Times New Roman" w:hAnsi="Times New Roman"/>
                <w:sz w:val="18"/>
                <w:szCs w:val="18"/>
                <w:color w:val="0000EE"/>
                <w:w w:val="97"/>
              </w:rPr>
            </w:pPr>
            <w:hyperlink r:id="rId289">
              <w:r>
                <w:rPr>
                  <w:rFonts w:ascii="Times New Roman" w:cs="Times New Roman" w:eastAsia="Times New Roman" w:hAnsi="Times New Roman"/>
                  <w:sz w:val="18"/>
                  <w:szCs w:val="18"/>
                  <w:color w:val="0000EE"/>
                  <w:w w:val="97"/>
                </w:rPr>
                <w:t>First Amendment to Lease by and between FibroGen, Inc. and</w:t>
              </w:r>
            </w:hyperlink>
          </w:p>
        </w:tc>
        <w:tc>
          <w:tcPr>
            <w:tcW w:w="200" w:type="dxa"/>
            <w:vAlign w:val="bottom"/>
            <w:gridSpan w:val="6"/>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60" w:type="dxa"/>
            <w:vAlign w:val="bottom"/>
            <w:tcBorders>
              <w:bottom w:val="single" w:sz="8" w:color="0000EE"/>
            </w:tcBorders>
            <w:gridSpan w:val="29"/>
          </w:tcPr>
          <w:p>
            <w:pPr>
              <w:spacing w:after="0" w:line="192" w:lineRule="exact"/>
              <w:rPr>
                <w:rFonts w:ascii="Times New Roman" w:cs="Times New Roman" w:eastAsia="Times New Roman" w:hAnsi="Times New Roman"/>
                <w:sz w:val="18"/>
                <w:szCs w:val="18"/>
                <w:color w:val="0000EE"/>
                <w:w w:val="97"/>
              </w:rPr>
            </w:pPr>
            <w:hyperlink r:id="rId289">
              <w:r>
                <w:rPr>
                  <w:rFonts w:ascii="Times New Roman" w:cs="Times New Roman" w:eastAsia="Times New Roman" w:hAnsi="Times New Roman"/>
                  <w:sz w:val="18"/>
                  <w:szCs w:val="18"/>
                  <w:color w:val="0000EE"/>
                  <w:w w:val="97"/>
                </w:rPr>
                <w:t>X-4 Dolphin LLC, dated as of October 10, 2007; as amended by</w:t>
              </w:r>
            </w:hyperlink>
          </w:p>
        </w:tc>
        <w:tc>
          <w:tcPr>
            <w:tcW w:w="60" w:type="dxa"/>
            <w:vAlign w:val="bottom"/>
            <w:gridSpan w:val="3"/>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32"/>
          </w:tcPr>
          <w:p>
            <w:pPr>
              <w:spacing w:after="0" w:line="192" w:lineRule="exact"/>
              <w:rPr>
                <w:rFonts w:ascii="Times New Roman" w:cs="Times New Roman" w:eastAsia="Times New Roman" w:hAnsi="Times New Roman"/>
                <w:sz w:val="18"/>
                <w:szCs w:val="18"/>
                <w:color w:val="0000EE"/>
                <w:w w:val="97"/>
              </w:rPr>
            </w:pPr>
            <w:hyperlink r:id="rId289">
              <w:r>
                <w:rPr>
                  <w:rFonts w:ascii="Times New Roman" w:cs="Times New Roman" w:eastAsia="Times New Roman" w:hAnsi="Times New Roman"/>
                  <w:sz w:val="18"/>
                  <w:szCs w:val="18"/>
                  <w:color w:val="0000EE"/>
                  <w:w w:val="97"/>
                </w:rPr>
                <w:t>Second Amendment to Lease by and between FibroGen, Inc. and</w:t>
              </w:r>
            </w:hyperlink>
          </w:p>
        </w:tc>
      </w:tr>
      <w:tr>
        <w:trPr>
          <w:trHeight w:val="192"/>
        </w:trPr>
        <w:tc>
          <w:tcPr>
            <w:tcW w:w="1380" w:type="dxa"/>
            <w:vAlign w:val="bottom"/>
          </w:tcPr>
          <w:p>
            <w:pPr>
              <w:spacing w:after="0"/>
              <w:rPr>
                <w:sz w:val="16"/>
                <w:szCs w:val="16"/>
                <w:color w:val="auto"/>
              </w:rPr>
            </w:pPr>
          </w:p>
        </w:tc>
        <w:tc>
          <w:tcPr>
            <w:tcW w:w="4620" w:type="dxa"/>
            <w:vAlign w:val="bottom"/>
            <w:gridSpan w:val="32"/>
          </w:tcPr>
          <w:p>
            <w:pPr>
              <w:spacing w:after="0" w:line="192"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X-4 Dolphin LLC, dated as of June 29, 2009; as amended by</w:t>
              </w:r>
            </w:hyperlink>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480" w:type="dxa"/>
            <w:vAlign w:val="bottom"/>
            <w:tcBorders>
              <w:bottom w:val="single" w:sz="8" w:color="0000EE"/>
            </w:tcBorders>
            <w:gridSpan w:val="27"/>
          </w:tcPr>
          <w:p>
            <w:pPr>
              <w:spacing w:after="0" w:line="192" w:lineRule="exact"/>
              <w:rPr>
                <w:rFonts w:ascii="Times New Roman" w:cs="Times New Roman" w:eastAsia="Times New Roman" w:hAnsi="Times New Roman"/>
                <w:sz w:val="18"/>
                <w:szCs w:val="18"/>
                <w:color w:val="0000EE"/>
                <w:w w:val="97"/>
              </w:rPr>
            </w:pPr>
            <w:hyperlink r:id="rId289">
              <w:r>
                <w:rPr>
                  <w:rFonts w:ascii="Times New Roman" w:cs="Times New Roman" w:eastAsia="Times New Roman" w:hAnsi="Times New Roman"/>
                  <w:sz w:val="18"/>
                  <w:szCs w:val="18"/>
                  <w:color w:val="0000EE"/>
                  <w:w w:val="97"/>
                </w:rPr>
                <w:t>Third Amendment to Lease by and between FibroGen, Inc. and</w:t>
              </w:r>
            </w:hyperlink>
          </w:p>
        </w:tc>
        <w:tc>
          <w:tcPr>
            <w:tcW w:w="140" w:type="dxa"/>
            <w:vAlign w:val="bottom"/>
            <w:gridSpan w:val="5"/>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32"/>
          </w:tcPr>
          <w:p>
            <w:pPr>
              <w:spacing w:after="0" w:line="192"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Are-San Francisco No. 43, LLC (as successor in interest to X-4</w:t>
              </w:r>
            </w:hyperlink>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60" w:type="dxa"/>
            <w:vAlign w:val="bottom"/>
            <w:tcBorders>
              <w:bottom w:val="single" w:sz="8" w:color="0000EE"/>
            </w:tcBorders>
            <w:gridSpan w:val="29"/>
          </w:tcPr>
          <w:p>
            <w:pPr>
              <w:spacing w:after="0" w:line="192" w:lineRule="exact"/>
              <w:rPr>
                <w:rFonts w:ascii="Times New Roman" w:cs="Times New Roman" w:eastAsia="Times New Roman" w:hAnsi="Times New Roman"/>
                <w:sz w:val="18"/>
                <w:szCs w:val="18"/>
                <w:color w:val="0000EE"/>
                <w:w w:val="97"/>
              </w:rPr>
            </w:pPr>
            <w:hyperlink r:id="rId289">
              <w:r>
                <w:rPr>
                  <w:rFonts w:ascii="Times New Roman" w:cs="Times New Roman" w:eastAsia="Times New Roman" w:hAnsi="Times New Roman"/>
                  <w:sz w:val="18"/>
                  <w:szCs w:val="18"/>
                  <w:color w:val="0000EE"/>
                  <w:w w:val="97"/>
                </w:rPr>
                <w:t>Dolphin LLC), dated as of May 19, 2011; as amended by Fourth</w:t>
              </w:r>
            </w:hyperlink>
          </w:p>
        </w:tc>
        <w:tc>
          <w:tcPr>
            <w:tcW w:w="60" w:type="dxa"/>
            <w:vAlign w:val="bottom"/>
            <w:gridSpan w:val="3"/>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440" w:type="dxa"/>
            <w:vAlign w:val="bottom"/>
            <w:tcBorders>
              <w:bottom w:val="single" w:sz="8" w:color="0000EE"/>
            </w:tcBorders>
            <w:gridSpan w:val="25"/>
          </w:tcPr>
          <w:p>
            <w:pPr>
              <w:spacing w:after="0" w:line="192" w:lineRule="exact"/>
              <w:rPr>
                <w:rFonts w:ascii="Times New Roman" w:cs="Times New Roman" w:eastAsia="Times New Roman" w:hAnsi="Times New Roman"/>
                <w:sz w:val="18"/>
                <w:szCs w:val="18"/>
                <w:color w:val="0000EE"/>
                <w:w w:val="98"/>
              </w:rPr>
            </w:pPr>
            <w:hyperlink r:id="rId289">
              <w:r>
                <w:rPr>
                  <w:rFonts w:ascii="Times New Roman" w:cs="Times New Roman" w:eastAsia="Times New Roman" w:hAnsi="Times New Roman"/>
                  <w:sz w:val="18"/>
                  <w:szCs w:val="18"/>
                  <w:color w:val="0000EE"/>
                  <w:w w:val="98"/>
                </w:rPr>
                <w:t>Amendment to Lease by and between FibroGen, Inc. and Are-</w:t>
              </w:r>
            </w:hyperlink>
          </w:p>
        </w:tc>
        <w:tc>
          <w:tcPr>
            <w:tcW w:w="180" w:type="dxa"/>
            <w:vAlign w:val="bottom"/>
            <w:gridSpan w:val="7"/>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32"/>
          </w:tcPr>
          <w:p>
            <w:pPr>
              <w:spacing w:after="0" w:line="192"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San Francisco No. 43, LLC, dated as of September 8, 2011.</w:t>
              </w:r>
            </w:hyperlink>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290">
              <w:r>
                <w:rPr>
                  <w:rFonts w:ascii="Times New Roman" w:cs="Times New Roman" w:eastAsia="Times New Roman" w:hAnsi="Times New Roman"/>
                  <w:sz w:val="18"/>
                  <w:szCs w:val="18"/>
                  <w:color w:val="0000EE"/>
                  <w:w w:val="97"/>
                </w:rPr>
                <w:t>Lease for Premises in Beijing BDA Biomedical Park by and</w:t>
              </w:r>
            </w:hyperlink>
          </w:p>
        </w:tc>
        <w:tc>
          <w:tcPr>
            <w:tcW w:w="360" w:type="dxa"/>
            <w:vAlign w:val="bottom"/>
            <w:gridSpan w:val="14"/>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00" w:type="dxa"/>
            <w:vAlign w:val="bottom"/>
            <w:tcBorders>
              <w:bottom w:val="single" w:sz="8" w:color="0000EE"/>
            </w:tcBorders>
            <w:gridSpan w:val="31"/>
          </w:tcPr>
          <w:p>
            <w:pPr>
              <w:spacing w:after="0" w:line="192" w:lineRule="exact"/>
              <w:rPr>
                <w:rFonts w:ascii="Times New Roman" w:cs="Times New Roman" w:eastAsia="Times New Roman" w:hAnsi="Times New Roman"/>
                <w:sz w:val="18"/>
                <w:szCs w:val="18"/>
                <w:color w:val="0000EE"/>
                <w:w w:val="97"/>
              </w:rPr>
            </w:pPr>
            <w:hyperlink r:id="rId290">
              <w:r>
                <w:rPr>
                  <w:rFonts w:ascii="Times New Roman" w:cs="Times New Roman" w:eastAsia="Times New Roman" w:hAnsi="Times New Roman"/>
                  <w:sz w:val="18"/>
                  <w:szCs w:val="18"/>
                  <w:color w:val="0000EE"/>
                  <w:w w:val="97"/>
                </w:rPr>
                <w:t>among Beijing FibroGen Medical Technology Development Co.,</w:t>
              </w:r>
            </w:hyperlink>
          </w:p>
        </w:tc>
        <w:tc>
          <w:tcPr>
            <w:tcW w:w="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32"/>
          </w:tcPr>
          <w:p>
            <w:pPr>
              <w:spacing w:after="0" w:line="192"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Ltd., Beijing Economic and Technology Investment</w:t>
              </w:r>
            </w:hyperlink>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420" w:type="dxa"/>
            <w:vAlign w:val="bottom"/>
            <w:tcBorders>
              <w:bottom w:val="single" w:sz="8" w:color="0000EE"/>
            </w:tcBorders>
            <w:gridSpan w:val="24"/>
          </w:tcPr>
          <w:p>
            <w:pPr>
              <w:spacing w:after="0" w:line="192" w:lineRule="exact"/>
              <w:rPr>
                <w:rFonts w:ascii="Times New Roman" w:cs="Times New Roman" w:eastAsia="Times New Roman" w:hAnsi="Times New Roman"/>
                <w:sz w:val="18"/>
                <w:szCs w:val="18"/>
                <w:color w:val="0000EE"/>
                <w:w w:val="97"/>
              </w:rPr>
            </w:pPr>
            <w:hyperlink r:id="rId290">
              <w:r>
                <w:rPr>
                  <w:rFonts w:ascii="Times New Roman" w:cs="Times New Roman" w:eastAsia="Times New Roman" w:hAnsi="Times New Roman"/>
                  <w:sz w:val="18"/>
                  <w:szCs w:val="18"/>
                  <w:color w:val="0000EE"/>
                  <w:w w:val="97"/>
                </w:rPr>
                <w:t>Development Parent Company and Beijing BDA International</w:t>
              </w:r>
            </w:hyperlink>
          </w:p>
        </w:tc>
        <w:tc>
          <w:tcPr>
            <w:tcW w:w="200" w:type="dxa"/>
            <w:vAlign w:val="bottom"/>
            <w:gridSpan w:val="8"/>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400" w:type="dxa"/>
            <w:vAlign w:val="bottom"/>
            <w:tcBorders>
              <w:bottom w:val="single" w:sz="8" w:color="0000EE"/>
            </w:tcBorders>
            <w:gridSpan w:val="23"/>
          </w:tcPr>
          <w:p>
            <w:pPr>
              <w:spacing w:after="0" w:line="192" w:lineRule="exact"/>
              <w:rPr>
                <w:rFonts w:ascii="Times New Roman" w:cs="Times New Roman" w:eastAsia="Times New Roman" w:hAnsi="Times New Roman"/>
                <w:sz w:val="18"/>
                <w:szCs w:val="18"/>
                <w:color w:val="0000EE"/>
                <w:w w:val="98"/>
              </w:rPr>
            </w:pPr>
            <w:hyperlink r:id="rId290">
              <w:r>
                <w:rPr>
                  <w:rFonts w:ascii="Times New Roman" w:cs="Times New Roman" w:eastAsia="Times New Roman" w:hAnsi="Times New Roman"/>
                  <w:sz w:val="18"/>
                  <w:szCs w:val="18"/>
                  <w:color w:val="0000EE"/>
                  <w:w w:val="98"/>
                </w:rPr>
                <w:t>Biological Pharmaceutical Investment Management Co., Ltd.,</w:t>
              </w:r>
            </w:hyperlink>
          </w:p>
        </w:tc>
        <w:tc>
          <w:tcPr>
            <w:tcW w:w="220" w:type="dxa"/>
            <w:vAlign w:val="bottom"/>
            <w:gridSpan w:val="9"/>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000" w:type="dxa"/>
            <w:vAlign w:val="bottom"/>
            <w:tcBorders>
              <w:bottom w:val="single" w:sz="8" w:color="0000EE"/>
            </w:tcBorders>
            <w:gridSpan w:val="14"/>
          </w:tcPr>
          <w:p>
            <w:pPr>
              <w:spacing w:after="0" w:line="192" w:lineRule="exact"/>
              <w:rPr>
                <w:rFonts w:ascii="Times New Roman" w:cs="Times New Roman" w:eastAsia="Times New Roman" w:hAnsi="Times New Roman"/>
                <w:sz w:val="18"/>
                <w:szCs w:val="18"/>
                <w:color w:val="0000EE"/>
                <w:w w:val="97"/>
              </w:rPr>
            </w:pPr>
            <w:hyperlink r:id="rId290">
              <w:r>
                <w:rPr>
                  <w:rFonts w:ascii="Times New Roman" w:cs="Times New Roman" w:eastAsia="Times New Roman" w:hAnsi="Times New Roman"/>
                  <w:sz w:val="18"/>
                  <w:szCs w:val="18"/>
                  <w:color w:val="0000EE"/>
                  <w:w w:val="97"/>
                </w:rPr>
                <w:t>effective as of February 1, 2013, as supplemented by the</w:t>
              </w:r>
            </w:hyperlink>
          </w:p>
        </w:tc>
        <w:tc>
          <w:tcPr>
            <w:tcW w:w="620" w:type="dxa"/>
            <w:vAlign w:val="bottom"/>
            <w:gridSpan w:val="18"/>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80" w:type="dxa"/>
            <w:vAlign w:val="bottom"/>
            <w:tcBorders>
              <w:bottom w:val="single" w:sz="8" w:color="0000EE"/>
            </w:tcBorders>
            <w:gridSpan w:val="30"/>
          </w:tcPr>
          <w:p>
            <w:pPr>
              <w:spacing w:after="0" w:line="192" w:lineRule="exact"/>
              <w:rPr>
                <w:rFonts w:ascii="Times New Roman" w:cs="Times New Roman" w:eastAsia="Times New Roman" w:hAnsi="Times New Roman"/>
                <w:sz w:val="18"/>
                <w:szCs w:val="18"/>
                <w:color w:val="0000EE"/>
                <w:w w:val="97"/>
              </w:rPr>
            </w:pPr>
            <w:hyperlink r:id="rId290">
              <w:r>
                <w:rPr>
                  <w:rFonts w:ascii="Times New Roman" w:cs="Times New Roman" w:eastAsia="Times New Roman" w:hAnsi="Times New Roman"/>
                  <w:sz w:val="18"/>
                  <w:szCs w:val="18"/>
                  <w:color w:val="0000EE"/>
                  <w:w w:val="97"/>
                </w:rPr>
                <w:t>Supplementary Agreement to Lease of Premises in Beijing BDA</w:t>
              </w:r>
            </w:hyperlink>
          </w:p>
        </w:tc>
        <w:tc>
          <w:tcPr>
            <w:tcW w:w="40" w:type="dxa"/>
            <w:vAlign w:val="bottom"/>
            <w:gridSpan w:val="2"/>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140" w:type="dxa"/>
            <w:vAlign w:val="bottom"/>
            <w:tcBorders>
              <w:bottom w:val="single" w:sz="8" w:color="0000EE"/>
            </w:tcBorders>
            <w:gridSpan w:val="16"/>
          </w:tcPr>
          <w:p>
            <w:pPr>
              <w:spacing w:after="0" w:line="192" w:lineRule="exact"/>
              <w:rPr>
                <w:rFonts w:ascii="Times New Roman" w:cs="Times New Roman" w:eastAsia="Times New Roman" w:hAnsi="Times New Roman"/>
                <w:sz w:val="18"/>
                <w:szCs w:val="18"/>
                <w:color w:val="0000EE"/>
                <w:w w:val="97"/>
              </w:rPr>
            </w:pPr>
            <w:hyperlink r:id="rId290">
              <w:r>
                <w:rPr>
                  <w:rFonts w:ascii="Times New Roman" w:cs="Times New Roman" w:eastAsia="Times New Roman" w:hAnsi="Times New Roman"/>
                  <w:sz w:val="18"/>
                  <w:szCs w:val="18"/>
                  <w:color w:val="0000EE"/>
                  <w:w w:val="97"/>
                </w:rPr>
                <w:t>Biomedical Park by and among Beijing FibroGen Medical</w:t>
              </w:r>
            </w:hyperlink>
          </w:p>
        </w:tc>
        <w:tc>
          <w:tcPr>
            <w:tcW w:w="480" w:type="dxa"/>
            <w:vAlign w:val="bottom"/>
            <w:gridSpan w:val="16"/>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32"/>
          </w:tcPr>
          <w:p>
            <w:pPr>
              <w:spacing w:after="0" w:line="192"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Technology Development Co., Ltd., Beijing Economic</w:t>
              </w:r>
            </w:hyperlink>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32"/>
          </w:tcPr>
          <w:p>
            <w:pPr>
              <w:spacing w:after="0" w:line="192"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Technology Investment Development Parent Company and</w:t>
              </w:r>
            </w:hyperlink>
          </w:p>
        </w:tc>
      </w:tr>
      <w:tr>
        <w:trPr>
          <w:trHeight w:val="20"/>
        </w:trPr>
        <w:tc>
          <w:tcPr>
            <w:tcW w:w="13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32"/>
          </w:tcPr>
          <w:p>
            <w:pPr>
              <w:spacing w:after="0" w:line="192" w:lineRule="exact"/>
              <w:rPr>
                <w:rFonts w:ascii="Times New Roman" w:cs="Times New Roman" w:eastAsia="Times New Roman" w:hAnsi="Times New Roman"/>
                <w:sz w:val="18"/>
                <w:szCs w:val="18"/>
                <w:color w:val="0000EE"/>
                <w:w w:val="97"/>
              </w:rPr>
            </w:pPr>
            <w:hyperlink r:id="rId290">
              <w:r>
                <w:rPr>
                  <w:rFonts w:ascii="Times New Roman" w:cs="Times New Roman" w:eastAsia="Times New Roman" w:hAnsi="Times New Roman"/>
                  <w:sz w:val="18"/>
                  <w:szCs w:val="18"/>
                  <w:color w:val="0000EE"/>
                  <w:w w:val="97"/>
                </w:rPr>
                <w:t>Beijing BDA International Biological Pharmaceutical Investment</w:t>
              </w:r>
            </w:hyperlink>
          </w:p>
        </w:tc>
      </w:tr>
      <w:tr>
        <w:trPr>
          <w:trHeight w:val="192"/>
        </w:trPr>
        <w:tc>
          <w:tcPr>
            <w:tcW w:w="1380" w:type="dxa"/>
            <w:vAlign w:val="bottom"/>
          </w:tcPr>
          <w:p>
            <w:pPr>
              <w:spacing w:after="0"/>
              <w:rPr>
                <w:sz w:val="16"/>
                <w:szCs w:val="16"/>
                <w:color w:val="auto"/>
              </w:rPr>
            </w:pPr>
          </w:p>
        </w:tc>
        <w:tc>
          <w:tcPr>
            <w:tcW w:w="4620" w:type="dxa"/>
            <w:vAlign w:val="bottom"/>
            <w:gridSpan w:val="32"/>
          </w:tcPr>
          <w:p>
            <w:pPr>
              <w:spacing w:after="0" w:line="192"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Management Co., Ltd., dated as of January 30, 2013.</w:t>
              </w:r>
            </w:hyperlink>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4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7"/>
              </w:rPr>
            </w:pPr>
            <w:hyperlink r:id="rId291">
              <w:r>
                <w:rPr>
                  <w:rFonts w:ascii="Times New Roman" w:cs="Times New Roman" w:eastAsia="Times New Roman" w:hAnsi="Times New Roman"/>
                  <w:sz w:val="18"/>
                  <w:szCs w:val="18"/>
                  <w:color w:val="0000EE"/>
                  <w:w w:val="97"/>
                </w:rPr>
                <w:t>Form of Employment Offer Letter.</w:t>
              </w:r>
            </w:hyperlink>
          </w:p>
        </w:tc>
        <w:tc>
          <w:tcPr>
            <w:tcW w:w="1280" w:type="dxa"/>
            <w:vAlign w:val="bottom"/>
            <w:tcBorders>
              <w:top w:val="single" w:sz="8" w:color="0000EE"/>
            </w:tcBorders>
            <w:gridSpan w:val="4"/>
          </w:tcPr>
          <w:p>
            <w:pPr>
              <w:spacing w:after="0"/>
              <w:rPr>
                <w:sz w:val="24"/>
                <w:szCs w:val="24"/>
                <w:color w:val="auto"/>
              </w:rPr>
            </w:pPr>
          </w:p>
        </w:tc>
        <w:tc>
          <w:tcPr>
            <w:tcW w:w="880" w:type="dxa"/>
            <w:vAlign w:val="bottom"/>
            <w:gridSpan w:val="23"/>
          </w:tcPr>
          <w:p>
            <w:pPr>
              <w:spacing w:after="0"/>
              <w:rPr>
                <w:sz w:val="24"/>
                <w:szCs w:val="24"/>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3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7"/>
              </w:rPr>
            </w:pPr>
            <w:hyperlink r:id="rId292">
              <w:r>
                <w:rPr>
                  <w:rFonts w:ascii="Times New Roman" w:cs="Times New Roman" w:eastAsia="Times New Roman" w:hAnsi="Times New Roman"/>
                  <w:sz w:val="18"/>
                  <w:szCs w:val="18"/>
                  <w:color w:val="0000EE"/>
                  <w:w w:val="97"/>
                </w:rPr>
                <w:t>Collaboration Agreement, by and between FibroGen, Inc. and</w:t>
              </w:r>
            </w:hyperlink>
          </w:p>
        </w:tc>
        <w:tc>
          <w:tcPr>
            <w:tcW w:w="240" w:type="dxa"/>
            <w:vAlign w:val="bottom"/>
            <w:gridSpan w:val="10"/>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354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r:id="rId292">
              <w:r>
                <w:rPr>
                  <w:rFonts w:ascii="Times New Roman" w:cs="Times New Roman" w:eastAsia="Times New Roman" w:hAnsi="Times New Roman"/>
                  <w:sz w:val="18"/>
                  <w:szCs w:val="18"/>
                  <w:color w:val="0000EE"/>
                  <w:w w:val="97"/>
                </w:rPr>
                <w:t>Astellas Pharma Inc., effective as of June 1, 2005.</w:t>
              </w:r>
            </w:hyperlink>
          </w:p>
        </w:tc>
        <w:tc>
          <w:tcPr>
            <w:tcW w:w="1080" w:type="dxa"/>
            <w:vAlign w:val="bottom"/>
            <w:gridSpan w:val="25"/>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10.9(i)*†</w:t>
            </w:r>
          </w:p>
        </w:tc>
        <w:tc>
          <w:tcPr>
            <w:tcW w:w="45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7"/>
              </w:rPr>
            </w:pPr>
            <w:hyperlink w:anchor="page180">
              <w:r>
                <w:rPr>
                  <w:rFonts w:ascii="Times New Roman" w:cs="Times New Roman" w:eastAsia="Times New Roman" w:hAnsi="Times New Roman"/>
                  <w:sz w:val="18"/>
                  <w:szCs w:val="18"/>
                  <w:color w:val="0000EE"/>
                  <w:w w:val="97"/>
                </w:rPr>
                <w:t>Amendment No. 1 to Collaboration Agreement, by and between</w:t>
              </w:r>
            </w:hyperlink>
          </w:p>
        </w:tc>
        <w:tc>
          <w:tcPr>
            <w:tcW w:w="80" w:type="dxa"/>
            <w:vAlign w:val="bottom"/>
            <w:gridSpan w:val="4"/>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3940" w:type="dxa"/>
            <w:vAlign w:val="bottom"/>
            <w:tcBorders>
              <w:bottom w:val="single" w:sz="8" w:color="0000EE"/>
            </w:tcBorders>
            <w:gridSpan w:val="12"/>
          </w:tcPr>
          <w:p>
            <w:pPr>
              <w:spacing w:after="0" w:line="192" w:lineRule="exact"/>
              <w:rPr>
                <w:rFonts w:ascii="Times New Roman" w:cs="Times New Roman" w:eastAsia="Times New Roman" w:hAnsi="Times New Roman"/>
                <w:sz w:val="18"/>
                <w:szCs w:val="18"/>
                <w:color w:val="0000EE"/>
                <w:w w:val="97"/>
              </w:rPr>
            </w:pPr>
            <w:hyperlink w:anchor="page180">
              <w:r>
                <w:rPr>
                  <w:rFonts w:ascii="Times New Roman" w:cs="Times New Roman" w:eastAsia="Times New Roman" w:hAnsi="Times New Roman"/>
                  <w:sz w:val="18"/>
                  <w:szCs w:val="18"/>
                  <w:color w:val="0000EE"/>
                  <w:w w:val="97"/>
                </w:rPr>
                <w:t>FibroGen, Inc. and Astellas Pharma Inc., effective as of</w:t>
              </w:r>
            </w:hyperlink>
          </w:p>
        </w:tc>
        <w:tc>
          <w:tcPr>
            <w:tcW w:w="680" w:type="dxa"/>
            <w:vAlign w:val="bottom"/>
            <w:gridSpan w:val="20"/>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32"/>
          </w:tcPr>
          <w:p>
            <w:pPr>
              <w:spacing w:after="0" w:line="192" w:lineRule="exact"/>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color w:val="0000EE"/>
                </w:rPr>
                <w:t>January 1, 2013.</w:t>
              </w:r>
            </w:hyperlink>
          </w:p>
        </w:tc>
      </w:tr>
      <w:tr>
        <w:trPr>
          <w:trHeight w:val="577"/>
        </w:trPr>
        <w:tc>
          <w:tcPr>
            <w:tcW w:w="1380" w:type="dxa"/>
            <w:vAlign w:val="bottom"/>
          </w:tcPr>
          <w:p>
            <w:pPr>
              <w:spacing w:after="0"/>
              <w:rPr>
                <w:sz w:val="24"/>
                <w:szCs w:val="24"/>
                <w:color w:val="auto"/>
              </w:rPr>
            </w:pPr>
          </w:p>
        </w:tc>
        <w:tc>
          <w:tcPr>
            <w:tcW w:w="1160" w:type="dxa"/>
            <w:vAlign w:val="bottom"/>
            <w:tcBorders>
              <w:top w:val="single" w:sz="8" w:color="0000EE"/>
            </w:tcBorders>
            <w:gridSpan w:val="2"/>
          </w:tcPr>
          <w:p>
            <w:pPr>
              <w:spacing w:after="0"/>
              <w:rPr>
                <w:sz w:val="24"/>
                <w:szCs w:val="24"/>
                <w:color w:val="auto"/>
              </w:rPr>
            </w:pPr>
          </w:p>
        </w:tc>
        <w:tc>
          <w:tcPr>
            <w:tcW w:w="3320" w:type="dxa"/>
            <w:vAlign w:val="bottom"/>
            <w:gridSpan w:val="25"/>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729170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tabs>
          <w:tab w:leader="none" w:pos="860" w:val="left"/>
          <w:tab w:leader="none" w:pos="2260" w:val="left"/>
          <w:tab w:leader="none" w:pos="376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333-199069</w:t>
      </w:r>
      <w:r>
        <w:rPr>
          <w:sz w:val="20"/>
          <w:szCs w:val="20"/>
          <w:color w:val="auto"/>
        </w:rPr>
        <w:tab/>
      </w:r>
      <w:r>
        <w:rPr>
          <w:rFonts w:ascii="Times New Roman" w:cs="Times New Roman" w:eastAsia="Times New Roman" w:hAnsi="Times New Roman"/>
          <w:sz w:val="18"/>
          <w:szCs w:val="18"/>
          <w:color w:val="auto"/>
        </w:rPr>
        <w:t>10.3(iv)</w:t>
      </w:r>
      <w:r>
        <w:rPr>
          <w:sz w:val="20"/>
          <w:szCs w:val="20"/>
          <w:color w:val="auto"/>
        </w:rPr>
        <w:tab/>
      </w:r>
      <w:r>
        <w:rPr>
          <w:rFonts w:ascii="Times New Roman" w:cs="Times New Roman" w:eastAsia="Times New Roman" w:hAnsi="Times New Roman"/>
          <w:sz w:val="17"/>
          <w:szCs w:val="17"/>
          <w:color w:val="auto"/>
        </w:rPr>
        <w:t>10/1/2014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tabs>
          <w:tab w:leader="none" w:pos="860" w:val="left"/>
          <w:tab w:leader="none" w:pos="2280" w:val="left"/>
          <w:tab w:leader="none" w:pos="376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333-199069</w:t>
      </w:r>
      <w:r>
        <w:rPr>
          <w:sz w:val="20"/>
          <w:szCs w:val="20"/>
          <w:color w:val="auto"/>
        </w:rPr>
        <w:tab/>
      </w:r>
      <w:r>
        <w:rPr>
          <w:rFonts w:ascii="Times New Roman" w:cs="Times New Roman" w:eastAsia="Times New Roman" w:hAnsi="Times New Roman"/>
          <w:sz w:val="18"/>
          <w:szCs w:val="18"/>
          <w:color w:val="auto"/>
        </w:rPr>
        <w:t>10.3(v)</w:t>
      </w:r>
      <w:r>
        <w:rPr>
          <w:sz w:val="20"/>
          <w:szCs w:val="20"/>
          <w:color w:val="auto"/>
        </w:rPr>
        <w:tab/>
      </w:r>
      <w:r>
        <w:rPr>
          <w:rFonts w:ascii="Times New Roman" w:cs="Times New Roman" w:eastAsia="Times New Roman" w:hAnsi="Times New Roman"/>
          <w:sz w:val="17"/>
          <w:szCs w:val="17"/>
          <w:color w:val="auto"/>
        </w:rPr>
        <w:t>10/1/2014</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S-1/A</w:t>
            </w:r>
          </w:p>
        </w:tc>
        <w:tc>
          <w:tcPr>
            <w:tcW w:w="14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7"/>
              </w:rPr>
              <w:t>11/12/2014</w:t>
            </w:r>
          </w:p>
        </w:tc>
      </w:tr>
      <w:tr>
        <w:trPr>
          <w:trHeight w:val="569"/>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S-1/A</w:t>
            </w:r>
          </w:p>
        </w:tc>
        <w:tc>
          <w:tcPr>
            <w:tcW w:w="14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10.5</w:t>
            </w:r>
          </w:p>
        </w:tc>
        <w:tc>
          <w:tcPr>
            <w:tcW w:w="130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7"/>
              </w:rPr>
              <w:t>11/12/2014</w:t>
            </w:r>
          </w:p>
        </w:tc>
      </w:tr>
      <w:tr>
        <w:trPr>
          <w:trHeight w:val="358"/>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10.6</w:t>
            </w:r>
          </w:p>
        </w:tc>
        <w:tc>
          <w:tcPr>
            <w:tcW w:w="130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8/7/2018</w:t>
            </w:r>
          </w:p>
        </w:tc>
      </w:tr>
      <w:tr>
        <w:trPr>
          <w:trHeight w:val="569"/>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001-36740</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10.5</w:t>
            </w:r>
          </w:p>
        </w:tc>
        <w:tc>
          <w:tcPr>
            <w:tcW w:w="130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2/16/2018</w:t>
            </w:r>
          </w:p>
        </w:tc>
      </w:tr>
      <w:tr>
        <w:trPr>
          <w:trHeight w:val="358"/>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333-199069</w:t>
            </w: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10/1/2014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
        <w:spacing w:after="0"/>
        <w:tabs>
          <w:tab w:leader="none" w:pos="860" w:val="left"/>
          <w:tab w:leader="none" w:pos="2400" w:val="left"/>
          <w:tab w:leader="none" w:pos="376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333-199069</w:t>
      </w:r>
      <w:r>
        <w:rPr>
          <w:sz w:val="20"/>
          <w:szCs w:val="20"/>
          <w:color w:val="auto"/>
        </w:rPr>
        <w:tab/>
      </w: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10/1/2014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2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8"/>
              </w:rPr>
              <w:t>10.10</w:t>
            </w:r>
          </w:p>
        </w:tc>
        <w:tc>
          <w:tcPr>
            <w:tcW w:w="12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358"/>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2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5"/>
              </w:rPr>
              <w:t>10.9</w:t>
            </w:r>
          </w:p>
        </w:tc>
        <w:tc>
          <w:tcPr>
            <w:tcW w:w="12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11/8/2017</w:t>
            </w:r>
          </w:p>
        </w:tc>
      </w:tr>
      <w:tr>
        <w:trPr>
          <w:trHeight w:val="569"/>
        </w:trPr>
        <w:tc>
          <w:tcPr>
            <w:tcW w:w="6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9"/>
              </w:rPr>
              <w:t>—</w:t>
            </w:r>
          </w:p>
        </w:tc>
      </w:tr>
    </w:tbl>
    <w:p>
      <w:pPr>
        <w:sectPr>
          <w:pgSz w:w="11900" w:h="16838" w:orient="portrait"/>
          <w:cols w:equalWidth="0" w:num="2">
            <w:col w:w="6000" w:space="320"/>
            <w:col w:w="4540"/>
          </w:cols>
          <w:pgMar w:left="240" w:top="463" w:right="79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5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7"/>
              </w:rPr>
            </w:pPr>
            <w:hyperlink r:id="rId294">
              <w:r>
                <w:rPr>
                  <w:rFonts w:ascii="Times New Roman" w:cs="Times New Roman" w:eastAsia="Times New Roman" w:hAnsi="Times New Roman"/>
                  <w:sz w:val="18"/>
                  <w:szCs w:val="18"/>
                  <w:color w:val="0000EE"/>
                  <w:w w:val="97"/>
                </w:rPr>
                <w:t>Anemia License and Collaboration Agreement, by and between</w:t>
              </w:r>
            </w:hyperlink>
          </w:p>
        </w:tc>
        <w:tc>
          <w:tcPr>
            <w:tcW w:w="120" w:type="dxa"/>
            <w:vAlign w:val="bottom"/>
            <w:gridSpan w:val="4"/>
          </w:tcPr>
          <w:p>
            <w:pPr>
              <w:spacing w:after="0"/>
              <w:rPr>
                <w:sz w:val="17"/>
                <w:szCs w:val="17"/>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28"/>
          </w:tcPr>
          <w:p>
            <w:pPr>
              <w:spacing w:after="0" w:line="192" w:lineRule="exact"/>
              <w:rPr>
                <w:rFonts w:ascii="Times New Roman" w:cs="Times New Roman" w:eastAsia="Times New Roman" w:hAnsi="Times New Roman"/>
                <w:sz w:val="18"/>
                <w:szCs w:val="18"/>
                <w:color w:val="0000EE"/>
                <w:w w:val="97"/>
              </w:rPr>
            </w:pPr>
            <w:hyperlink r:id="rId294">
              <w:r>
                <w:rPr>
                  <w:rFonts w:ascii="Times New Roman" w:cs="Times New Roman" w:eastAsia="Times New Roman" w:hAnsi="Times New Roman"/>
                  <w:sz w:val="18"/>
                  <w:szCs w:val="18"/>
                  <w:color w:val="0000EE"/>
                  <w:w w:val="97"/>
                </w:rPr>
                <w:t>FibroGen, Inc. and Astellas Pharma Inc., effective as of April 28,</w:t>
              </w:r>
            </w:hyperlink>
          </w:p>
        </w:tc>
      </w:tr>
      <w:tr>
        <w:trPr>
          <w:trHeight w:val="192"/>
        </w:trPr>
        <w:tc>
          <w:tcPr>
            <w:tcW w:w="1380" w:type="dxa"/>
            <w:vAlign w:val="bottom"/>
          </w:tcPr>
          <w:p>
            <w:pPr>
              <w:spacing w:after="0"/>
              <w:rPr>
                <w:sz w:val="16"/>
                <w:szCs w:val="16"/>
                <w:color w:val="auto"/>
              </w:rPr>
            </w:pPr>
          </w:p>
        </w:tc>
        <w:tc>
          <w:tcPr>
            <w:tcW w:w="400" w:type="dxa"/>
            <w:vAlign w:val="bottom"/>
            <w:tcBorders>
              <w:bottom w:val="single" w:sz="8" w:color="0000EE"/>
            </w:tcBorders>
          </w:tcPr>
          <w:p>
            <w:pPr>
              <w:spacing w:after="0" w:line="192" w:lineRule="exact"/>
              <w:rPr>
                <w:rFonts w:ascii="Times New Roman" w:cs="Times New Roman" w:eastAsia="Times New Roman" w:hAnsi="Times New Roman"/>
                <w:sz w:val="18"/>
                <w:szCs w:val="18"/>
                <w:color w:val="0000EE"/>
                <w:w w:val="93"/>
              </w:rPr>
            </w:pPr>
            <w:hyperlink r:id="rId294">
              <w:r>
                <w:rPr>
                  <w:rFonts w:ascii="Times New Roman" w:cs="Times New Roman" w:eastAsia="Times New Roman" w:hAnsi="Times New Roman"/>
                  <w:sz w:val="18"/>
                  <w:szCs w:val="18"/>
                  <w:color w:val="0000EE"/>
                  <w:w w:val="93"/>
                </w:rPr>
                <w:t>2006.</w:t>
              </w:r>
            </w:hyperlink>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4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295">
              <w:r>
                <w:rPr>
                  <w:rFonts w:ascii="Times New Roman" w:cs="Times New Roman" w:eastAsia="Times New Roman" w:hAnsi="Times New Roman"/>
                  <w:sz w:val="18"/>
                  <w:szCs w:val="18"/>
                  <w:color w:val="0000EE"/>
                  <w:w w:val="98"/>
                </w:rPr>
                <w:t>Amendment to Anemia License and Collaboration Agreement,</w:t>
              </w:r>
            </w:hyperlink>
          </w:p>
        </w:tc>
        <w:tc>
          <w:tcPr>
            <w:tcW w:w="160" w:type="dxa"/>
            <w:vAlign w:val="bottom"/>
            <w:gridSpan w:val="5"/>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by and between FibroGen, Inc. and Astellas Pharma Inc.,</w:t>
              </w:r>
            </w:hyperlink>
          </w:p>
        </w:tc>
      </w:tr>
      <w:tr>
        <w:trPr>
          <w:trHeight w:val="192"/>
        </w:trPr>
        <w:tc>
          <w:tcPr>
            <w:tcW w:w="1380" w:type="dxa"/>
            <w:vAlign w:val="bottom"/>
          </w:tcPr>
          <w:p>
            <w:pPr>
              <w:spacing w:after="0"/>
              <w:rPr>
                <w:sz w:val="16"/>
                <w:szCs w:val="16"/>
                <w:color w:val="auto"/>
              </w:rPr>
            </w:pPr>
          </w:p>
        </w:tc>
        <w:tc>
          <w:tcPr>
            <w:tcW w:w="2260" w:type="dxa"/>
            <w:vAlign w:val="bottom"/>
            <w:tcBorders>
              <w:top w:val="single" w:sz="8" w:color="0000EE"/>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r:id="rId295">
              <w:r>
                <w:rPr>
                  <w:rFonts w:ascii="Times New Roman" w:cs="Times New Roman" w:eastAsia="Times New Roman" w:hAnsi="Times New Roman"/>
                  <w:sz w:val="18"/>
                  <w:szCs w:val="18"/>
                  <w:color w:val="0000EE"/>
                  <w:w w:val="97"/>
                </w:rPr>
                <w:t>effective as of August 31, 2006.</w:t>
              </w:r>
            </w:hyperlink>
          </w:p>
        </w:tc>
        <w:tc>
          <w:tcPr>
            <w:tcW w:w="1780" w:type="dxa"/>
            <w:vAlign w:val="bottom"/>
            <w:tcBorders>
              <w:top w:val="single" w:sz="8" w:color="0000EE"/>
            </w:tcBorders>
            <w:gridSpan w:val="7"/>
          </w:tcPr>
          <w:p>
            <w:pPr>
              <w:spacing w:after="0"/>
              <w:rPr>
                <w:sz w:val="16"/>
                <w:szCs w:val="16"/>
                <w:color w:val="auto"/>
              </w:rPr>
            </w:pPr>
          </w:p>
        </w:tc>
        <w:tc>
          <w:tcPr>
            <w:tcW w:w="580" w:type="dxa"/>
            <w:vAlign w:val="bottom"/>
            <w:gridSpan w:val="13"/>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620" w:type="dxa"/>
            <w:vAlign w:val="bottom"/>
            <w:gridSpan w:val="28"/>
          </w:tcPr>
          <w:p>
            <w:pPr>
              <w:spacing w:after="0"/>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Amendment No. 2 to Anemia License and Collaboration</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60" w:type="dxa"/>
            <w:vAlign w:val="bottom"/>
            <w:tcBorders>
              <w:bottom w:val="single" w:sz="8" w:color="0000EE"/>
            </w:tcBorders>
            <w:gridSpan w:val="27"/>
          </w:tcPr>
          <w:p>
            <w:pPr>
              <w:spacing w:after="0" w:line="192" w:lineRule="exact"/>
              <w:rPr>
                <w:rFonts w:ascii="Times New Roman" w:cs="Times New Roman" w:eastAsia="Times New Roman" w:hAnsi="Times New Roman"/>
                <w:sz w:val="18"/>
                <w:szCs w:val="18"/>
                <w:color w:val="0000EE"/>
                <w:w w:val="97"/>
              </w:rPr>
            </w:pPr>
            <w:hyperlink r:id="rId296">
              <w:r>
                <w:rPr>
                  <w:rFonts w:ascii="Times New Roman" w:cs="Times New Roman" w:eastAsia="Times New Roman" w:hAnsi="Times New Roman"/>
                  <w:sz w:val="18"/>
                  <w:szCs w:val="18"/>
                  <w:color w:val="0000EE"/>
                  <w:w w:val="97"/>
                </w:rPr>
                <w:t>Agreement, by and between FibroGen, Inc. and Astellas Pharma</w:t>
              </w:r>
            </w:hyperlink>
          </w:p>
        </w:tc>
        <w:tc>
          <w:tcPr>
            <w:tcW w:w="6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Inc., effective as of December 1, 2006.</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4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297">
              <w:r>
                <w:rPr>
                  <w:rFonts w:ascii="Times New Roman" w:cs="Times New Roman" w:eastAsia="Times New Roman" w:hAnsi="Times New Roman"/>
                  <w:sz w:val="18"/>
                  <w:szCs w:val="18"/>
                  <w:color w:val="0000EE"/>
                  <w:w w:val="98"/>
                </w:rPr>
                <w:t>Supplement to Anemia License and Collaboration Agreement,</w:t>
              </w:r>
            </w:hyperlink>
          </w:p>
        </w:tc>
        <w:tc>
          <w:tcPr>
            <w:tcW w:w="180" w:type="dxa"/>
            <w:vAlign w:val="bottom"/>
            <w:gridSpan w:val="6"/>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by and between FibroGen, Inc. and Astellas Pharma Inc.,</w:t>
              </w:r>
            </w:hyperlink>
          </w:p>
        </w:tc>
      </w:tr>
      <w:tr>
        <w:trPr>
          <w:trHeight w:val="192"/>
        </w:trPr>
        <w:tc>
          <w:tcPr>
            <w:tcW w:w="1380" w:type="dxa"/>
            <w:vAlign w:val="bottom"/>
          </w:tcPr>
          <w:p>
            <w:pPr>
              <w:spacing w:after="0"/>
              <w:rPr>
                <w:sz w:val="16"/>
                <w:szCs w:val="16"/>
                <w:color w:val="auto"/>
              </w:rPr>
            </w:pPr>
          </w:p>
        </w:tc>
        <w:tc>
          <w:tcPr>
            <w:tcW w:w="4040" w:type="dxa"/>
            <w:vAlign w:val="bottom"/>
            <w:tcBorders>
              <w:top w:val="single" w:sz="8" w:color="0000EE"/>
            </w:tcBorders>
            <w:gridSpan w:val="15"/>
          </w:tcPr>
          <w:p>
            <w:pPr>
              <w:spacing w:after="0" w:line="192"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effective as of April 28, 2006.</w:t>
              </w:r>
            </w:hyperlink>
          </w:p>
        </w:tc>
        <w:tc>
          <w:tcPr>
            <w:tcW w:w="580" w:type="dxa"/>
            <w:vAlign w:val="bottom"/>
            <w:gridSpan w:val="1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620" w:type="dxa"/>
            <w:vAlign w:val="bottom"/>
            <w:gridSpan w:val="28"/>
          </w:tcPr>
          <w:p>
            <w:pPr>
              <w:spacing w:after="0"/>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Amendment No. 3 to Anemia License and Collaboration</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60" w:type="dxa"/>
            <w:vAlign w:val="bottom"/>
            <w:tcBorders>
              <w:bottom w:val="single" w:sz="8" w:color="0000EE"/>
            </w:tcBorders>
            <w:gridSpan w:val="27"/>
          </w:tcPr>
          <w:p>
            <w:pPr>
              <w:spacing w:after="0" w:line="192" w:lineRule="exact"/>
              <w:rPr>
                <w:rFonts w:ascii="Times New Roman" w:cs="Times New Roman" w:eastAsia="Times New Roman" w:hAnsi="Times New Roman"/>
                <w:sz w:val="18"/>
                <w:szCs w:val="18"/>
                <w:color w:val="0000EE"/>
                <w:w w:val="97"/>
              </w:rPr>
            </w:pPr>
            <w:hyperlink r:id="rId298">
              <w:r>
                <w:rPr>
                  <w:rFonts w:ascii="Times New Roman" w:cs="Times New Roman" w:eastAsia="Times New Roman" w:hAnsi="Times New Roman"/>
                  <w:sz w:val="18"/>
                  <w:szCs w:val="18"/>
                  <w:color w:val="0000EE"/>
                  <w:w w:val="97"/>
                </w:rPr>
                <w:t>Agreement, by and between FibroGen, Inc. and Astellas Pharma</w:t>
              </w:r>
            </w:hyperlink>
          </w:p>
        </w:tc>
        <w:tc>
          <w:tcPr>
            <w:tcW w:w="6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220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r:id="rId298">
              <w:r>
                <w:rPr>
                  <w:rFonts w:ascii="Times New Roman" w:cs="Times New Roman" w:eastAsia="Times New Roman" w:hAnsi="Times New Roman"/>
                  <w:sz w:val="18"/>
                  <w:szCs w:val="18"/>
                  <w:color w:val="0000EE"/>
                  <w:w w:val="97"/>
                </w:rPr>
                <w:t>Inc., dated as of May 10, 2012.</w:t>
              </w:r>
            </w:hyperlink>
          </w:p>
        </w:tc>
        <w:tc>
          <w:tcPr>
            <w:tcW w:w="2420" w:type="dxa"/>
            <w:vAlign w:val="bottom"/>
            <w:gridSpan w:val="21"/>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5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r:id="rId299">
              <w:r>
                <w:rPr>
                  <w:rFonts w:ascii="Times New Roman" w:cs="Times New Roman" w:eastAsia="Times New Roman" w:hAnsi="Times New Roman"/>
                  <w:sz w:val="18"/>
                  <w:szCs w:val="18"/>
                  <w:color w:val="0000EE"/>
                  <w:w w:val="97"/>
                </w:rPr>
                <w:t>Amended and Restated License, Development and</w:t>
              </w:r>
            </w:hyperlink>
          </w:p>
        </w:tc>
        <w:tc>
          <w:tcPr>
            <w:tcW w:w="1040" w:type="dxa"/>
            <w:vAlign w:val="bottom"/>
            <w:gridSpan w:val="17"/>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40" w:type="dxa"/>
            <w:vAlign w:val="bottom"/>
            <w:tcBorders>
              <w:bottom w:val="single" w:sz="8" w:color="0000EE"/>
            </w:tcBorders>
            <w:gridSpan w:val="26"/>
          </w:tcPr>
          <w:p>
            <w:pPr>
              <w:spacing w:after="0" w:line="192" w:lineRule="exact"/>
              <w:rPr>
                <w:rFonts w:ascii="Times New Roman" w:cs="Times New Roman" w:eastAsia="Times New Roman" w:hAnsi="Times New Roman"/>
                <w:sz w:val="18"/>
                <w:szCs w:val="18"/>
                <w:color w:val="0000EE"/>
                <w:w w:val="97"/>
              </w:rPr>
            </w:pPr>
            <w:hyperlink r:id="rId299">
              <w:r>
                <w:rPr>
                  <w:rFonts w:ascii="Times New Roman" w:cs="Times New Roman" w:eastAsia="Times New Roman" w:hAnsi="Times New Roman"/>
                  <w:sz w:val="18"/>
                  <w:szCs w:val="18"/>
                  <w:color w:val="0000EE"/>
                  <w:w w:val="97"/>
                </w:rPr>
                <w:t>Commercialization Agreement (China) by and among FibroGen</w:t>
              </w:r>
            </w:hyperlink>
          </w:p>
        </w:tc>
        <w:tc>
          <w:tcPr>
            <w:tcW w:w="80" w:type="dxa"/>
            <w:vAlign w:val="bottom"/>
            <w:gridSpan w:val="2"/>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China Anemia Holdings, Ltd., Beijing FibroGen Medical</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22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7"/>
              </w:rPr>
            </w:pPr>
            <w:hyperlink r:id="rId299">
              <w:r>
                <w:rPr>
                  <w:rFonts w:ascii="Times New Roman" w:cs="Times New Roman" w:eastAsia="Times New Roman" w:hAnsi="Times New Roman"/>
                  <w:sz w:val="18"/>
                  <w:szCs w:val="18"/>
                  <w:color w:val="0000EE"/>
                  <w:w w:val="97"/>
                </w:rPr>
                <w:t>Technology Development Co., Ltd., FibroGen International</w:t>
              </w:r>
            </w:hyperlink>
          </w:p>
        </w:tc>
        <w:tc>
          <w:tcPr>
            <w:tcW w:w="400" w:type="dxa"/>
            <w:vAlign w:val="bottom"/>
            <w:gridSpan w:val="11"/>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(Hong Kong) Limited and AstraZeneca AB, effective as of</w:t>
              </w:r>
            </w:hyperlink>
          </w:p>
        </w:tc>
      </w:tr>
      <w:tr>
        <w:trPr>
          <w:trHeight w:val="192"/>
        </w:trPr>
        <w:tc>
          <w:tcPr>
            <w:tcW w:w="1380" w:type="dxa"/>
            <w:vAlign w:val="bottom"/>
          </w:tcPr>
          <w:p>
            <w:pPr>
              <w:spacing w:after="0"/>
              <w:rPr>
                <w:sz w:val="16"/>
                <w:szCs w:val="16"/>
                <w:color w:val="auto"/>
              </w:rPr>
            </w:pPr>
          </w:p>
        </w:tc>
        <w:tc>
          <w:tcPr>
            <w:tcW w:w="4160" w:type="dxa"/>
            <w:vAlign w:val="bottom"/>
            <w:tcBorders>
              <w:top w:val="single" w:sz="8" w:color="0000EE"/>
            </w:tcBorders>
            <w:gridSpan w:val="16"/>
          </w:tcPr>
          <w:p>
            <w:pPr>
              <w:spacing w:after="0" w:line="192"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July 30, 2013.</w:t>
              </w:r>
            </w:hyperlink>
          </w:p>
        </w:tc>
        <w:tc>
          <w:tcPr>
            <w:tcW w:w="460" w:type="dxa"/>
            <w:vAlign w:val="bottom"/>
            <w:gridSpan w:val="12"/>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5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r:id="rId300">
              <w:r>
                <w:rPr>
                  <w:rFonts w:ascii="Times New Roman" w:cs="Times New Roman" w:eastAsia="Times New Roman" w:hAnsi="Times New Roman"/>
                  <w:sz w:val="18"/>
                  <w:szCs w:val="18"/>
                  <w:color w:val="0000EE"/>
                  <w:w w:val="97"/>
                </w:rPr>
                <w:t>Amended and Restated License, Development and</w:t>
              </w:r>
            </w:hyperlink>
          </w:p>
        </w:tc>
        <w:tc>
          <w:tcPr>
            <w:tcW w:w="1040" w:type="dxa"/>
            <w:vAlign w:val="bottom"/>
            <w:gridSpan w:val="17"/>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42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8"/>
              </w:rPr>
            </w:pPr>
            <w:hyperlink r:id="rId300">
              <w:r>
                <w:rPr>
                  <w:rFonts w:ascii="Times New Roman" w:cs="Times New Roman" w:eastAsia="Times New Roman" w:hAnsi="Times New Roman"/>
                  <w:sz w:val="18"/>
                  <w:szCs w:val="18"/>
                  <w:color w:val="0000EE"/>
                  <w:w w:val="98"/>
                </w:rPr>
                <w:t>Commercialization Agreement by and between Registrant and</w:t>
              </w:r>
            </w:hyperlink>
          </w:p>
        </w:tc>
        <w:tc>
          <w:tcPr>
            <w:tcW w:w="200" w:type="dxa"/>
            <w:vAlign w:val="bottom"/>
            <w:gridSpan w:val="7"/>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332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r:id="rId300">
              <w:r>
                <w:rPr>
                  <w:rFonts w:ascii="Times New Roman" w:cs="Times New Roman" w:eastAsia="Times New Roman" w:hAnsi="Times New Roman"/>
                  <w:sz w:val="18"/>
                  <w:szCs w:val="18"/>
                  <w:color w:val="0000EE"/>
                  <w:w w:val="97"/>
                </w:rPr>
                <w:t>AstraZeneca AB, effective as of July 30, 2013.</w:t>
              </w:r>
            </w:hyperlink>
          </w:p>
        </w:tc>
        <w:tc>
          <w:tcPr>
            <w:tcW w:w="1300" w:type="dxa"/>
            <w:vAlign w:val="bottom"/>
            <w:gridSpan w:val="18"/>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620" w:type="dxa"/>
            <w:vAlign w:val="bottom"/>
            <w:gridSpan w:val="28"/>
          </w:tcPr>
          <w:p>
            <w:pPr>
              <w:spacing w:after="0"/>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License Agreement by and between FibroGen, Inc. and the</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260" w:type="dxa"/>
            <w:vAlign w:val="bottom"/>
            <w:tcBorders>
              <w:bottom w:val="single" w:sz="8" w:color="0000EE"/>
            </w:tcBorders>
            <w:gridSpan w:val="18"/>
          </w:tcPr>
          <w:p>
            <w:pPr>
              <w:spacing w:after="0" w:line="192" w:lineRule="exact"/>
              <w:rPr>
                <w:rFonts w:ascii="Times New Roman" w:cs="Times New Roman" w:eastAsia="Times New Roman" w:hAnsi="Times New Roman"/>
                <w:sz w:val="18"/>
                <w:szCs w:val="18"/>
                <w:color w:val="0000EE"/>
                <w:w w:val="97"/>
              </w:rPr>
            </w:pPr>
            <w:hyperlink r:id="rId301">
              <w:r>
                <w:rPr>
                  <w:rFonts w:ascii="Times New Roman" w:cs="Times New Roman" w:eastAsia="Times New Roman" w:hAnsi="Times New Roman"/>
                  <w:sz w:val="18"/>
                  <w:szCs w:val="18"/>
                  <w:color w:val="0000EE"/>
                  <w:w w:val="97"/>
                </w:rPr>
                <w:t>University of Miami and its School of Medicine, dated as of</w:t>
              </w:r>
            </w:hyperlink>
          </w:p>
        </w:tc>
        <w:tc>
          <w:tcPr>
            <w:tcW w:w="360" w:type="dxa"/>
            <w:vAlign w:val="bottom"/>
            <w:gridSpan w:val="10"/>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1040" w:type="dxa"/>
            <w:vAlign w:val="bottom"/>
            <w:tcBorders>
              <w:bottom w:val="single" w:sz="8" w:color="0000EE"/>
            </w:tcBorders>
            <w:gridSpan w:val="3"/>
          </w:tcPr>
          <w:p>
            <w:pPr>
              <w:spacing w:after="0" w:line="192" w:lineRule="exact"/>
              <w:rPr>
                <w:rFonts w:ascii="Times New Roman" w:cs="Times New Roman" w:eastAsia="Times New Roman" w:hAnsi="Times New Roman"/>
                <w:sz w:val="18"/>
                <w:szCs w:val="18"/>
                <w:color w:val="0000EE"/>
                <w:w w:val="97"/>
              </w:rPr>
            </w:pPr>
            <w:hyperlink r:id="rId301">
              <w:r>
                <w:rPr>
                  <w:rFonts w:ascii="Times New Roman" w:cs="Times New Roman" w:eastAsia="Times New Roman" w:hAnsi="Times New Roman"/>
                  <w:sz w:val="18"/>
                  <w:szCs w:val="18"/>
                  <w:color w:val="0000EE"/>
                  <w:w w:val="97"/>
                </w:rPr>
                <w:t>May 23, 1997.</w:t>
              </w:r>
            </w:hyperlink>
          </w:p>
        </w:tc>
        <w:tc>
          <w:tcPr>
            <w:tcW w:w="3580" w:type="dxa"/>
            <w:vAlign w:val="bottom"/>
            <w:gridSpan w:val="25"/>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4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r:id="rId302">
              <w:r>
                <w:rPr>
                  <w:rFonts w:ascii="Times New Roman" w:cs="Times New Roman" w:eastAsia="Times New Roman" w:hAnsi="Times New Roman"/>
                  <w:sz w:val="18"/>
                  <w:szCs w:val="18"/>
                  <w:color w:val="0000EE"/>
                  <w:w w:val="97"/>
                </w:rPr>
                <w:t>First Amendment to May 23, 1997 License Agreement by and</w:t>
              </w:r>
            </w:hyperlink>
          </w:p>
        </w:tc>
        <w:tc>
          <w:tcPr>
            <w:tcW w:w="220" w:type="dxa"/>
            <w:vAlign w:val="bottom"/>
            <w:gridSpan w:val="8"/>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w w:val="99"/>
              </w:rPr>
            </w:pPr>
            <w:hyperlink r:id="rId302">
              <w:r>
                <w:rPr>
                  <w:rFonts w:ascii="Times New Roman" w:cs="Times New Roman" w:eastAsia="Times New Roman" w:hAnsi="Times New Roman"/>
                  <w:sz w:val="18"/>
                  <w:szCs w:val="18"/>
                  <w:color w:val="0000EE"/>
                  <w:w w:val="99"/>
                </w:rPr>
                <w:t>between FibroGen, Inc. and University of Miami, effective as of</w:t>
              </w:r>
            </w:hyperlink>
          </w:p>
        </w:tc>
      </w:tr>
      <w:tr>
        <w:trPr>
          <w:trHeight w:val="192"/>
        </w:trPr>
        <w:tc>
          <w:tcPr>
            <w:tcW w:w="1380" w:type="dxa"/>
            <w:vAlign w:val="bottom"/>
          </w:tcPr>
          <w:p>
            <w:pPr>
              <w:spacing w:after="0"/>
              <w:rPr>
                <w:sz w:val="16"/>
                <w:szCs w:val="16"/>
                <w:color w:val="auto"/>
              </w:rPr>
            </w:pPr>
          </w:p>
        </w:tc>
        <w:tc>
          <w:tcPr>
            <w:tcW w:w="4540" w:type="dxa"/>
            <w:vAlign w:val="bottom"/>
            <w:tcBorders>
              <w:top w:val="single" w:sz="8" w:color="0000EE"/>
            </w:tcBorders>
            <w:gridSpan w:val="26"/>
          </w:tcPr>
          <w:p>
            <w:pPr>
              <w:spacing w:after="0" w:line="192"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July 29, 1999.</w:t>
              </w:r>
            </w:hyperlink>
          </w:p>
        </w:tc>
        <w:tc>
          <w:tcPr>
            <w:tcW w:w="80" w:type="dxa"/>
            <w:vAlign w:val="bottom"/>
            <w:gridSpan w:val="2"/>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2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303">
              <w:r>
                <w:rPr>
                  <w:rFonts w:ascii="Times New Roman" w:cs="Times New Roman" w:eastAsia="Times New Roman" w:hAnsi="Times New Roman"/>
                  <w:sz w:val="18"/>
                  <w:szCs w:val="18"/>
                  <w:color w:val="0000EE"/>
                  <w:w w:val="97"/>
                </w:rPr>
                <w:t>Research and Commercialization Agreement by and among</w:t>
              </w:r>
            </w:hyperlink>
          </w:p>
        </w:tc>
        <w:tc>
          <w:tcPr>
            <w:tcW w:w="400" w:type="dxa"/>
            <w:vAlign w:val="bottom"/>
            <w:gridSpan w:val="11"/>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25"/>
          </w:tcPr>
          <w:p>
            <w:pPr>
              <w:spacing w:after="0" w:line="192" w:lineRule="exact"/>
              <w:rPr>
                <w:rFonts w:ascii="Times New Roman" w:cs="Times New Roman" w:eastAsia="Times New Roman" w:hAnsi="Times New Roman"/>
                <w:sz w:val="18"/>
                <w:szCs w:val="18"/>
                <w:color w:val="0000EE"/>
                <w:w w:val="97"/>
              </w:rPr>
            </w:pPr>
            <w:hyperlink r:id="rId303">
              <w:r>
                <w:rPr>
                  <w:rFonts w:ascii="Times New Roman" w:cs="Times New Roman" w:eastAsia="Times New Roman" w:hAnsi="Times New Roman"/>
                  <w:sz w:val="18"/>
                  <w:szCs w:val="18"/>
                  <w:color w:val="0000EE"/>
                  <w:w w:val="97"/>
                </w:rPr>
                <w:t>FibroGen, Inc., GenPharm International Inc., Medarex, Inc. and</w:t>
              </w:r>
            </w:hyperlink>
          </w:p>
        </w:tc>
        <w:tc>
          <w:tcPr>
            <w:tcW w:w="100" w:type="dxa"/>
            <w:vAlign w:val="bottom"/>
            <w:gridSpan w:val="3"/>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FibroPharma, Inc., effective as of July 9, 1998.</w:t>
              </w:r>
            </w:hyperlink>
          </w:p>
        </w:tc>
      </w:tr>
      <w:tr>
        <w:trPr>
          <w:trHeight w:val="20"/>
        </w:trPr>
        <w:tc>
          <w:tcPr>
            <w:tcW w:w="138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620" w:type="dxa"/>
            <w:vAlign w:val="bottom"/>
            <w:gridSpan w:val="28"/>
          </w:tcPr>
          <w:p>
            <w:pPr>
              <w:spacing w:after="0"/>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Amendment No. 1 to Research and Commercialization</w:t>
              </w:r>
            </w:hyperlink>
          </w:p>
        </w:tc>
      </w:tr>
      <w:tr>
        <w:trPr>
          <w:trHeight w:val="192"/>
        </w:trPr>
        <w:tc>
          <w:tcPr>
            <w:tcW w:w="1380" w:type="dxa"/>
            <w:vAlign w:val="bottom"/>
          </w:tcPr>
          <w:p>
            <w:pPr>
              <w:spacing w:after="0"/>
              <w:rPr>
                <w:sz w:val="16"/>
                <w:szCs w:val="16"/>
                <w:color w:val="auto"/>
              </w:rPr>
            </w:pPr>
          </w:p>
        </w:tc>
        <w:tc>
          <w:tcPr>
            <w:tcW w:w="3760" w:type="dxa"/>
            <w:vAlign w:val="bottom"/>
            <w:tcBorders>
              <w:top w:val="single" w:sz="8" w:color="0000EE"/>
              <w:bottom w:val="single" w:sz="8" w:color="0000EE"/>
            </w:tcBorders>
            <w:gridSpan w:val="12"/>
          </w:tcPr>
          <w:p>
            <w:pPr>
              <w:spacing w:after="0" w:line="192" w:lineRule="exact"/>
              <w:rPr>
                <w:rFonts w:ascii="Times New Roman" w:cs="Times New Roman" w:eastAsia="Times New Roman" w:hAnsi="Times New Roman"/>
                <w:sz w:val="18"/>
                <w:szCs w:val="18"/>
                <w:color w:val="0000EE"/>
                <w:w w:val="97"/>
              </w:rPr>
            </w:pPr>
            <w:hyperlink r:id="rId304">
              <w:r>
                <w:rPr>
                  <w:rFonts w:ascii="Times New Roman" w:cs="Times New Roman" w:eastAsia="Times New Roman" w:hAnsi="Times New Roman"/>
                  <w:sz w:val="18"/>
                  <w:szCs w:val="18"/>
                  <w:color w:val="0000EE"/>
                  <w:w w:val="97"/>
                </w:rPr>
                <w:t>Agreement by and among FibroGen, Inc., GenPharm</w:t>
              </w:r>
            </w:hyperlink>
          </w:p>
        </w:tc>
        <w:tc>
          <w:tcPr>
            <w:tcW w:w="120" w:type="dxa"/>
            <w:vAlign w:val="bottom"/>
            <w:tcBorders>
              <w:top w:val="single" w:sz="8" w:color="0000EE"/>
            </w:tcBorders>
          </w:tcPr>
          <w:p>
            <w:pPr>
              <w:spacing w:after="0"/>
              <w:rPr>
                <w:sz w:val="16"/>
                <w:szCs w:val="16"/>
                <w:color w:val="auto"/>
              </w:rPr>
            </w:pPr>
          </w:p>
        </w:tc>
        <w:tc>
          <w:tcPr>
            <w:tcW w:w="740" w:type="dxa"/>
            <w:vAlign w:val="bottom"/>
            <w:gridSpan w:val="15"/>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28"/>
          </w:tcPr>
          <w:p>
            <w:pPr>
              <w:spacing w:after="0" w:line="192" w:lineRule="exact"/>
              <w:rPr>
                <w:rFonts w:ascii="Times New Roman" w:cs="Times New Roman" w:eastAsia="Times New Roman" w:hAnsi="Times New Roman"/>
                <w:sz w:val="18"/>
                <w:szCs w:val="18"/>
                <w:color w:val="0000EE"/>
                <w:w w:val="97"/>
              </w:rPr>
            </w:pPr>
            <w:hyperlink r:id="rId304">
              <w:r>
                <w:rPr>
                  <w:rFonts w:ascii="Times New Roman" w:cs="Times New Roman" w:eastAsia="Times New Roman" w:hAnsi="Times New Roman"/>
                  <w:sz w:val="18"/>
                  <w:szCs w:val="18"/>
                  <w:color w:val="0000EE"/>
                  <w:w w:val="97"/>
                </w:rPr>
                <w:t>International Inc., Medarex, Inc. and FibroPharma, Inc., effective</w:t>
              </w:r>
            </w:hyperlink>
          </w:p>
        </w:tc>
      </w:tr>
      <w:tr>
        <w:trPr>
          <w:trHeight w:val="192"/>
        </w:trPr>
        <w:tc>
          <w:tcPr>
            <w:tcW w:w="1380" w:type="dxa"/>
            <w:vAlign w:val="bottom"/>
          </w:tcPr>
          <w:p>
            <w:pPr>
              <w:spacing w:after="0"/>
              <w:rPr>
                <w:sz w:val="16"/>
                <w:szCs w:val="16"/>
                <w:color w:val="auto"/>
              </w:rPr>
            </w:pPr>
          </w:p>
        </w:tc>
        <w:tc>
          <w:tcPr>
            <w:tcW w:w="142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r:id="rId304">
              <w:r>
                <w:rPr>
                  <w:rFonts w:ascii="Times New Roman" w:cs="Times New Roman" w:eastAsia="Times New Roman" w:hAnsi="Times New Roman"/>
                  <w:sz w:val="18"/>
                  <w:szCs w:val="18"/>
                  <w:color w:val="0000EE"/>
                  <w:w w:val="97"/>
                </w:rPr>
                <w:t>as of June 30, 2001.</w:t>
              </w:r>
            </w:hyperlink>
          </w:p>
        </w:tc>
        <w:tc>
          <w:tcPr>
            <w:tcW w:w="3200" w:type="dxa"/>
            <w:vAlign w:val="bottom"/>
            <w:gridSpan w:val="24"/>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620" w:type="dxa"/>
            <w:vAlign w:val="bottom"/>
            <w:gridSpan w:val="28"/>
          </w:tcPr>
          <w:p>
            <w:pPr>
              <w:spacing w:after="0"/>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Amendment No. 2 to Research and Commercialization</w:t>
              </w:r>
            </w:hyperlink>
          </w:p>
        </w:tc>
      </w:tr>
      <w:tr>
        <w:trPr>
          <w:trHeight w:val="192"/>
        </w:trPr>
        <w:tc>
          <w:tcPr>
            <w:tcW w:w="1380" w:type="dxa"/>
            <w:vAlign w:val="bottom"/>
          </w:tcPr>
          <w:p>
            <w:pPr>
              <w:spacing w:after="0"/>
              <w:rPr>
                <w:sz w:val="16"/>
                <w:szCs w:val="16"/>
                <w:color w:val="auto"/>
              </w:rPr>
            </w:pPr>
          </w:p>
        </w:tc>
        <w:tc>
          <w:tcPr>
            <w:tcW w:w="3760" w:type="dxa"/>
            <w:vAlign w:val="bottom"/>
            <w:tcBorders>
              <w:top w:val="single" w:sz="8" w:color="0000EE"/>
              <w:bottom w:val="single" w:sz="8" w:color="0000EE"/>
            </w:tcBorders>
            <w:gridSpan w:val="12"/>
          </w:tcPr>
          <w:p>
            <w:pPr>
              <w:spacing w:after="0" w:line="192" w:lineRule="exact"/>
              <w:rPr>
                <w:rFonts w:ascii="Times New Roman" w:cs="Times New Roman" w:eastAsia="Times New Roman" w:hAnsi="Times New Roman"/>
                <w:sz w:val="18"/>
                <w:szCs w:val="18"/>
                <w:color w:val="0000EE"/>
                <w:w w:val="97"/>
              </w:rPr>
            </w:pPr>
            <w:hyperlink r:id="rId305">
              <w:r>
                <w:rPr>
                  <w:rFonts w:ascii="Times New Roman" w:cs="Times New Roman" w:eastAsia="Times New Roman" w:hAnsi="Times New Roman"/>
                  <w:sz w:val="18"/>
                  <w:szCs w:val="18"/>
                  <w:color w:val="0000EE"/>
                  <w:w w:val="97"/>
                </w:rPr>
                <w:t>Agreement by and among FibroGen, Inc., GenPharm</w:t>
              </w:r>
            </w:hyperlink>
          </w:p>
        </w:tc>
        <w:tc>
          <w:tcPr>
            <w:tcW w:w="120" w:type="dxa"/>
            <w:vAlign w:val="bottom"/>
            <w:tcBorders>
              <w:top w:val="single" w:sz="8" w:color="0000EE"/>
            </w:tcBorders>
          </w:tcPr>
          <w:p>
            <w:pPr>
              <w:spacing w:after="0"/>
              <w:rPr>
                <w:sz w:val="16"/>
                <w:szCs w:val="16"/>
                <w:color w:val="auto"/>
              </w:rPr>
            </w:pPr>
          </w:p>
        </w:tc>
        <w:tc>
          <w:tcPr>
            <w:tcW w:w="740" w:type="dxa"/>
            <w:vAlign w:val="bottom"/>
            <w:gridSpan w:val="15"/>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28"/>
          </w:tcPr>
          <w:p>
            <w:pPr>
              <w:spacing w:after="0" w:line="192" w:lineRule="exact"/>
              <w:rPr>
                <w:rFonts w:ascii="Times New Roman" w:cs="Times New Roman" w:eastAsia="Times New Roman" w:hAnsi="Times New Roman"/>
                <w:sz w:val="18"/>
                <w:szCs w:val="18"/>
                <w:color w:val="0000EE"/>
                <w:w w:val="97"/>
              </w:rPr>
            </w:pPr>
            <w:hyperlink r:id="rId305">
              <w:r>
                <w:rPr>
                  <w:rFonts w:ascii="Times New Roman" w:cs="Times New Roman" w:eastAsia="Times New Roman" w:hAnsi="Times New Roman"/>
                  <w:sz w:val="18"/>
                  <w:szCs w:val="18"/>
                  <w:color w:val="0000EE"/>
                  <w:w w:val="97"/>
                </w:rPr>
                <w:t>International Inc., Medarex, Inc. and FibroPharma, Inc., effective</w:t>
              </w:r>
            </w:hyperlink>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as of January 28, 2002.</w:t>
              </w:r>
            </w:hyperlink>
          </w:p>
        </w:tc>
      </w:tr>
      <w:tr>
        <w:trPr>
          <w:trHeight w:val="20"/>
        </w:trPr>
        <w:tc>
          <w:tcPr>
            <w:tcW w:w="138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2640" w:type="dxa"/>
            <w:vAlign w:val="bottom"/>
            <w:gridSpan w:val="14"/>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620" w:type="dxa"/>
            <w:vAlign w:val="bottom"/>
            <w:gridSpan w:val="28"/>
          </w:tcPr>
          <w:p>
            <w:pPr>
              <w:spacing w:after="0"/>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License Agreement by and between FibroGen, Inc. and the</w:t>
              </w:r>
            </w:hyperlink>
          </w:p>
        </w:tc>
      </w:tr>
      <w:tr>
        <w:trPr>
          <w:trHeight w:val="20"/>
        </w:trPr>
        <w:tc>
          <w:tcPr>
            <w:tcW w:w="1380" w:type="dxa"/>
            <w:vAlign w:val="bottom"/>
          </w:tcPr>
          <w:p>
            <w:pPr>
              <w:spacing w:after="0" w:line="20" w:lineRule="exact"/>
              <w:rPr>
                <w:sz w:val="1"/>
                <w:szCs w:val="1"/>
                <w:color w:val="auto"/>
              </w:rPr>
            </w:pPr>
          </w:p>
        </w:tc>
        <w:tc>
          <w:tcPr>
            <w:tcW w:w="4160" w:type="dxa"/>
            <w:vAlign w:val="bottom"/>
            <w:gridSpan w:val="1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Dana-Farber Cancer Institute, Inc., effective as of March 29,</w:t>
              </w:r>
            </w:hyperlink>
          </w:p>
        </w:tc>
      </w:tr>
      <w:tr>
        <w:trPr>
          <w:trHeight w:val="192"/>
        </w:trPr>
        <w:tc>
          <w:tcPr>
            <w:tcW w:w="13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8"/>
                <w:szCs w:val="18"/>
                <w:color w:val="0000EE"/>
                <w:w w:val="93"/>
              </w:rPr>
            </w:pPr>
            <w:hyperlink r:id="rId306">
              <w:r>
                <w:rPr>
                  <w:rFonts w:ascii="Times New Roman" w:cs="Times New Roman" w:eastAsia="Times New Roman" w:hAnsi="Times New Roman"/>
                  <w:sz w:val="18"/>
                  <w:szCs w:val="18"/>
                  <w:color w:val="0000EE"/>
                  <w:w w:val="93"/>
                </w:rPr>
                <w:t>2006.</w:t>
              </w:r>
            </w:hyperlink>
          </w:p>
        </w:tc>
        <w:tc>
          <w:tcPr>
            <w:tcW w:w="6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577"/>
        </w:trPr>
        <w:tc>
          <w:tcPr>
            <w:tcW w:w="1380" w:type="dxa"/>
            <w:vAlign w:val="bottom"/>
          </w:tcPr>
          <w:p>
            <w:pPr>
              <w:spacing w:after="0"/>
              <w:rPr>
                <w:sz w:val="24"/>
                <w:szCs w:val="24"/>
                <w:color w:val="auto"/>
              </w:rPr>
            </w:pPr>
          </w:p>
        </w:tc>
        <w:tc>
          <w:tcPr>
            <w:tcW w:w="4500" w:type="dxa"/>
            <w:vAlign w:val="bottom"/>
            <w:gridSpan w:val="24"/>
          </w:tcPr>
          <w:p>
            <w:pPr>
              <w:ind w:left="420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7291705"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3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10.12</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10.13</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10.14</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10.15</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10.16</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10.17</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10/23/2014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10-Q/A</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001-36740</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10.16</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12/14/2017</w:t>
            </w:r>
          </w:p>
        </w:tc>
      </w:tr>
      <w:tr>
        <w:trPr>
          <w:trHeight w:val="781"/>
        </w:trPr>
        <w:tc>
          <w:tcPr>
            <w:tcW w:w="7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5"/>
              </w:rPr>
              <w:t>S-1</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10.19</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7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5"/>
              </w:rPr>
              <w:t>S-1</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10.20</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7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5"/>
              </w:rPr>
              <w:t>S-1</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10.21</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7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5"/>
              </w:rPr>
              <w:t>S-1</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10.22</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7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5"/>
              </w:rPr>
              <w:t>S-1</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10.23</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7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5"/>
              </w:rPr>
              <w:t>S-1</w:t>
            </w:r>
          </w:p>
        </w:tc>
        <w:tc>
          <w:tcPr>
            <w:tcW w:w="1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10.24</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bl>
    <w:p>
      <w:pPr>
        <w:sectPr>
          <w:pgSz w:w="11900" w:h="16838" w:orient="portrait"/>
          <w:cols w:equalWidth="0" w:num="2">
            <w:col w:w="6000" w:space="260"/>
            <w:col w:w="4600"/>
          </w:cols>
          <w:pgMar w:left="240" w:top="330" w:right="79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0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r:id="rId308">
              <w:r>
                <w:rPr>
                  <w:rFonts w:ascii="Times New Roman" w:cs="Times New Roman" w:eastAsia="Times New Roman" w:hAnsi="Times New Roman"/>
                  <w:sz w:val="18"/>
                  <w:szCs w:val="18"/>
                  <w:color w:val="0000EE"/>
                  <w:w w:val="97"/>
                </w:rPr>
                <w:t>Amendment No. 1 to License agreement by and between</w:t>
              </w:r>
            </w:hyperlink>
          </w:p>
        </w:tc>
        <w:tc>
          <w:tcPr>
            <w:tcW w:w="600" w:type="dxa"/>
            <w:vAlign w:val="bottom"/>
            <w:gridSpan w:val="9"/>
          </w:tcPr>
          <w:p>
            <w:pPr>
              <w:spacing w:after="0"/>
              <w:rPr>
                <w:sz w:val="17"/>
                <w:szCs w:val="17"/>
                <w:color w:val="auto"/>
              </w:rPr>
            </w:pPr>
          </w:p>
        </w:tc>
      </w:tr>
      <w:tr>
        <w:trPr>
          <w:trHeight w:val="192"/>
        </w:trPr>
        <w:tc>
          <w:tcPr>
            <w:tcW w:w="1380" w:type="dxa"/>
            <w:vAlign w:val="bottom"/>
          </w:tcPr>
          <w:p>
            <w:pPr>
              <w:spacing w:after="0"/>
              <w:rPr>
                <w:sz w:val="16"/>
                <w:szCs w:val="16"/>
                <w:color w:val="auto"/>
              </w:rPr>
            </w:pPr>
          </w:p>
        </w:tc>
        <w:tc>
          <w:tcPr>
            <w:tcW w:w="450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7"/>
              </w:rPr>
            </w:pPr>
            <w:hyperlink r:id="rId308">
              <w:r>
                <w:rPr>
                  <w:rFonts w:ascii="Times New Roman" w:cs="Times New Roman" w:eastAsia="Times New Roman" w:hAnsi="Times New Roman"/>
                  <w:sz w:val="18"/>
                  <w:szCs w:val="18"/>
                  <w:color w:val="0000EE"/>
                  <w:w w:val="97"/>
                </w:rPr>
                <w:t>FibroGen, Inc. and Dana-Farber Cancer Institute, Inc., effective</w:t>
              </w:r>
            </w:hyperlink>
          </w:p>
        </w:tc>
        <w:tc>
          <w:tcPr>
            <w:tcW w:w="120" w:type="dxa"/>
            <w:vAlign w:val="bottom"/>
            <w:gridSpan w:val="2"/>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as of February 28, 2006.</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620" w:type="dxa"/>
            <w:vAlign w:val="bottom"/>
            <w:gridSpan w:val="23"/>
          </w:tcPr>
          <w:p>
            <w:pPr>
              <w:spacing w:after="0"/>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Amendment No. 2 to License Agreement by and between</w:t>
              </w:r>
            </w:hyperlink>
          </w:p>
        </w:tc>
      </w:tr>
      <w:tr>
        <w:trPr>
          <w:trHeight w:val="20"/>
        </w:trPr>
        <w:tc>
          <w:tcPr>
            <w:tcW w:w="1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00" w:type="dxa"/>
            <w:vAlign w:val="bottom"/>
            <w:tcBorders>
              <w:bottom w:val="single" w:sz="8" w:color="0000EE"/>
            </w:tcBorders>
            <w:gridSpan w:val="21"/>
          </w:tcPr>
          <w:p>
            <w:pPr>
              <w:spacing w:after="0" w:line="192" w:lineRule="exact"/>
              <w:rPr>
                <w:rFonts w:ascii="Times New Roman" w:cs="Times New Roman" w:eastAsia="Times New Roman" w:hAnsi="Times New Roman"/>
                <w:sz w:val="18"/>
                <w:szCs w:val="18"/>
                <w:color w:val="0000EE"/>
                <w:w w:val="97"/>
              </w:rPr>
            </w:pPr>
            <w:hyperlink r:id="rId309">
              <w:r>
                <w:rPr>
                  <w:rFonts w:ascii="Times New Roman" w:cs="Times New Roman" w:eastAsia="Times New Roman" w:hAnsi="Times New Roman"/>
                  <w:sz w:val="18"/>
                  <w:szCs w:val="18"/>
                  <w:color w:val="0000EE"/>
                  <w:w w:val="97"/>
                </w:rPr>
                <w:t>FibroGen, Inc. and Dana-Farber Cancer Institute, Inc., effective</w:t>
              </w:r>
            </w:hyperlink>
          </w:p>
        </w:tc>
        <w:tc>
          <w:tcPr>
            <w:tcW w:w="120" w:type="dxa"/>
            <w:vAlign w:val="bottom"/>
            <w:gridSpan w:val="2"/>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1560" w:type="dxa"/>
            <w:vAlign w:val="bottom"/>
            <w:tcBorders>
              <w:bottom w:val="single" w:sz="8" w:color="0000EE"/>
            </w:tcBorders>
            <w:gridSpan w:val="9"/>
          </w:tcPr>
          <w:p>
            <w:pPr>
              <w:spacing w:after="0" w:line="192" w:lineRule="exact"/>
              <w:rPr>
                <w:rFonts w:ascii="Times New Roman" w:cs="Times New Roman" w:eastAsia="Times New Roman" w:hAnsi="Times New Roman"/>
                <w:sz w:val="18"/>
                <w:szCs w:val="18"/>
                <w:color w:val="0000EE"/>
                <w:w w:val="97"/>
              </w:rPr>
            </w:pPr>
            <w:hyperlink r:id="rId309">
              <w:r>
                <w:rPr>
                  <w:rFonts w:ascii="Times New Roman" w:cs="Times New Roman" w:eastAsia="Times New Roman" w:hAnsi="Times New Roman"/>
                  <w:sz w:val="18"/>
                  <w:szCs w:val="18"/>
                  <w:color w:val="0000EE"/>
                  <w:w w:val="97"/>
                </w:rPr>
                <w:t>as of March 14, 2006.</w:t>
              </w:r>
            </w:hyperlink>
          </w:p>
        </w:tc>
        <w:tc>
          <w:tcPr>
            <w:tcW w:w="3060" w:type="dxa"/>
            <w:vAlign w:val="bottom"/>
            <w:gridSpan w:val="14"/>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620" w:type="dxa"/>
            <w:vAlign w:val="bottom"/>
            <w:gridSpan w:val="23"/>
          </w:tcPr>
          <w:p>
            <w:pPr>
              <w:spacing w:after="0"/>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Form of Indemnity Agreement by and between FibroGen, Inc.</w:t>
              </w:r>
            </w:hyperlink>
          </w:p>
        </w:tc>
      </w:tr>
      <w:tr>
        <w:trPr>
          <w:trHeight w:val="192"/>
        </w:trPr>
        <w:tc>
          <w:tcPr>
            <w:tcW w:w="138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11"/>
          </w:tcPr>
          <w:p>
            <w:pPr>
              <w:spacing w:after="0" w:line="192" w:lineRule="exact"/>
              <w:rPr>
                <w:rFonts w:ascii="Times New Roman" w:cs="Times New Roman" w:eastAsia="Times New Roman" w:hAnsi="Times New Roman"/>
                <w:sz w:val="18"/>
                <w:szCs w:val="18"/>
                <w:color w:val="0000EE"/>
                <w:w w:val="97"/>
              </w:rPr>
            </w:pPr>
            <w:hyperlink r:id="rId310">
              <w:r>
                <w:rPr>
                  <w:rFonts w:ascii="Times New Roman" w:cs="Times New Roman" w:eastAsia="Times New Roman" w:hAnsi="Times New Roman"/>
                  <w:sz w:val="18"/>
                  <w:szCs w:val="18"/>
                  <w:color w:val="0000EE"/>
                  <w:w w:val="97"/>
                </w:rPr>
                <w:t>and its directors and officers.</w:t>
              </w:r>
            </w:hyperlink>
          </w:p>
        </w:tc>
        <w:tc>
          <w:tcPr>
            <w:tcW w:w="2340" w:type="dxa"/>
            <w:vAlign w:val="bottom"/>
            <w:tcBorders>
              <w:top w:val="single" w:sz="8" w:color="0000EE"/>
            </w:tcBorders>
            <w:gridSpan w:val="9"/>
          </w:tcPr>
          <w:p>
            <w:pPr>
              <w:spacing w:after="0"/>
              <w:rPr>
                <w:sz w:val="16"/>
                <w:szCs w:val="16"/>
                <w:color w:val="auto"/>
              </w:rPr>
            </w:pPr>
          </w:p>
        </w:tc>
        <w:tc>
          <w:tcPr>
            <w:tcW w:w="220" w:type="dxa"/>
            <w:vAlign w:val="bottom"/>
            <w:gridSpan w:val="3"/>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10.26(i)†</w:t>
            </w:r>
          </w:p>
        </w:tc>
        <w:tc>
          <w:tcPr>
            <w:tcW w:w="43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311">
              <w:r>
                <w:rPr>
                  <w:rFonts w:ascii="Times New Roman" w:cs="Times New Roman" w:eastAsia="Times New Roman" w:hAnsi="Times New Roman"/>
                  <w:sz w:val="18"/>
                  <w:szCs w:val="18"/>
                  <w:color w:val="0000EE"/>
                  <w:w w:val="97"/>
                </w:rPr>
                <w:t>Process Development and Clinical Supply Agreement by and</w:t>
              </w:r>
            </w:hyperlink>
          </w:p>
        </w:tc>
        <w:tc>
          <w:tcPr>
            <w:tcW w:w="280" w:type="dxa"/>
            <w:vAlign w:val="bottom"/>
            <w:gridSpan w:val="4"/>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160" w:type="dxa"/>
            <w:vAlign w:val="bottom"/>
            <w:tcBorders>
              <w:bottom w:val="single" w:sz="8" w:color="0000EE"/>
            </w:tcBorders>
            <w:gridSpan w:val="16"/>
          </w:tcPr>
          <w:p>
            <w:pPr>
              <w:spacing w:after="0" w:line="192" w:lineRule="exact"/>
              <w:rPr>
                <w:rFonts w:ascii="Times New Roman" w:cs="Times New Roman" w:eastAsia="Times New Roman" w:hAnsi="Times New Roman"/>
                <w:sz w:val="18"/>
                <w:szCs w:val="18"/>
                <w:color w:val="0000EE"/>
                <w:w w:val="97"/>
              </w:rPr>
            </w:pPr>
            <w:hyperlink r:id="rId311">
              <w:r>
                <w:rPr>
                  <w:rFonts w:ascii="Times New Roman" w:cs="Times New Roman" w:eastAsia="Times New Roman" w:hAnsi="Times New Roman"/>
                  <w:sz w:val="18"/>
                  <w:szCs w:val="18"/>
                  <w:color w:val="0000EE"/>
                  <w:w w:val="97"/>
                </w:rPr>
                <w:t>between FibroGen, Inc. and Boehringer Ingelheim Pharma</w:t>
              </w:r>
            </w:hyperlink>
          </w:p>
        </w:tc>
        <w:tc>
          <w:tcPr>
            <w:tcW w:w="460" w:type="dxa"/>
            <w:vAlign w:val="bottom"/>
            <w:gridSpan w:val="7"/>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3840" w:type="dxa"/>
            <w:vAlign w:val="bottom"/>
            <w:tcBorders>
              <w:bottom w:val="single" w:sz="8" w:color="0000EE"/>
            </w:tcBorders>
            <w:gridSpan w:val="12"/>
          </w:tcPr>
          <w:p>
            <w:pPr>
              <w:spacing w:after="0" w:line="192" w:lineRule="exact"/>
              <w:rPr>
                <w:rFonts w:ascii="Times New Roman" w:cs="Times New Roman" w:eastAsia="Times New Roman" w:hAnsi="Times New Roman"/>
                <w:sz w:val="18"/>
                <w:szCs w:val="18"/>
                <w:color w:val="0000EE"/>
                <w:w w:val="97"/>
              </w:rPr>
            </w:pPr>
            <w:hyperlink r:id="rId311">
              <w:r>
                <w:rPr>
                  <w:rFonts w:ascii="Times New Roman" w:cs="Times New Roman" w:eastAsia="Times New Roman" w:hAnsi="Times New Roman"/>
                  <w:sz w:val="18"/>
                  <w:szCs w:val="18"/>
                  <w:color w:val="0000EE"/>
                  <w:w w:val="97"/>
                </w:rPr>
                <w:t>GmbH &amp; Co. KG, effective as of November 29, 2007.</w:t>
              </w:r>
            </w:hyperlink>
          </w:p>
        </w:tc>
        <w:tc>
          <w:tcPr>
            <w:tcW w:w="780" w:type="dxa"/>
            <w:vAlign w:val="bottom"/>
            <w:gridSpan w:val="11"/>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10.26(ii)†</w:t>
            </w:r>
          </w:p>
        </w:tc>
        <w:tc>
          <w:tcPr>
            <w:tcW w:w="46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r:id="rId312">
              <w:r>
                <w:rPr>
                  <w:rFonts w:ascii="Times New Roman" w:cs="Times New Roman" w:eastAsia="Times New Roman" w:hAnsi="Times New Roman"/>
                  <w:sz w:val="18"/>
                  <w:szCs w:val="18"/>
                  <w:color w:val="0000EE"/>
                  <w:w w:val="97"/>
                </w:rPr>
                <w:t>Letter Agreement by and between FibroGen, Inc. and Boehringer</w:t>
              </w:r>
            </w:hyperlink>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Ingelheim Pharma GmbH &amp; Co. KG, effective as of June 26,</w:t>
              </w:r>
            </w:hyperlink>
          </w:p>
        </w:tc>
      </w:tr>
      <w:tr>
        <w:trPr>
          <w:trHeight w:val="192"/>
        </w:trPr>
        <w:tc>
          <w:tcPr>
            <w:tcW w:w="13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8"/>
                <w:szCs w:val="18"/>
                <w:color w:val="0000EE"/>
                <w:w w:val="93"/>
              </w:rPr>
            </w:pPr>
            <w:hyperlink r:id="rId312">
              <w:r>
                <w:rPr>
                  <w:rFonts w:ascii="Times New Roman" w:cs="Times New Roman" w:eastAsia="Times New Roman" w:hAnsi="Times New Roman"/>
                  <w:sz w:val="18"/>
                  <w:szCs w:val="18"/>
                  <w:color w:val="0000EE"/>
                  <w:w w:val="93"/>
                </w:rPr>
                <w:t>2008.</w:t>
              </w:r>
            </w:hyperlink>
          </w:p>
        </w:tc>
        <w:tc>
          <w:tcPr>
            <w:tcW w:w="6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7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10.26(iii)†</w:t>
            </w:r>
          </w:p>
        </w:tc>
        <w:tc>
          <w:tcPr>
            <w:tcW w:w="46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r:id="rId313">
              <w:r>
                <w:rPr>
                  <w:rFonts w:ascii="Times New Roman" w:cs="Times New Roman" w:eastAsia="Times New Roman" w:hAnsi="Times New Roman"/>
                  <w:sz w:val="18"/>
                  <w:szCs w:val="18"/>
                  <w:color w:val="0000EE"/>
                  <w:w w:val="97"/>
                </w:rPr>
                <w:t>Letter Agreement by and between FibroGen, Inc. and Boehringer</w:t>
              </w:r>
            </w:hyperlink>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Ingelheim Pharma GmbH &amp; Co. KG, effective as of August 18,</w:t>
              </w:r>
            </w:hyperlink>
          </w:p>
        </w:tc>
      </w:tr>
      <w:tr>
        <w:trPr>
          <w:trHeight w:val="192"/>
        </w:trPr>
        <w:tc>
          <w:tcPr>
            <w:tcW w:w="13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8"/>
                <w:szCs w:val="18"/>
                <w:color w:val="0000EE"/>
                <w:w w:val="93"/>
              </w:rPr>
            </w:pPr>
            <w:hyperlink r:id="rId313">
              <w:r>
                <w:rPr>
                  <w:rFonts w:ascii="Times New Roman" w:cs="Times New Roman" w:eastAsia="Times New Roman" w:hAnsi="Times New Roman"/>
                  <w:sz w:val="18"/>
                  <w:szCs w:val="18"/>
                  <w:color w:val="0000EE"/>
                  <w:w w:val="93"/>
                </w:rPr>
                <w:t>2008.</w:t>
              </w:r>
            </w:hyperlink>
          </w:p>
        </w:tc>
        <w:tc>
          <w:tcPr>
            <w:tcW w:w="6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7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10.26(iv)†</w:t>
            </w:r>
          </w:p>
        </w:tc>
        <w:tc>
          <w:tcPr>
            <w:tcW w:w="4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314">
              <w:r>
                <w:rPr>
                  <w:rFonts w:ascii="Times New Roman" w:cs="Times New Roman" w:eastAsia="Times New Roman" w:hAnsi="Times New Roman"/>
                  <w:sz w:val="18"/>
                  <w:szCs w:val="18"/>
                  <w:color w:val="0000EE"/>
                  <w:w w:val="97"/>
                </w:rPr>
                <w:t>Amendment No. 1 to the Process Development and Clinical</w:t>
              </w:r>
            </w:hyperlink>
          </w:p>
        </w:tc>
        <w:tc>
          <w:tcPr>
            <w:tcW w:w="380" w:type="dxa"/>
            <w:vAlign w:val="bottom"/>
            <w:gridSpan w:val="6"/>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14">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w w:val="99"/>
              </w:rPr>
            </w:pPr>
            <w:hyperlink r:id="rId314">
              <w:r>
                <w:rPr>
                  <w:rFonts w:ascii="Times New Roman" w:cs="Times New Roman" w:eastAsia="Times New Roman" w:hAnsi="Times New Roman"/>
                  <w:sz w:val="18"/>
                  <w:szCs w:val="18"/>
                  <w:color w:val="0000EE"/>
                  <w:w w:val="99"/>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040" w:type="dxa"/>
            <w:vAlign w:val="bottom"/>
            <w:tcBorders>
              <w:top w:val="single" w:sz="8" w:color="0000EE"/>
              <w:bottom w:val="single" w:sz="8" w:color="0000EE"/>
            </w:tcBorders>
            <w:gridSpan w:val="3"/>
          </w:tcPr>
          <w:p>
            <w:pPr>
              <w:spacing w:after="0" w:line="192" w:lineRule="exact"/>
              <w:rPr>
                <w:rFonts w:ascii="Times New Roman" w:cs="Times New Roman" w:eastAsia="Times New Roman" w:hAnsi="Times New Roman"/>
                <w:sz w:val="18"/>
                <w:szCs w:val="18"/>
                <w:color w:val="0000EE"/>
                <w:w w:val="97"/>
              </w:rPr>
            </w:pPr>
            <w:hyperlink r:id="rId314">
              <w:r>
                <w:rPr>
                  <w:rFonts w:ascii="Times New Roman" w:cs="Times New Roman" w:eastAsia="Times New Roman" w:hAnsi="Times New Roman"/>
                  <w:sz w:val="18"/>
                  <w:szCs w:val="18"/>
                  <w:color w:val="0000EE"/>
                  <w:w w:val="97"/>
                </w:rPr>
                <w:t>May 28, 2009.</w:t>
              </w:r>
            </w:hyperlink>
          </w:p>
        </w:tc>
        <w:tc>
          <w:tcPr>
            <w:tcW w:w="3480" w:type="dxa"/>
            <w:vAlign w:val="bottom"/>
            <w:tcBorders>
              <w:top w:val="single" w:sz="8" w:color="0000EE"/>
            </w:tcBorders>
            <w:gridSpan w:val="19"/>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10.26(v)†</w:t>
            </w:r>
          </w:p>
        </w:tc>
        <w:tc>
          <w:tcPr>
            <w:tcW w:w="4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315">
              <w:r>
                <w:rPr>
                  <w:rFonts w:ascii="Times New Roman" w:cs="Times New Roman" w:eastAsia="Times New Roman" w:hAnsi="Times New Roman"/>
                  <w:sz w:val="18"/>
                  <w:szCs w:val="18"/>
                  <w:color w:val="0000EE"/>
                  <w:w w:val="97"/>
                </w:rPr>
                <w:t>Amendment No. 3 to the Process Development and Clinical</w:t>
              </w:r>
            </w:hyperlink>
          </w:p>
        </w:tc>
        <w:tc>
          <w:tcPr>
            <w:tcW w:w="380" w:type="dxa"/>
            <w:vAlign w:val="bottom"/>
            <w:gridSpan w:val="6"/>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w w:val="99"/>
              </w:rPr>
            </w:pPr>
            <w:hyperlink r:id="rId315">
              <w:r>
                <w:rPr>
                  <w:rFonts w:ascii="Times New Roman" w:cs="Times New Roman" w:eastAsia="Times New Roman" w:hAnsi="Times New Roman"/>
                  <w:sz w:val="18"/>
                  <w:szCs w:val="18"/>
                  <w:color w:val="0000EE"/>
                  <w:w w:val="99"/>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4520" w:type="dxa"/>
            <w:vAlign w:val="bottom"/>
            <w:tcBorders>
              <w:top w:val="single" w:sz="8" w:color="0000EE"/>
            </w:tcBorders>
            <w:gridSpan w:val="22"/>
          </w:tcPr>
          <w:p>
            <w:pPr>
              <w:spacing w:after="0" w:line="192"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November 5, 2010.</w:t>
              </w:r>
            </w:hyperlink>
          </w:p>
        </w:tc>
        <w:tc>
          <w:tcPr>
            <w:tcW w:w="100" w:type="dxa"/>
            <w:vAlign w:val="bottom"/>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gridSpan w:val="15"/>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10.26(vi)†</w:t>
            </w:r>
          </w:p>
        </w:tc>
        <w:tc>
          <w:tcPr>
            <w:tcW w:w="4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316">
              <w:r>
                <w:rPr>
                  <w:rFonts w:ascii="Times New Roman" w:cs="Times New Roman" w:eastAsia="Times New Roman" w:hAnsi="Times New Roman"/>
                  <w:sz w:val="18"/>
                  <w:szCs w:val="18"/>
                  <w:color w:val="0000EE"/>
                  <w:w w:val="97"/>
                </w:rPr>
                <w:t>Amendment No. 4 to the Process Development and Clinical</w:t>
              </w:r>
            </w:hyperlink>
          </w:p>
        </w:tc>
        <w:tc>
          <w:tcPr>
            <w:tcW w:w="380" w:type="dxa"/>
            <w:vAlign w:val="bottom"/>
            <w:gridSpan w:val="6"/>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16">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w w:val="99"/>
              </w:rPr>
            </w:pPr>
            <w:hyperlink r:id="rId316">
              <w:r>
                <w:rPr>
                  <w:rFonts w:ascii="Times New Roman" w:cs="Times New Roman" w:eastAsia="Times New Roman" w:hAnsi="Times New Roman"/>
                  <w:sz w:val="18"/>
                  <w:szCs w:val="18"/>
                  <w:color w:val="0000EE"/>
                  <w:w w:val="99"/>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260" w:type="dxa"/>
            <w:vAlign w:val="bottom"/>
            <w:tcBorders>
              <w:top w:val="single" w:sz="8" w:color="0000EE"/>
              <w:bottom w:val="single" w:sz="8" w:color="0000EE"/>
            </w:tcBorders>
            <w:gridSpan w:val="6"/>
          </w:tcPr>
          <w:p>
            <w:pPr>
              <w:spacing w:after="0" w:line="192" w:lineRule="exact"/>
              <w:rPr>
                <w:rFonts w:ascii="Times New Roman" w:cs="Times New Roman" w:eastAsia="Times New Roman" w:hAnsi="Times New Roman"/>
                <w:sz w:val="18"/>
                <w:szCs w:val="18"/>
                <w:color w:val="0000EE"/>
                <w:w w:val="96"/>
              </w:rPr>
            </w:pPr>
            <w:hyperlink r:id="rId316">
              <w:r>
                <w:rPr>
                  <w:rFonts w:ascii="Times New Roman" w:cs="Times New Roman" w:eastAsia="Times New Roman" w:hAnsi="Times New Roman"/>
                  <w:sz w:val="18"/>
                  <w:szCs w:val="18"/>
                  <w:color w:val="0000EE"/>
                  <w:w w:val="96"/>
                </w:rPr>
                <w:t>January 24, 2011.</w:t>
              </w:r>
            </w:hyperlink>
          </w:p>
        </w:tc>
        <w:tc>
          <w:tcPr>
            <w:tcW w:w="3260" w:type="dxa"/>
            <w:vAlign w:val="bottom"/>
            <w:tcBorders>
              <w:top w:val="single" w:sz="8" w:color="0000EE"/>
            </w:tcBorders>
            <w:gridSpan w:val="16"/>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10.26(vii)†</w:t>
            </w:r>
          </w:p>
        </w:tc>
        <w:tc>
          <w:tcPr>
            <w:tcW w:w="4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317">
              <w:r>
                <w:rPr>
                  <w:rFonts w:ascii="Times New Roman" w:cs="Times New Roman" w:eastAsia="Times New Roman" w:hAnsi="Times New Roman"/>
                  <w:sz w:val="18"/>
                  <w:szCs w:val="18"/>
                  <w:color w:val="0000EE"/>
                  <w:w w:val="97"/>
                </w:rPr>
                <w:t>Amendment No. 5 to the Process Development and Clinical</w:t>
              </w:r>
            </w:hyperlink>
          </w:p>
        </w:tc>
        <w:tc>
          <w:tcPr>
            <w:tcW w:w="380" w:type="dxa"/>
            <w:vAlign w:val="bottom"/>
            <w:gridSpan w:val="6"/>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17">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w w:val="99"/>
              </w:rPr>
            </w:pPr>
            <w:hyperlink r:id="rId317">
              <w:r>
                <w:rPr>
                  <w:rFonts w:ascii="Times New Roman" w:cs="Times New Roman" w:eastAsia="Times New Roman" w:hAnsi="Times New Roman"/>
                  <w:sz w:val="18"/>
                  <w:szCs w:val="18"/>
                  <w:color w:val="0000EE"/>
                  <w:w w:val="99"/>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4"/>
          </w:tcPr>
          <w:p>
            <w:pPr>
              <w:spacing w:after="0" w:line="192" w:lineRule="exact"/>
              <w:rPr>
                <w:rFonts w:ascii="Times New Roman" w:cs="Times New Roman" w:eastAsia="Times New Roman" w:hAnsi="Times New Roman"/>
                <w:sz w:val="18"/>
                <w:szCs w:val="18"/>
                <w:color w:val="0000EE"/>
                <w:w w:val="96"/>
              </w:rPr>
            </w:pPr>
            <w:hyperlink r:id="rId317">
              <w:r>
                <w:rPr>
                  <w:rFonts w:ascii="Times New Roman" w:cs="Times New Roman" w:eastAsia="Times New Roman" w:hAnsi="Times New Roman"/>
                  <w:sz w:val="18"/>
                  <w:szCs w:val="18"/>
                  <w:color w:val="0000EE"/>
                  <w:w w:val="96"/>
                </w:rPr>
                <w:t>April 15, 2011.</w:t>
              </w:r>
            </w:hyperlink>
          </w:p>
        </w:tc>
        <w:tc>
          <w:tcPr>
            <w:tcW w:w="3440" w:type="dxa"/>
            <w:vAlign w:val="bottom"/>
            <w:tcBorders>
              <w:top w:val="single" w:sz="8" w:color="0000EE"/>
            </w:tcBorders>
            <w:gridSpan w:val="18"/>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10.26(viii)†</w:t>
            </w:r>
          </w:p>
        </w:tc>
        <w:tc>
          <w:tcPr>
            <w:tcW w:w="4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318">
              <w:r>
                <w:rPr>
                  <w:rFonts w:ascii="Times New Roman" w:cs="Times New Roman" w:eastAsia="Times New Roman" w:hAnsi="Times New Roman"/>
                  <w:sz w:val="18"/>
                  <w:szCs w:val="18"/>
                  <w:color w:val="0000EE"/>
                  <w:w w:val="97"/>
                </w:rPr>
                <w:t>Amendment No. 6 to the Process Development and Clinical</w:t>
              </w:r>
            </w:hyperlink>
          </w:p>
        </w:tc>
        <w:tc>
          <w:tcPr>
            <w:tcW w:w="380" w:type="dxa"/>
            <w:vAlign w:val="bottom"/>
            <w:gridSpan w:val="6"/>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w w:val="99"/>
              </w:rPr>
            </w:pPr>
            <w:hyperlink r:id="rId318">
              <w:r>
                <w:rPr>
                  <w:rFonts w:ascii="Times New Roman" w:cs="Times New Roman" w:eastAsia="Times New Roman" w:hAnsi="Times New Roman"/>
                  <w:sz w:val="18"/>
                  <w:szCs w:val="18"/>
                  <w:color w:val="0000EE"/>
                  <w:w w:val="99"/>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4520" w:type="dxa"/>
            <w:vAlign w:val="bottom"/>
            <w:tcBorders>
              <w:top w:val="single" w:sz="8" w:color="0000EE"/>
            </w:tcBorders>
            <w:gridSpan w:val="22"/>
          </w:tcPr>
          <w:p>
            <w:pPr>
              <w:spacing w:after="0" w:line="192" w:lineRule="exact"/>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May 26, 2011.</w:t>
              </w:r>
            </w:hyperlink>
          </w:p>
        </w:tc>
        <w:tc>
          <w:tcPr>
            <w:tcW w:w="100" w:type="dxa"/>
            <w:vAlign w:val="bottom"/>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160" w:type="dxa"/>
            <w:vAlign w:val="bottom"/>
            <w:gridSpan w:val="15"/>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10.26(ix)†</w:t>
            </w:r>
          </w:p>
        </w:tc>
        <w:tc>
          <w:tcPr>
            <w:tcW w:w="4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319">
              <w:r>
                <w:rPr>
                  <w:rFonts w:ascii="Times New Roman" w:cs="Times New Roman" w:eastAsia="Times New Roman" w:hAnsi="Times New Roman"/>
                  <w:sz w:val="18"/>
                  <w:szCs w:val="18"/>
                  <w:color w:val="0000EE"/>
                  <w:w w:val="97"/>
                </w:rPr>
                <w:t>Amendment No. 7 to the Process Development and Clinical</w:t>
              </w:r>
            </w:hyperlink>
          </w:p>
        </w:tc>
        <w:tc>
          <w:tcPr>
            <w:tcW w:w="380" w:type="dxa"/>
            <w:vAlign w:val="bottom"/>
            <w:gridSpan w:val="6"/>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w w:val="99"/>
              </w:rPr>
            </w:pPr>
            <w:hyperlink r:id="rId319">
              <w:r>
                <w:rPr>
                  <w:rFonts w:ascii="Times New Roman" w:cs="Times New Roman" w:eastAsia="Times New Roman" w:hAnsi="Times New Roman"/>
                  <w:sz w:val="18"/>
                  <w:szCs w:val="18"/>
                  <w:color w:val="0000EE"/>
                  <w:w w:val="99"/>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5"/>
          </w:tcPr>
          <w:p>
            <w:pPr>
              <w:spacing w:after="0" w:line="192" w:lineRule="exact"/>
              <w:rPr>
                <w:rFonts w:ascii="Times New Roman" w:cs="Times New Roman" w:eastAsia="Times New Roman" w:hAnsi="Times New Roman"/>
                <w:sz w:val="18"/>
                <w:szCs w:val="18"/>
                <w:color w:val="0000EE"/>
                <w:w w:val="97"/>
              </w:rPr>
            </w:pPr>
            <w:hyperlink r:id="rId319">
              <w:r>
                <w:rPr>
                  <w:rFonts w:ascii="Times New Roman" w:cs="Times New Roman" w:eastAsia="Times New Roman" w:hAnsi="Times New Roman"/>
                  <w:sz w:val="18"/>
                  <w:szCs w:val="18"/>
                  <w:color w:val="0000EE"/>
                  <w:w w:val="97"/>
                </w:rPr>
                <w:t>January 1, 2012.</w:t>
              </w:r>
            </w:hyperlink>
          </w:p>
        </w:tc>
        <w:tc>
          <w:tcPr>
            <w:tcW w:w="3340" w:type="dxa"/>
            <w:vAlign w:val="bottom"/>
            <w:tcBorders>
              <w:top w:val="single" w:sz="8" w:color="0000EE"/>
            </w:tcBorders>
            <w:gridSpan w:val="17"/>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w:t>
            </w:r>
          </w:p>
        </w:tc>
        <w:tc>
          <w:tcPr>
            <w:tcW w:w="4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320">
              <w:r>
                <w:rPr>
                  <w:rFonts w:ascii="Times New Roman" w:cs="Times New Roman" w:eastAsia="Times New Roman" w:hAnsi="Times New Roman"/>
                  <w:sz w:val="18"/>
                  <w:szCs w:val="18"/>
                  <w:color w:val="0000EE"/>
                  <w:w w:val="97"/>
                </w:rPr>
                <w:t>Amendment No. 8 to the Process Development and Clinical</w:t>
              </w:r>
            </w:hyperlink>
          </w:p>
        </w:tc>
        <w:tc>
          <w:tcPr>
            <w:tcW w:w="380" w:type="dxa"/>
            <w:vAlign w:val="bottom"/>
            <w:gridSpan w:val="6"/>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w w:val="99"/>
              </w:rPr>
            </w:pPr>
            <w:hyperlink r:id="rId320">
              <w:r>
                <w:rPr>
                  <w:rFonts w:ascii="Times New Roman" w:cs="Times New Roman" w:eastAsia="Times New Roman" w:hAnsi="Times New Roman"/>
                  <w:sz w:val="18"/>
                  <w:szCs w:val="18"/>
                  <w:color w:val="0000EE"/>
                  <w:w w:val="99"/>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4520" w:type="dxa"/>
            <w:vAlign w:val="bottom"/>
            <w:tcBorders>
              <w:top w:val="single" w:sz="8" w:color="0000EE"/>
            </w:tcBorders>
            <w:gridSpan w:val="22"/>
          </w:tcPr>
          <w:p>
            <w:pPr>
              <w:spacing w:after="0" w:line="192"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July 10, 2012.</w:t>
              </w:r>
            </w:hyperlink>
          </w:p>
        </w:tc>
        <w:tc>
          <w:tcPr>
            <w:tcW w:w="100" w:type="dxa"/>
            <w:vAlign w:val="bottom"/>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160" w:type="dxa"/>
            <w:vAlign w:val="bottom"/>
            <w:gridSpan w:val="15"/>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10.26(xi)†</w:t>
            </w:r>
          </w:p>
        </w:tc>
        <w:tc>
          <w:tcPr>
            <w:tcW w:w="42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321">
              <w:r>
                <w:rPr>
                  <w:rFonts w:ascii="Times New Roman" w:cs="Times New Roman" w:eastAsia="Times New Roman" w:hAnsi="Times New Roman"/>
                  <w:sz w:val="18"/>
                  <w:szCs w:val="18"/>
                  <w:color w:val="0000EE"/>
                  <w:w w:val="97"/>
                </w:rPr>
                <w:t>Amendment No. 9 to the Process Development and Clinical</w:t>
              </w:r>
            </w:hyperlink>
          </w:p>
        </w:tc>
        <w:tc>
          <w:tcPr>
            <w:tcW w:w="380" w:type="dxa"/>
            <w:vAlign w:val="bottom"/>
            <w:gridSpan w:val="6"/>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3"/>
          </w:tcPr>
          <w:p>
            <w:pPr>
              <w:spacing w:after="0" w:line="192" w:lineRule="exact"/>
              <w:rPr>
                <w:rFonts w:ascii="Times New Roman" w:cs="Times New Roman" w:eastAsia="Times New Roman" w:hAnsi="Times New Roman"/>
                <w:sz w:val="18"/>
                <w:szCs w:val="18"/>
                <w:color w:val="0000EE"/>
                <w:w w:val="99"/>
              </w:rPr>
            </w:pPr>
            <w:hyperlink r:id="rId321">
              <w:r>
                <w:rPr>
                  <w:rFonts w:ascii="Times New Roman" w:cs="Times New Roman" w:eastAsia="Times New Roman" w:hAnsi="Times New Roman"/>
                  <w:sz w:val="18"/>
                  <w:szCs w:val="18"/>
                  <w:color w:val="0000EE"/>
                  <w:w w:val="99"/>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460" w:type="dxa"/>
            <w:vAlign w:val="bottom"/>
            <w:tcBorders>
              <w:top w:val="single" w:sz="8" w:color="0000EE"/>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r:id="rId321">
              <w:r>
                <w:rPr>
                  <w:rFonts w:ascii="Times New Roman" w:cs="Times New Roman" w:eastAsia="Times New Roman" w:hAnsi="Times New Roman"/>
                  <w:sz w:val="18"/>
                  <w:szCs w:val="18"/>
                  <w:color w:val="0000EE"/>
                  <w:w w:val="97"/>
                </w:rPr>
                <w:t>November 26, 2012.</w:t>
              </w:r>
            </w:hyperlink>
          </w:p>
        </w:tc>
        <w:tc>
          <w:tcPr>
            <w:tcW w:w="3060" w:type="dxa"/>
            <w:vAlign w:val="bottom"/>
            <w:tcBorders>
              <w:top w:val="single" w:sz="8" w:color="0000EE"/>
            </w:tcBorders>
            <w:gridSpan w:val="14"/>
          </w:tcPr>
          <w:p>
            <w:pPr>
              <w:spacing w:after="0"/>
              <w:rPr>
                <w:sz w:val="16"/>
                <w:szCs w:val="16"/>
                <w:color w:val="auto"/>
              </w:rPr>
            </w:pPr>
          </w:p>
        </w:tc>
        <w:tc>
          <w:tcPr>
            <w:tcW w:w="100" w:type="dxa"/>
            <w:vAlign w:val="bottom"/>
          </w:tcPr>
          <w:p>
            <w:pPr>
              <w:spacing w:after="0"/>
              <w:rPr>
                <w:sz w:val="16"/>
                <w:szCs w:val="16"/>
                <w:color w:val="auto"/>
              </w:rPr>
            </w:pPr>
          </w:p>
        </w:tc>
      </w:tr>
      <w:tr>
        <w:trPr>
          <w:trHeight w:val="445"/>
        </w:trPr>
        <w:tc>
          <w:tcPr>
            <w:tcW w:w="1380" w:type="dxa"/>
            <w:vAlign w:val="bottom"/>
          </w:tcPr>
          <w:p>
            <w:pPr>
              <w:spacing w:after="0"/>
              <w:rPr>
                <w:sz w:val="24"/>
                <w:szCs w:val="24"/>
                <w:color w:val="auto"/>
              </w:rPr>
            </w:pPr>
          </w:p>
        </w:tc>
        <w:tc>
          <w:tcPr>
            <w:tcW w:w="4500" w:type="dxa"/>
            <w:vAlign w:val="bottom"/>
            <w:gridSpan w:val="21"/>
          </w:tcPr>
          <w:p>
            <w:pPr>
              <w:ind w:left="4200"/>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7291705"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2">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10.25</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10.26</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10.27</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7"/>
              </w:rPr>
              <w:t>10/23/2014</w:t>
            </w:r>
          </w:p>
        </w:tc>
      </w:tr>
      <w:tr>
        <w:trPr>
          <w:trHeight w:val="569"/>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10.28(i)</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10.28(ii)</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10.28(iii)</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78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10.28(iv)</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10.28(v)</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10.28(vi)</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10.28(vii)</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10.28(viii)</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10.28(ix)</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10.28(x)</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333-199069</w:t>
            </w:r>
          </w:p>
        </w:tc>
        <w:tc>
          <w:tcPr>
            <w:tcW w:w="13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10.28(xi)</w:t>
            </w:r>
          </w:p>
        </w:tc>
        <w:tc>
          <w:tcPr>
            <w:tcW w:w="12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10/1/2014</w:t>
            </w:r>
          </w:p>
        </w:tc>
      </w:tr>
    </w:tbl>
    <w:p>
      <w:pPr>
        <w:sectPr>
          <w:pgSz w:w="11900" w:h="16838" w:orient="portrait"/>
          <w:cols w:equalWidth="0" w:num="2">
            <w:col w:w="6000" w:space="320"/>
            <w:col w:w="4540"/>
          </w:cols>
          <w:pgMar w:left="240" w:top="330" w:right="79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10.26(xii)†</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23">
              <w:r>
                <w:rPr>
                  <w:rFonts w:ascii="Times New Roman" w:cs="Times New Roman" w:eastAsia="Times New Roman" w:hAnsi="Times New Roman"/>
                  <w:sz w:val="18"/>
                  <w:szCs w:val="18"/>
                  <w:color w:val="0000EE"/>
                  <w:w w:val="98"/>
                </w:rPr>
                <w:t>Amendment No. 10 to the Process Development and Clinical</w:t>
              </w:r>
            </w:hyperlink>
          </w:p>
        </w:tc>
        <w:tc>
          <w:tcPr>
            <w:tcW w:w="180" w:type="dxa"/>
            <w:vAlign w:val="bottom"/>
          </w:tcPr>
          <w:p>
            <w:pPr>
              <w:spacing w:after="0"/>
              <w:rPr>
                <w:sz w:val="17"/>
                <w:szCs w:val="17"/>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23">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06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9"/>
              </w:rPr>
            </w:pPr>
            <w:hyperlink r:id="rId323">
              <w:r>
                <w:rPr>
                  <w:rFonts w:ascii="Times New Roman" w:cs="Times New Roman" w:eastAsia="Times New Roman" w:hAnsi="Times New Roman"/>
                  <w:sz w:val="18"/>
                  <w:szCs w:val="18"/>
                  <w:color w:val="0000EE"/>
                  <w:w w:val="99"/>
                </w:rPr>
                <w:t>June 21, 2013.</w:t>
              </w:r>
            </w:hyperlink>
          </w:p>
        </w:tc>
        <w:tc>
          <w:tcPr>
            <w:tcW w:w="3460" w:type="dxa"/>
            <w:vAlign w:val="bottom"/>
            <w:gridSpan w:val="9"/>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10.26(xiii)†</w:t>
            </w:r>
          </w:p>
        </w:tc>
        <w:tc>
          <w:tcPr>
            <w:tcW w:w="4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r:id="rId324">
              <w:r>
                <w:rPr>
                  <w:rFonts w:ascii="Times New Roman" w:cs="Times New Roman" w:eastAsia="Times New Roman" w:hAnsi="Times New Roman"/>
                  <w:sz w:val="18"/>
                  <w:szCs w:val="18"/>
                  <w:color w:val="0000EE"/>
                  <w:w w:val="97"/>
                </w:rPr>
                <w:t>Amendment No. 11 to the Process Development and Clinical</w:t>
              </w:r>
            </w:hyperlink>
          </w:p>
        </w:tc>
        <w:tc>
          <w:tcPr>
            <w:tcW w:w="200" w:type="dxa"/>
            <w:vAlign w:val="bottom"/>
            <w:gridSpan w:val="2"/>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24">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920" w:type="dxa"/>
            <w:vAlign w:val="bottom"/>
            <w:tcBorders>
              <w:bottom w:val="single" w:sz="8" w:color="0000EE"/>
            </w:tcBorders>
          </w:tcPr>
          <w:p>
            <w:pPr>
              <w:spacing w:after="0" w:line="192" w:lineRule="exact"/>
              <w:rPr>
                <w:rFonts w:ascii="Times New Roman" w:cs="Times New Roman" w:eastAsia="Times New Roman" w:hAnsi="Times New Roman"/>
                <w:sz w:val="18"/>
                <w:szCs w:val="18"/>
                <w:color w:val="0000EE"/>
                <w:w w:val="96"/>
              </w:rPr>
            </w:pPr>
            <w:hyperlink r:id="rId324">
              <w:r>
                <w:rPr>
                  <w:rFonts w:ascii="Times New Roman" w:cs="Times New Roman" w:eastAsia="Times New Roman" w:hAnsi="Times New Roman"/>
                  <w:sz w:val="18"/>
                  <w:szCs w:val="18"/>
                  <w:color w:val="0000EE"/>
                  <w:w w:val="96"/>
                </w:rPr>
                <w:t>July 9, 2013.</w:t>
              </w:r>
            </w:hyperlink>
          </w:p>
        </w:tc>
        <w:tc>
          <w:tcPr>
            <w:tcW w:w="3600" w:type="dxa"/>
            <w:vAlign w:val="bottom"/>
            <w:gridSpan w:val="12"/>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10.26(xiv)†</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25">
              <w:r>
                <w:rPr>
                  <w:rFonts w:ascii="Times New Roman" w:cs="Times New Roman" w:eastAsia="Times New Roman" w:hAnsi="Times New Roman"/>
                  <w:sz w:val="18"/>
                  <w:szCs w:val="18"/>
                  <w:color w:val="0000EE"/>
                  <w:w w:val="98"/>
                </w:rPr>
                <w:t>Amendment No. 12 to the Process Development and Clinical</w:t>
              </w:r>
            </w:hyperlink>
          </w:p>
        </w:tc>
        <w:tc>
          <w:tcPr>
            <w:tcW w:w="18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25">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14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r:id="rId325">
              <w:r>
                <w:rPr>
                  <w:rFonts w:ascii="Times New Roman" w:cs="Times New Roman" w:eastAsia="Times New Roman" w:hAnsi="Times New Roman"/>
                  <w:sz w:val="18"/>
                  <w:szCs w:val="18"/>
                  <w:color w:val="0000EE"/>
                  <w:w w:val="97"/>
                </w:rPr>
                <w:t>August 1, 2013.</w:t>
              </w:r>
            </w:hyperlink>
          </w:p>
        </w:tc>
        <w:tc>
          <w:tcPr>
            <w:tcW w:w="3380" w:type="dxa"/>
            <w:vAlign w:val="bottom"/>
            <w:gridSpan w:val="7"/>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10.26(xv)†</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26">
              <w:r>
                <w:rPr>
                  <w:rFonts w:ascii="Times New Roman" w:cs="Times New Roman" w:eastAsia="Times New Roman" w:hAnsi="Times New Roman"/>
                  <w:sz w:val="18"/>
                  <w:szCs w:val="18"/>
                  <w:color w:val="0000EE"/>
                  <w:w w:val="98"/>
                </w:rPr>
                <w:t>Amendment No. 13 to the Process Development and Clinical</w:t>
              </w:r>
            </w:hyperlink>
          </w:p>
        </w:tc>
        <w:tc>
          <w:tcPr>
            <w:tcW w:w="18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26">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March 6, 2014.</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10.26(xvi)†</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27">
              <w:r>
                <w:rPr>
                  <w:rFonts w:ascii="Times New Roman" w:cs="Times New Roman" w:eastAsia="Times New Roman" w:hAnsi="Times New Roman"/>
                  <w:sz w:val="18"/>
                  <w:szCs w:val="18"/>
                  <w:color w:val="0000EE"/>
                  <w:w w:val="98"/>
                </w:rPr>
                <w:t>Amendment No. 14 to the Process Development and Clinical</w:t>
              </w:r>
            </w:hyperlink>
          </w:p>
        </w:tc>
        <w:tc>
          <w:tcPr>
            <w:tcW w:w="18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27">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27">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26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6"/>
              </w:rPr>
            </w:pPr>
            <w:hyperlink r:id="rId327">
              <w:r>
                <w:rPr>
                  <w:rFonts w:ascii="Times New Roman" w:cs="Times New Roman" w:eastAsia="Times New Roman" w:hAnsi="Times New Roman"/>
                  <w:sz w:val="18"/>
                  <w:szCs w:val="18"/>
                  <w:color w:val="0000EE"/>
                  <w:w w:val="96"/>
                </w:rPr>
                <w:t>February 5, 2014.</w:t>
              </w:r>
            </w:hyperlink>
          </w:p>
        </w:tc>
        <w:tc>
          <w:tcPr>
            <w:tcW w:w="3260" w:type="dxa"/>
            <w:vAlign w:val="bottom"/>
            <w:gridSpan w:val="6"/>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10.26(xvii)†</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28">
              <w:r>
                <w:rPr>
                  <w:rFonts w:ascii="Times New Roman" w:cs="Times New Roman" w:eastAsia="Times New Roman" w:hAnsi="Times New Roman"/>
                  <w:sz w:val="18"/>
                  <w:szCs w:val="18"/>
                  <w:color w:val="0000EE"/>
                  <w:w w:val="98"/>
                </w:rPr>
                <w:t>Amendment No. 15 to the Process Development and Clinical</w:t>
              </w:r>
            </w:hyperlink>
          </w:p>
        </w:tc>
        <w:tc>
          <w:tcPr>
            <w:tcW w:w="18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28">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28">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280" w:type="dxa"/>
            <w:vAlign w:val="bottom"/>
            <w:tcBorders>
              <w:bottom w:val="single" w:sz="8" w:color="0000EE"/>
            </w:tcBorders>
            <w:gridSpan w:val="8"/>
          </w:tcPr>
          <w:p>
            <w:pPr>
              <w:spacing w:after="0" w:line="192" w:lineRule="exact"/>
              <w:rPr>
                <w:rFonts w:ascii="Times New Roman" w:cs="Times New Roman" w:eastAsia="Times New Roman" w:hAnsi="Times New Roman"/>
                <w:sz w:val="18"/>
                <w:szCs w:val="18"/>
                <w:color w:val="0000EE"/>
                <w:w w:val="96"/>
              </w:rPr>
            </w:pPr>
            <w:hyperlink r:id="rId328">
              <w:r>
                <w:rPr>
                  <w:rFonts w:ascii="Times New Roman" w:cs="Times New Roman" w:eastAsia="Times New Roman" w:hAnsi="Times New Roman"/>
                  <w:sz w:val="18"/>
                  <w:szCs w:val="18"/>
                  <w:color w:val="0000EE"/>
                  <w:w w:val="96"/>
                </w:rPr>
                <w:t>October 20, 2014.</w:t>
              </w:r>
            </w:hyperlink>
          </w:p>
        </w:tc>
        <w:tc>
          <w:tcPr>
            <w:tcW w:w="3240" w:type="dxa"/>
            <w:vAlign w:val="bottom"/>
            <w:gridSpan w:val="5"/>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10.26(xviii)†</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29">
              <w:r>
                <w:rPr>
                  <w:rFonts w:ascii="Times New Roman" w:cs="Times New Roman" w:eastAsia="Times New Roman" w:hAnsi="Times New Roman"/>
                  <w:sz w:val="18"/>
                  <w:szCs w:val="18"/>
                  <w:color w:val="0000EE"/>
                  <w:w w:val="98"/>
                </w:rPr>
                <w:t>Amendment No. 16 to the Process Development and Clinical</w:t>
              </w:r>
            </w:hyperlink>
          </w:p>
        </w:tc>
        <w:tc>
          <w:tcPr>
            <w:tcW w:w="18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29">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29">
              <w:r>
                <w:rPr>
                  <w:rFonts w:ascii="Times New Roman" w:cs="Times New Roman" w:eastAsia="Times New Roman" w:hAnsi="Times New Roman"/>
                  <w:sz w:val="18"/>
                  <w:szCs w:val="18"/>
                  <w:color w:val="0000EE"/>
                </w:rPr>
                <w:t>December 8, 2014.</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10.26(xix)†</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30">
              <w:r>
                <w:rPr>
                  <w:rFonts w:ascii="Times New Roman" w:cs="Times New Roman" w:eastAsia="Times New Roman" w:hAnsi="Times New Roman"/>
                  <w:sz w:val="18"/>
                  <w:szCs w:val="18"/>
                  <w:color w:val="0000EE"/>
                  <w:w w:val="98"/>
                </w:rPr>
                <w:t>Amendment No. 17 to the Process Development and Clinical</w:t>
              </w:r>
            </w:hyperlink>
          </w:p>
        </w:tc>
        <w:tc>
          <w:tcPr>
            <w:tcW w:w="18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30">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30">
              <w:r>
                <w:rPr>
                  <w:rFonts w:ascii="Times New Roman" w:cs="Times New Roman" w:eastAsia="Times New Roman" w:hAnsi="Times New Roman"/>
                  <w:sz w:val="18"/>
                  <w:szCs w:val="18"/>
                  <w:color w:val="0000EE"/>
                </w:rPr>
                <w:t>December 8, 2014.</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31">
              <w:r>
                <w:rPr>
                  <w:rFonts w:ascii="Times New Roman" w:cs="Times New Roman" w:eastAsia="Times New Roman" w:hAnsi="Times New Roman"/>
                  <w:sz w:val="18"/>
                  <w:szCs w:val="18"/>
                  <w:color w:val="0000EE"/>
                  <w:w w:val="98"/>
                </w:rPr>
                <w:t>Amendment No. 18 to the Process Development and Clinical</w:t>
              </w:r>
            </w:hyperlink>
          </w:p>
        </w:tc>
        <w:tc>
          <w:tcPr>
            <w:tcW w:w="18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31">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31">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31">
              <w:r>
                <w:rPr>
                  <w:rFonts w:ascii="Times New Roman" w:cs="Times New Roman" w:eastAsia="Times New Roman" w:hAnsi="Times New Roman"/>
                  <w:sz w:val="18"/>
                  <w:szCs w:val="18"/>
                  <w:color w:val="0000EE"/>
                </w:rPr>
                <w:t>February 15, 2015.</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10.26(xxi)†</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32">
              <w:r>
                <w:rPr>
                  <w:rFonts w:ascii="Times New Roman" w:cs="Times New Roman" w:eastAsia="Times New Roman" w:hAnsi="Times New Roman"/>
                  <w:sz w:val="18"/>
                  <w:szCs w:val="18"/>
                  <w:color w:val="0000EE"/>
                  <w:w w:val="98"/>
                </w:rPr>
                <w:t>Amendment No. 19 to the Process Development and Clinical</w:t>
              </w:r>
            </w:hyperlink>
          </w:p>
        </w:tc>
        <w:tc>
          <w:tcPr>
            <w:tcW w:w="18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32">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32">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32">
              <w:r>
                <w:rPr>
                  <w:rFonts w:ascii="Times New Roman" w:cs="Times New Roman" w:eastAsia="Times New Roman" w:hAnsi="Times New Roman"/>
                  <w:sz w:val="18"/>
                  <w:szCs w:val="18"/>
                  <w:color w:val="0000EE"/>
                </w:rPr>
                <w:t>March 1, 2015.</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10.26(xxii)†</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33">
              <w:r>
                <w:rPr>
                  <w:rFonts w:ascii="Times New Roman" w:cs="Times New Roman" w:eastAsia="Times New Roman" w:hAnsi="Times New Roman"/>
                  <w:sz w:val="18"/>
                  <w:szCs w:val="18"/>
                  <w:color w:val="0000EE"/>
                  <w:w w:val="98"/>
                </w:rPr>
                <w:t>Amendment No. 20 to the Process Development and Clinical</w:t>
              </w:r>
            </w:hyperlink>
          </w:p>
        </w:tc>
        <w:tc>
          <w:tcPr>
            <w:tcW w:w="18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33">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33">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33">
              <w:r>
                <w:rPr>
                  <w:rFonts w:ascii="Times New Roman" w:cs="Times New Roman" w:eastAsia="Times New Roman" w:hAnsi="Times New Roman"/>
                  <w:sz w:val="18"/>
                  <w:szCs w:val="18"/>
                  <w:color w:val="0000EE"/>
                </w:rPr>
                <w:t>June 1, 2015.</w:t>
              </w:r>
            </w:hyperlink>
          </w:p>
        </w:tc>
      </w:tr>
      <w:tr>
        <w:trPr>
          <w:trHeight w:val="20"/>
        </w:trPr>
        <w:tc>
          <w:tcPr>
            <w:tcW w:w="13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10"/>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10.26(xxiii)†</w:t>
            </w:r>
          </w:p>
        </w:tc>
        <w:tc>
          <w:tcPr>
            <w:tcW w:w="43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334">
              <w:r>
                <w:rPr>
                  <w:rFonts w:ascii="Times New Roman" w:cs="Times New Roman" w:eastAsia="Times New Roman" w:hAnsi="Times New Roman"/>
                  <w:sz w:val="18"/>
                  <w:szCs w:val="18"/>
                  <w:color w:val="0000EE"/>
                  <w:w w:val="98"/>
                </w:rPr>
                <w:t>Amendment No. 21 to the Process Development and Clinical</w:t>
              </w:r>
            </w:hyperlink>
          </w:p>
        </w:tc>
        <w:tc>
          <w:tcPr>
            <w:tcW w:w="18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520" w:type="dxa"/>
            <w:vAlign w:val="bottom"/>
            <w:gridSpan w:val="13"/>
          </w:tcPr>
          <w:p>
            <w:pPr>
              <w:spacing w:after="0" w:line="192" w:lineRule="exact"/>
              <w:rPr>
                <w:rFonts w:ascii="Times New Roman" w:cs="Times New Roman" w:eastAsia="Times New Roman" w:hAnsi="Times New Roman"/>
                <w:sz w:val="18"/>
                <w:szCs w:val="18"/>
                <w:color w:val="0000EE"/>
              </w:rPr>
            </w:pPr>
            <w:hyperlink r:id="rId334">
              <w:r>
                <w:rPr>
                  <w:rFonts w:ascii="Times New Roman" w:cs="Times New Roman" w:eastAsia="Times New Roman" w:hAnsi="Times New Roman"/>
                  <w:sz w:val="18"/>
                  <w:szCs w:val="18"/>
                  <w:color w:val="0000EE"/>
                </w:rPr>
                <w:t>Supply Agreement by and between FibroGen, Inc. and</w:t>
              </w:r>
            </w:hyperlink>
          </w:p>
        </w:tc>
      </w:tr>
      <w:tr>
        <w:trPr>
          <w:trHeight w:val="20"/>
        </w:trPr>
        <w:tc>
          <w:tcPr>
            <w:tcW w:w="138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20" w:type="dxa"/>
            <w:vAlign w:val="bottom"/>
            <w:gridSpan w:val="7"/>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52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34">
              <w:r>
                <w:rPr>
                  <w:rFonts w:ascii="Times New Roman" w:cs="Times New Roman" w:eastAsia="Times New Roman" w:hAnsi="Times New Roman"/>
                  <w:sz w:val="18"/>
                  <w:szCs w:val="18"/>
                  <w:color w:val="0000EE"/>
                  <w:w w:val="97"/>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040" w:type="dxa"/>
            <w:vAlign w:val="bottom"/>
            <w:tcBorders>
              <w:bottom w:val="single" w:sz="8" w:color="0000EE"/>
            </w:tcBorders>
            <w:gridSpan w:val="3"/>
          </w:tcPr>
          <w:p>
            <w:pPr>
              <w:spacing w:after="0" w:line="192" w:lineRule="exact"/>
              <w:rPr>
                <w:rFonts w:ascii="Times New Roman" w:cs="Times New Roman" w:eastAsia="Times New Roman" w:hAnsi="Times New Roman"/>
                <w:sz w:val="18"/>
                <w:szCs w:val="18"/>
                <w:color w:val="0000EE"/>
                <w:w w:val="97"/>
              </w:rPr>
            </w:pPr>
            <w:hyperlink r:id="rId334">
              <w:r>
                <w:rPr>
                  <w:rFonts w:ascii="Times New Roman" w:cs="Times New Roman" w:eastAsia="Times New Roman" w:hAnsi="Times New Roman"/>
                  <w:sz w:val="18"/>
                  <w:szCs w:val="18"/>
                  <w:color w:val="0000EE"/>
                  <w:w w:val="97"/>
                </w:rPr>
                <w:t>May 29, 2015.</w:t>
              </w:r>
            </w:hyperlink>
          </w:p>
        </w:tc>
        <w:tc>
          <w:tcPr>
            <w:tcW w:w="3480" w:type="dxa"/>
            <w:vAlign w:val="bottom"/>
            <w:gridSpan w:val="10"/>
          </w:tcPr>
          <w:p>
            <w:pPr>
              <w:spacing w:after="0"/>
              <w:rPr>
                <w:sz w:val="16"/>
                <w:szCs w:val="16"/>
                <w:color w:val="auto"/>
              </w:rPr>
            </w:pPr>
          </w:p>
        </w:tc>
      </w:tr>
      <w:tr>
        <w:trPr>
          <w:trHeight w:val="577"/>
        </w:trPr>
        <w:tc>
          <w:tcPr>
            <w:tcW w:w="1380" w:type="dxa"/>
            <w:vAlign w:val="bottom"/>
          </w:tcPr>
          <w:p>
            <w:pPr>
              <w:spacing w:after="0"/>
              <w:rPr>
                <w:sz w:val="24"/>
                <w:szCs w:val="24"/>
                <w:color w:val="auto"/>
              </w:rPr>
            </w:pPr>
          </w:p>
        </w:tc>
        <w:tc>
          <w:tcPr>
            <w:tcW w:w="4520" w:type="dxa"/>
            <w:vAlign w:val="bottom"/>
            <w:gridSpan w:val="13"/>
          </w:tcPr>
          <w:p>
            <w:pPr>
              <w:ind w:left="4200"/>
              <w:spacing w:after="0"/>
              <w:rPr>
                <w:sz w:val="20"/>
                <w:szCs w:val="20"/>
                <w:color w:val="auto"/>
              </w:rPr>
            </w:pPr>
            <w:r>
              <w:rPr>
                <w:rFonts w:ascii="Times New Roman" w:cs="Times New Roman" w:eastAsia="Times New Roman" w:hAnsi="Times New Roman"/>
                <w:sz w:val="18"/>
                <w:szCs w:val="18"/>
                <w:color w:val="auto"/>
              </w:rPr>
              <w:t>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729170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10.28(xii)</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10.28(xiii)</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10.28(xiv)</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10.28(xv)</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10.28(xvi)</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10.28(xvii)</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11/12/2015</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4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10.28(xviii)</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11/12/2015</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10.28(xix)</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11/12/2015</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10.28(xx)</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11/12/2015</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10.28(xxi)</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11/12/2015</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4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10.28(xxii)</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11/12/2015</w:t>
            </w:r>
          </w:p>
        </w:tc>
      </w:tr>
      <w:tr>
        <w:trPr>
          <w:trHeight w:val="993"/>
        </w:trPr>
        <w:tc>
          <w:tcPr>
            <w:tcW w:w="6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4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10.28(xxiii)</w:t>
            </w: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11/12/2015</w:t>
            </w:r>
          </w:p>
        </w:tc>
      </w:tr>
    </w:tbl>
    <w:p>
      <w:pPr>
        <w:sectPr>
          <w:pgSz w:w="11900" w:h="16838" w:orient="portrait"/>
          <w:cols w:equalWidth="0" w:num="2">
            <w:col w:w="5900" w:space="440"/>
            <w:col w:w="4520"/>
          </w:cols>
          <w:pgMar w:left="240" w:top="463" w:right="79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10.26(xxiv)†</w:t>
            </w:r>
          </w:p>
        </w:tc>
        <w:tc>
          <w:tcPr>
            <w:tcW w:w="4620" w:type="dxa"/>
            <w:vAlign w:val="bottom"/>
            <w:gridSpan w:val="11"/>
          </w:tcPr>
          <w:p>
            <w:pPr>
              <w:spacing w:after="0"/>
              <w:rPr>
                <w:rFonts w:ascii="Times New Roman" w:cs="Times New Roman" w:eastAsia="Times New Roman" w:hAnsi="Times New Roman"/>
                <w:sz w:val="18"/>
                <w:szCs w:val="18"/>
                <w:color w:val="0000EE"/>
              </w:rPr>
            </w:pPr>
            <w:hyperlink r:id="rId336">
              <w:r>
                <w:rPr>
                  <w:rFonts w:ascii="Times New Roman" w:cs="Times New Roman" w:eastAsia="Times New Roman" w:hAnsi="Times New Roman"/>
                  <w:sz w:val="18"/>
                  <w:szCs w:val="18"/>
                  <w:color w:val="0000EE"/>
                </w:rPr>
                <w:t>Amendment No. 23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36">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11"/>
          </w:tcPr>
          <w:p>
            <w:pPr>
              <w:spacing w:after="0" w:line="192" w:lineRule="exact"/>
              <w:rPr>
                <w:rFonts w:ascii="Times New Roman" w:cs="Times New Roman" w:eastAsia="Times New Roman" w:hAnsi="Times New Roman"/>
                <w:sz w:val="18"/>
                <w:szCs w:val="18"/>
                <w:color w:val="0000EE"/>
                <w:w w:val="99"/>
              </w:rPr>
            </w:pPr>
            <w:hyperlink r:id="rId336">
              <w:r>
                <w:rPr>
                  <w:rFonts w:ascii="Times New Roman" w:cs="Times New Roman" w:eastAsia="Times New Roman" w:hAnsi="Times New Roman"/>
                  <w:sz w:val="18"/>
                  <w:szCs w:val="18"/>
                  <w:color w:val="0000EE"/>
                  <w:w w:val="99"/>
                </w:rPr>
                <w:t>Boehringer Ingelheim Pharma GmbH &amp; Co. KG, effective as of</w:t>
              </w:r>
            </w:hyperlink>
          </w:p>
        </w:tc>
      </w:tr>
      <w:tr>
        <w:trPr>
          <w:trHeight w:val="192"/>
        </w:trPr>
        <w:tc>
          <w:tcPr>
            <w:tcW w:w="1380" w:type="dxa"/>
            <w:vAlign w:val="bottom"/>
          </w:tcPr>
          <w:p>
            <w:pPr>
              <w:spacing w:after="0"/>
              <w:rPr>
                <w:sz w:val="16"/>
                <w:szCs w:val="16"/>
                <w:color w:val="auto"/>
              </w:rPr>
            </w:pPr>
          </w:p>
        </w:tc>
        <w:tc>
          <w:tcPr>
            <w:tcW w:w="1380" w:type="dxa"/>
            <w:vAlign w:val="bottom"/>
            <w:tcBorders>
              <w:top w:val="single" w:sz="8" w:color="0000EE"/>
              <w:bottom w:val="single" w:sz="8" w:color="0000EE"/>
            </w:tcBorders>
            <w:gridSpan w:val="3"/>
          </w:tcPr>
          <w:p>
            <w:pPr>
              <w:spacing w:after="0" w:line="192" w:lineRule="exact"/>
              <w:rPr>
                <w:rFonts w:ascii="Times New Roman" w:cs="Times New Roman" w:eastAsia="Times New Roman" w:hAnsi="Times New Roman"/>
                <w:sz w:val="18"/>
                <w:szCs w:val="18"/>
                <w:color w:val="0000EE"/>
                <w:w w:val="97"/>
              </w:rPr>
            </w:pPr>
            <w:hyperlink r:id="rId336">
              <w:r>
                <w:rPr>
                  <w:rFonts w:ascii="Times New Roman" w:cs="Times New Roman" w:eastAsia="Times New Roman" w:hAnsi="Times New Roman"/>
                  <w:sz w:val="18"/>
                  <w:szCs w:val="18"/>
                  <w:color w:val="0000EE"/>
                  <w:w w:val="97"/>
                </w:rPr>
                <w:t>September 1, 2015.</w:t>
              </w:r>
            </w:hyperlink>
          </w:p>
        </w:tc>
        <w:tc>
          <w:tcPr>
            <w:tcW w:w="3140" w:type="dxa"/>
            <w:vAlign w:val="bottom"/>
            <w:tcBorders>
              <w:top w:val="single" w:sz="8" w:color="0000EE"/>
            </w:tcBorders>
            <w:gridSpan w:val="7"/>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10.26(xxv)†</w:t>
            </w:r>
          </w:p>
        </w:tc>
        <w:tc>
          <w:tcPr>
            <w:tcW w:w="4620" w:type="dxa"/>
            <w:vAlign w:val="bottom"/>
            <w:gridSpan w:val="11"/>
          </w:tcPr>
          <w:p>
            <w:pPr>
              <w:spacing w:after="0"/>
              <w:rPr>
                <w:rFonts w:ascii="Times New Roman" w:cs="Times New Roman" w:eastAsia="Times New Roman" w:hAnsi="Times New Roman"/>
                <w:sz w:val="18"/>
                <w:szCs w:val="18"/>
                <w:color w:val="0000EE"/>
              </w:rPr>
            </w:pPr>
            <w:hyperlink r:id="rId337">
              <w:r>
                <w:rPr>
                  <w:rFonts w:ascii="Times New Roman" w:cs="Times New Roman" w:eastAsia="Times New Roman" w:hAnsi="Times New Roman"/>
                  <w:sz w:val="18"/>
                  <w:szCs w:val="18"/>
                  <w:color w:val="0000EE"/>
                </w:rPr>
                <w:t>Amendment No. 22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37">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7"/>
              </w:rPr>
            </w:pPr>
            <w:hyperlink r:id="rId337">
              <w:r>
                <w:rPr>
                  <w:rFonts w:ascii="Times New Roman" w:cs="Times New Roman" w:eastAsia="Times New Roman" w:hAnsi="Times New Roman"/>
                  <w:sz w:val="18"/>
                  <w:szCs w:val="18"/>
                  <w:color w:val="0000EE"/>
                  <w:w w:val="97"/>
                </w:rPr>
                <w:t>Boehringer Ingelheim Biopharmaceuticals GmbH, effective as of</w:t>
              </w:r>
            </w:hyperlink>
          </w:p>
        </w:tc>
      </w:tr>
      <w:tr>
        <w:trPr>
          <w:trHeight w:val="192"/>
        </w:trPr>
        <w:tc>
          <w:tcPr>
            <w:tcW w:w="1380" w:type="dxa"/>
            <w:vAlign w:val="bottom"/>
          </w:tcPr>
          <w:p>
            <w:pPr>
              <w:spacing w:after="0"/>
              <w:rPr>
                <w:sz w:val="16"/>
                <w:szCs w:val="16"/>
                <w:color w:val="auto"/>
              </w:rPr>
            </w:pPr>
          </w:p>
        </w:tc>
        <w:tc>
          <w:tcPr>
            <w:tcW w:w="4620" w:type="dxa"/>
            <w:vAlign w:val="bottom"/>
            <w:gridSpan w:val="11"/>
          </w:tcPr>
          <w:p>
            <w:pPr>
              <w:spacing w:after="0" w:line="192" w:lineRule="exact"/>
              <w:rPr>
                <w:rFonts w:ascii="Times New Roman" w:cs="Times New Roman" w:eastAsia="Times New Roman" w:hAnsi="Times New Roman"/>
                <w:sz w:val="18"/>
                <w:szCs w:val="18"/>
                <w:color w:val="0000EE"/>
              </w:rPr>
            </w:pPr>
            <w:hyperlink r:id="rId337">
              <w:r>
                <w:rPr>
                  <w:rFonts w:ascii="Times New Roman" w:cs="Times New Roman" w:eastAsia="Times New Roman" w:hAnsi="Times New Roman"/>
                  <w:sz w:val="18"/>
                  <w:szCs w:val="18"/>
                  <w:color w:val="0000EE"/>
                </w:rPr>
                <w:t>April 14, 2016.</w:t>
              </w:r>
            </w:hyperlink>
          </w:p>
        </w:tc>
      </w:tr>
      <w:tr>
        <w:trPr>
          <w:trHeight w:val="20"/>
        </w:trPr>
        <w:tc>
          <w:tcPr>
            <w:tcW w:w="1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10.26(xxvi)†</w:t>
            </w:r>
          </w:p>
        </w:tc>
        <w:tc>
          <w:tcPr>
            <w:tcW w:w="4620" w:type="dxa"/>
            <w:vAlign w:val="bottom"/>
            <w:gridSpan w:val="11"/>
          </w:tcPr>
          <w:p>
            <w:pPr>
              <w:spacing w:after="0"/>
              <w:rPr>
                <w:rFonts w:ascii="Times New Roman" w:cs="Times New Roman" w:eastAsia="Times New Roman" w:hAnsi="Times New Roman"/>
                <w:sz w:val="18"/>
                <w:szCs w:val="18"/>
                <w:color w:val="0000EE"/>
              </w:rPr>
            </w:pPr>
            <w:hyperlink r:id="rId338">
              <w:r>
                <w:rPr>
                  <w:rFonts w:ascii="Times New Roman" w:cs="Times New Roman" w:eastAsia="Times New Roman" w:hAnsi="Times New Roman"/>
                  <w:sz w:val="18"/>
                  <w:szCs w:val="18"/>
                  <w:color w:val="0000EE"/>
                </w:rPr>
                <w:t>Amendment No. 24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38">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11"/>
          </w:tcPr>
          <w:p>
            <w:pPr>
              <w:spacing w:after="0" w:line="192" w:lineRule="exact"/>
              <w:rPr>
                <w:rFonts w:ascii="Times New Roman" w:cs="Times New Roman" w:eastAsia="Times New Roman" w:hAnsi="Times New Roman"/>
                <w:sz w:val="18"/>
                <w:szCs w:val="18"/>
                <w:color w:val="0000EE"/>
              </w:rPr>
            </w:pPr>
            <w:hyperlink r:id="rId338">
              <w:r>
                <w:rPr>
                  <w:rFonts w:ascii="Times New Roman" w:cs="Times New Roman" w:eastAsia="Times New Roman" w:hAnsi="Times New Roman"/>
                  <w:sz w:val="18"/>
                  <w:szCs w:val="18"/>
                  <w:color w:val="0000EE"/>
                </w:rPr>
                <w:t>Boehringer Ingelheim Biopharmaceuticals GmbH, retroactively</w:t>
              </w:r>
            </w:hyperlink>
          </w:p>
        </w:tc>
      </w:tr>
      <w:tr>
        <w:trPr>
          <w:trHeight w:val="192"/>
        </w:trPr>
        <w:tc>
          <w:tcPr>
            <w:tcW w:w="1380" w:type="dxa"/>
            <w:vAlign w:val="bottom"/>
          </w:tcPr>
          <w:p>
            <w:pPr>
              <w:spacing w:after="0"/>
              <w:rPr>
                <w:sz w:val="16"/>
                <w:szCs w:val="16"/>
                <w:color w:val="auto"/>
              </w:rPr>
            </w:pPr>
          </w:p>
        </w:tc>
        <w:tc>
          <w:tcPr>
            <w:tcW w:w="4500" w:type="dxa"/>
            <w:vAlign w:val="bottom"/>
            <w:tcBorders>
              <w:top w:val="single" w:sz="8" w:color="0000EE"/>
            </w:tcBorders>
            <w:gridSpan w:val="9"/>
          </w:tcPr>
          <w:p>
            <w:pPr>
              <w:spacing w:after="0" w:line="192" w:lineRule="exact"/>
              <w:rPr>
                <w:rFonts w:ascii="Times New Roman" w:cs="Times New Roman" w:eastAsia="Times New Roman" w:hAnsi="Times New Roman"/>
                <w:sz w:val="18"/>
                <w:szCs w:val="18"/>
                <w:color w:val="0000EE"/>
              </w:rPr>
            </w:pPr>
            <w:hyperlink r:id="rId338">
              <w:r>
                <w:rPr>
                  <w:rFonts w:ascii="Times New Roman" w:cs="Times New Roman" w:eastAsia="Times New Roman" w:hAnsi="Times New Roman"/>
                  <w:sz w:val="18"/>
                  <w:szCs w:val="18"/>
                  <w:color w:val="0000EE"/>
                </w:rPr>
                <w:t>effective as of September 15, 2015.</w:t>
              </w:r>
            </w:hyperlink>
          </w:p>
        </w:tc>
        <w:tc>
          <w:tcPr>
            <w:tcW w:w="120" w:type="dxa"/>
            <w:vAlign w:val="bottom"/>
            <w:gridSpan w:val="2"/>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10.26(xxvii)†</w:t>
            </w:r>
          </w:p>
        </w:tc>
        <w:tc>
          <w:tcPr>
            <w:tcW w:w="4620" w:type="dxa"/>
            <w:vAlign w:val="bottom"/>
            <w:gridSpan w:val="11"/>
          </w:tcPr>
          <w:p>
            <w:pPr>
              <w:spacing w:after="0"/>
              <w:rPr>
                <w:rFonts w:ascii="Times New Roman" w:cs="Times New Roman" w:eastAsia="Times New Roman" w:hAnsi="Times New Roman"/>
                <w:sz w:val="18"/>
                <w:szCs w:val="18"/>
                <w:color w:val="0000EE"/>
              </w:rPr>
            </w:pPr>
            <w:hyperlink r:id="rId339">
              <w:r>
                <w:rPr>
                  <w:rFonts w:ascii="Times New Roman" w:cs="Times New Roman" w:eastAsia="Times New Roman" w:hAnsi="Times New Roman"/>
                  <w:sz w:val="18"/>
                  <w:szCs w:val="18"/>
                  <w:color w:val="0000EE"/>
                </w:rPr>
                <w:t>Amendment No. 25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39">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4"/>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11"/>
          </w:tcPr>
          <w:p>
            <w:pPr>
              <w:spacing w:after="0" w:line="192" w:lineRule="exact"/>
              <w:rPr>
                <w:rFonts w:ascii="Times New Roman" w:cs="Times New Roman" w:eastAsia="Times New Roman" w:hAnsi="Times New Roman"/>
                <w:sz w:val="18"/>
                <w:szCs w:val="18"/>
                <w:color w:val="0000EE"/>
              </w:rPr>
            </w:pPr>
            <w:hyperlink r:id="rId339">
              <w:r>
                <w:rPr>
                  <w:rFonts w:ascii="Times New Roman" w:cs="Times New Roman" w:eastAsia="Times New Roman" w:hAnsi="Times New Roman"/>
                  <w:sz w:val="18"/>
                  <w:szCs w:val="18"/>
                  <w:color w:val="0000EE"/>
                </w:rPr>
                <w:t>Boehringer Ingelheim Biopharmaceuticals GmbH, retroactively</w:t>
              </w:r>
            </w:hyperlink>
          </w:p>
        </w:tc>
      </w:tr>
      <w:tr>
        <w:trPr>
          <w:trHeight w:val="192"/>
        </w:trPr>
        <w:tc>
          <w:tcPr>
            <w:tcW w:w="1380" w:type="dxa"/>
            <w:vAlign w:val="bottom"/>
          </w:tcPr>
          <w:p>
            <w:pPr>
              <w:spacing w:after="0"/>
              <w:rPr>
                <w:sz w:val="16"/>
                <w:szCs w:val="16"/>
                <w:color w:val="auto"/>
              </w:rPr>
            </w:pPr>
          </w:p>
        </w:tc>
        <w:tc>
          <w:tcPr>
            <w:tcW w:w="2320" w:type="dxa"/>
            <w:vAlign w:val="bottom"/>
            <w:tcBorders>
              <w:top w:val="single" w:sz="8" w:color="0000EE"/>
              <w:bottom w:val="single" w:sz="8" w:color="0000EE"/>
            </w:tcBorders>
            <w:gridSpan w:val="5"/>
          </w:tcPr>
          <w:p>
            <w:pPr>
              <w:spacing w:after="0" w:line="192" w:lineRule="exact"/>
              <w:rPr>
                <w:rFonts w:ascii="Times New Roman" w:cs="Times New Roman" w:eastAsia="Times New Roman" w:hAnsi="Times New Roman"/>
                <w:sz w:val="18"/>
                <w:szCs w:val="18"/>
                <w:color w:val="0000EE"/>
                <w:w w:val="97"/>
              </w:rPr>
            </w:pPr>
            <w:hyperlink r:id="rId339">
              <w:r>
                <w:rPr>
                  <w:rFonts w:ascii="Times New Roman" w:cs="Times New Roman" w:eastAsia="Times New Roman" w:hAnsi="Times New Roman"/>
                  <w:sz w:val="18"/>
                  <w:szCs w:val="18"/>
                  <w:color w:val="0000EE"/>
                  <w:w w:val="97"/>
                </w:rPr>
                <w:t>effective as of October 15, 2015.</w:t>
              </w:r>
            </w:hyperlink>
          </w:p>
        </w:tc>
        <w:tc>
          <w:tcPr>
            <w:tcW w:w="2180" w:type="dxa"/>
            <w:vAlign w:val="bottom"/>
            <w:tcBorders>
              <w:top w:val="single" w:sz="8" w:color="0000EE"/>
            </w:tcBorders>
            <w:gridSpan w:val="4"/>
          </w:tcPr>
          <w:p>
            <w:pPr>
              <w:spacing w:after="0"/>
              <w:rPr>
                <w:sz w:val="16"/>
                <w:szCs w:val="16"/>
                <w:color w:val="auto"/>
              </w:rPr>
            </w:pPr>
          </w:p>
        </w:tc>
        <w:tc>
          <w:tcPr>
            <w:tcW w:w="120" w:type="dxa"/>
            <w:vAlign w:val="bottom"/>
            <w:gridSpan w:val="2"/>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10.26(xxviii)†</w:t>
            </w:r>
          </w:p>
        </w:tc>
        <w:tc>
          <w:tcPr>
            <w:tcW w:w="4620" w:type="dxa"/>
            <w:vAlign w:val="bottom"/>
            <w:gridSpan w:val="11"/>
          </w:tcPr>
          <w:p>
            <w:pPr>
              <w:spacing w:after="0"/>
              <w:rPr>
                <w:rFonts w:ascii="Times New Roman" w:cs="Times New Roman" w:eastAsia="Times New Roman" w:hAnsi="Times New Roman"/>
                <w:sz w:val="18"/>
                <w:szCs w:val="18"/>
                <w:color w:val="0000EE"/>
              </w:rPr>
            </w:pPr>
            <w:hyperlink r:id="rId340">
              <w:r>
                <w:rPr>
                  <w:rFonts w:ascii="Times New Roman" w:cs="Times New Roman" w:eastAsia="Times New Roman" w:hAnsi="Times New Roman"/>
                  <w:sz w:val="18"/>
                  <w:szCs w:val="18"/>
                  <w:color w:val="0000EE"/>
                </w:rPr>
                <w:t>Amendment No. 26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40">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4"/>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7"/>
              </w:rPr>
            </w:pPr>
            <w:hyperlink r:id="rId340">
              <w:r>
                <w:rPr>
                  <w:rFonts w:ascii="Times New Roman" w:cs="Times New Roman" w:eastAsia="Times New Roman" w:hAnsi="Times New Roman"/>
                  <w:sz w:val="18"/>
                  <w:szCs w:val="18"/>
                  <w:color w:val="0000EE"/>
                  <w:w w:val="97"/>
                </w:rPr>
                <w:t>Boehringer Ingelheim Biopharmaceuticals GmbH, effective as of</w:t>
              </w:r>
            </w:hyperlink>
          </w:p>
        </w:tc>
      </w:tr>
      <w:tr>
        <w:trPr>
          <w:trHeight w:val="192"/>
        </w:trPr>
        <w:tc>
          <w:tcPr>
            <w:tcW w:w="1380" w:type="dxa"/>
            <w:vAlign w:val="bottom"/>
          </w:tcPr>
          <w:p>
            <w:pPr>
              <w:spacing w:after="0"/>
              <w:rPr>
                <w:sz w:val="16"/>
                <w:szCs w:val="16"/>
                <w:color w:val="auto"/>
              </w:rPr>
            </w:pPr>
          </w:p>
        </w:tc>
        <w:tc>
          <w:tcPr>
            <w:tcW w:w="1080" w:type="dxa"/>
            <w:vAlign w:val="bottom"/>
            <w:tcBorders>
              <w:bottom w:val="single" w:sz="8" w:color="0000EE"/>
            </w:tcBorders>
            <w:gridSpan w:val="2"/>
          </w:tcPr>
          <w:p>
            <w:pPr>
              <w:spacing w:after="0" w:line="192" w:lineRule="exact"/>
              <w:rPr>
                <w:rFonts w:ascii="Times New Roman" w:cs="Times New Roman" w:eastAsia="Times New Roman" w:hAnsi="Times New Roman"/>
                <w:sz w:val="18"/>
                <w:szCs w:val="18"/>
                <w:color w:val="0000EE"/>
                <w:w w:val="99"/>
              </w:rPr>
            </w:pPr>
            <w:hyperlink r:id="rId340">
              <w:r>
                <w:rPr>
                  <w:rFonts w:ascii="Times New Roman" w:cs="Times New Roman" w:eastAsia="Times New Roman" w:hAnsi="Times New Roman"/>
                  <w:sz w:val="18"/>
                  <w:szCs w:val="18"/>
                  <w:color w:val="0000EE"/>
                  <w:w w:val="99"/>
                </w:rPr>
                <w:t>June 30, 2016.</w:t>
              </w:r>
            </w:hyperlink>
          </w:p>
        </w:tc>
        <w:tc>
          <w:tcPr>
            <w:tcW w:w="3540" w:type="dxa"/>
            <w:vAlign w:val="bottom"/>
            <w:gridSpan w:val="9"/>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10.26(xxix)†</w:t>
            </w:r>
          </w:p>
        </w:tc>
        <w:tc>
          <w:tcPr>
            <w:tcW w:w="4620" w:type="dxa"/>
            <w:vAlign w:val="bottom"/>
            <w:gridSpan w:val="11"/>
          </w:tcPr>
          <w:p>
            <w:pPr>
              <w:spacing w:after="0"/>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Amendment No. 27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4"/>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7"/>
              </w:rPr>
            </w:pPr>
            <w:hyperlink r:id="rId341">
              <w:r>
                <w:rPr>
                  <w:rFonts w:ascii="Times New Roman" w:cs="Times New Roman" w:eastAsia="Times New Roman" w:hAnsi="Times New Roman"/>
                  <w:sz w:val="18"/>
                  <w:szCs w:val="18"/>
                  <w:color w:val="0000EE"/>
                  <w:w w:val="97"/>
                </w:rPr>
                <w:t>Boehringer Ingelheim Biopharmaceuticals GmbH, effective as of</w:t>
              </w:r>
            </w:hyperlink>
          </w:p>
        </w:tc>
      </w:tr>
      <w:tr>
        <w:trPr>
          <w:trHeight w:val="192"/>
        </w:trPr>
        <w:tc>
          <w:tcPr>
            <w:tcW w:w="1380" w:type="dxa"/>
            <w:vAlign w:val="bottom"/>
          </w:tcPr>
          <w:p>
            <w:pPr>
              <w:spacing w:after="0"/>
              <w:rPr>
                <w:sz w:val="16"/>
                <w:szCs w:val="16"/>
                <w:color w:val="auto"/>
              </w:rPr>
            </w:pPr>
          </w:p>
        </w:tc>
        <w:tc>
          <w:tcPr>
            <w:tcW w:w="4620" w:type="dxa"/>
            <w:vAlign w:val="bottom"/>
            <w:gridSpan w:val="11"/>
          </w:tcPr>
          <w:p>
            <w:pPr>
              <w:spacing w:after="0" w:line="192" w:lineRule="exact"/>
              <w:rPr>
                <w:rFonts w:ascii="Times New Roman" w:cs="Times New Roman" w:eastAsia="Times New Roman" w:hAnsi="Times New Roman"/>
                <w:sz w:val="18"/>
                <w:szCs w:val="18"/>
                <w:color w:val="0000EE"/>
              </w:rPr>
            </w:pPr>
            <w:hyperlink r:id="rId341">
              <w:r>
                <w:rPr>
                  <w:rFonts w:ascii="Times New Roman" w:cs="Times New Roman" w:eastAsia="Times New Roman" w:hAnsi="Times New Roman"/>
                  <w:sz w:val="18"/>
                  <w:szCs w:val="18"/>
                  <w:color w:val="0000EE"/>
                </w:rPr>
                <w:t>July 25, 2016.</w:t>
              </w:r>
            </w:hyperlink>
          </w:p>
        </w:tc>
      </w:tr>
      <w:tr>
        <w:trPr>
          <w:trHeight w:val="20"/>
        </w:trPr>
        <w:tc>
          <w:tcPr>
            <w:tcW w:w="1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10.26(xxx)†</w:t>
            </w:r>
          </w:p>
        </w:tc>
        <w:tc>
          <w:tcPr>
            <w:tcW w:w="4620" w:type="dxa"/>
            <w:vAlign w:val="bottom"/>
            <w:gridSpan w:val="11"/>
          </w:tcPr>
          <w:p>
            <w:pPr>
              <w:spacing w:after="0"/>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Amendment No. 28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4"/>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7"/>
              </w:rPr>
            </w:pPr>
            <w:hyperlink r:id="rId342">
              <w:r>
                <w:rPr>
                  <w:rFonts w:ascii="Times New Roman" w:cs="Times New Roman" w:eastAsia="Times New Roman" w:hAnsi="Times New Roman"/>
                  <w:sz w:val="18"/>
                  <w:szCs w:val="18"/>
                  <w:color w:val="0000EE"/>
                  <w:w w:val="97"/>
                </w:rPr>
                <w:t>Boehringer Ingelheim Biopharmaceuticals GmbH, effective as of</w:t>
              </w:r>
            </w:hyperlink>
          </w:p>
        </w:tc>
      </w:tr>
      <w:tr>
        <w:trPr>
          <w:trHeight w:val="192"/>
        </w:trPr>
        <w:tc>
          <w:tcPr>
            <w:tcW w:w="1380" w:type="dxa"/>
            <w:vAlign w:val="bottom"/>
          </w:tcPr>
          <w:p>
            <w:pPr>
              <w:spacing w:after="0"/>
              <w:rPr>
                <w:sz w:val="16"/>
                <w:szCs w:val="16"/>
                <w:color w:val="auto"/>
              </w:rPr>
            </w:pPr>
          </w:p>
        </w:tc>
        <w:tc>
          <w:tcPr>
            <w:tcW w:w="4620" w:type="dxa"/>
            <w:vAlign w:val="bottom"/>
            <w:gridSpan w:val="11"/>
          </w:tcPr>
          <w:p>
            <w:pPr>
              <w:spacing w:after="0" w:line="192" w:lineRule="exact"/>
              <w:rPr>
                <w:rFonts w:ascii="Times New Roman" w:cs="Times New Roman" w:eastAsia="Times New Roman" w:hAnsi="Times New Roman"/>
                <w:sz w:val="18"/>
                <w:szCs w:val="18"/>
                <w:color w:val="0000EE"/>
              </w:rPr>
            </w:pPr>
            <w:hyperlink r:id="rId342">
              <w:r>
                <w:rPr>
                  <w:rFonts w:ascii="Times New Roman" w:cs="Times New Roman" w:eastAsia="Times New Roman" w:hAnsi="Times New Roman"/>
                  <w:sz w:val="18"/>
                  <w:szCs w:val="18"/>
                  <w:color w:val="0000EE"/>
                </w:rPr>
                <w:t>September 22, 2016.</w:t>
              </w:r>
            </w:hyperlink>
          </w:p>
        </w:tc>
      </w:tr>
      <w:tr>
        <w:trPr>
          <w:trHeight w:val="20"/>
        </w:trPr>
        <w:tc>
          <w:tcPr>
            <w:tcW w:w="138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10.26(xxxi)†</w:t>
            </w:r>
          </w:p>
        </w:tc>
        <w:tc>
          <w:tcPr>
            <w:tcW w:w="4620" w:type="dxa"/>
            <w:vAlign w:val="bottom"/>
            <w:gridSpan w:val="11"/>
          </w:tcPr>
          <w:p>
            <w:pPr>
              <w:spacing w:after="0"/>
              <w:rPr>
                <w:rFonts w:ascii="Times New Roman" w:cs="Times New Roman" w:eastAsia="Times New Roman" w:hAnsi="Times New Roman"/>
                <w:sz w:val="18"/>
                <w:szCs w:val="18"/>
                <w:color w:val="0000EE"/>
              </w:rPr>
            </w:pPr>
            <w:hyperlink r:id="rId343">
              <w:r>
                <w:rPr>
                  <w:rFonts w:ascii="Times New Roman" w:cs="Times New Roman" w:eastAsia="Times New Roman" w:hAnsi="Times New Roman"/>
                  <w:sz w:val="18"/>
                  <w:szCs w:val="18"/>
                  <w:color w:val="0000EE"/>
                </w:rPr>
                <w:t>Amendment No. 29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43">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4"/>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7"/>
              </w:rPr>
            </w:pPr>
            <w:hyperlink r:id="rId343">
              <w:r>
                <w:rPr>
                  <w:rFonts w:ascii="Times New Roman" w:cs="Times New Roman" w:eastAsia="Times New Roman" w:hAnsi="Times New Roman"/>
                  <w:sz w:val="18"/>
                  <w:szCs w:val="18"/>
                  <w:color w:val="0000EE"/>
                  <w:w w:val="97"/>
                </w:rPr>
                <w:t>Boehringer Ingelheim Biopharmaceuticals GmbH, effective as of</w:t>
              </w:r>
            </w:hyperlink>
          </w:p>
        </w:tc>
      </w:tr>
      <w:tr>
        <w:trPr>
          <w:trHeight w:val="192"/>
        </w:trPr>
        <w:tc>
          <w:tcPr>
            <w:tcW w:w="1380" w:type="dxa"/>
            <w:vAlign w:val="bottom"/>
          </w:tcPr>
          <w:p>
            <w:pPr>
              <w:spacing w:after="0"/>
              <w:rPr>
                <w:sz w:val="16"/>
                <w:szCs w:val="16"/>
                <w:color w:val="auto"/>
              </w:rPr>
            </w:pPr>
          </w:p>
        </w:tc>
        <w:tc>
          <w:tcPr>
            <w:tcW w:w="146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r:id="rId343">
              <w:r>
                <w:rPr>
                  <w:rFonts w:ascii="Times New Roman" w:cs="Times New Roman" w:eastAsia="Times New Roman" w:hAnsi="Times New Roman"/>
                  <w:sz w:val="18"/>
                  <w:szCs w:val="18"/>
                  <w:color w:val="0000EE"/>
                  <w:w w:val="97"/>
                </w:rPr>
                <w:t>December 20, 2016.</w:t>
              </w:r>
            </w:hyperlink>
          </w:p>
        </w:tc>
        <w:tc>
          <w:tcPr>
            <w:tcW w:w="3160" w:type="dxa"/>
            <w:vAlign w:val="bottom"/>
            <w:gridSpan w:val="7"/>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10.26(xxxii)†</w:t>
            </w:r>
          </w:p>
        </w:tc>
        <w:tc>
          <w:tcPr>
            <w:tcW w:w="4620" w:type="dxa"/>
            <w:vAlign w:val="bottom"/>
            <w:gridSpan w:val="11"/>
          </w:tcPr>
          <w:p>
            <w:pPr>
              <w:spacing w:after="0"/>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color w:val="0000EE"/>
                </w:rPr>
                <w:t>Amendment No. 30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44">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760" w:type="dxa"/>
            <w:vAlign w:val="bottom"/>
            <w:tcBorders>
              <w:left w:val="single" w:sz="8" w:color="0000EE"/>
            </w:tcBorders>
            <w:gridSpan w:val="4"/>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7"/>
              </w:rPr>
            </w:pPr>
            <w:hyperlink r:id="rId344">
              <w:r>
                <w:rPr>
                  <w:rFonts w:ascii="Times New Roman" w:cs="Times New Roman" w:eastAsia="Times New Roman" w:hAnsi="Times New Roman"/>
                  <w:sz w:val="18"/>
                  <w:szCs w:val="18"/>
                  <w:color w:val="0000EE"/>
                  <w:w w:val="97"/>
                </w:rPr>
                <w:t>Boehringer Ingelheim Biopharmaceuticals GmbH, effective as of</w:t>
              </w:r>
            </w:hyperlink>
          </w:p>
        </w:tc>
      </w:tr>
      <w:tr>
        <w:trPr>
          <w:trHeight w:val="192"/>
        </w:trPr>
        <w:tc>
          <w:tcPr>
            <w:tcW w:w="1380" w:type="dxa"/>
            <w:vAlign w:val="bottom"/>
          </w:tcPr>
          <w:p>
            <w:pPr>
              <w:spacing w:after="0"/>
              <w:rPr>
                <w:sz w:val="16"/>
                <w:szCs w:val="16"/>
                <w:color w:val="auto"/>
              </w:rPr>
            </w:pPr>
          </w:p>
        </w:tc>
        <w:tc>
          <w:tcPr>
            <w:tcW w:w="146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r:id="rId344">
              <w:r>
                <w:rPr>
                  <w:rFonts w:ascii="Times New Roman" w:cs="Times New Roman" w:eastAsia="Times New Roman" w:hAnsi="Times New Roman"/>
                  <w:sz w:val="18"/>
                  <w:szCs w:val="18"/>
                  <w:color w:val="0000EE"/>
                  <w:w w:val="97"/>
                </w:rPr>
                <w:t>December 20, 2016.</w:t>
              </w:r>
            </w:hyperlink>
          </w:p>
        </w:tc>
        <w:tc>
          <w:tcPr>
            <w:tcW w:w="3160" w:type="dxa"/>
            <w:vAlign w:val="bottom"/>
            <w:gridSpan w:val="7"/>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10.26(xxxiii)†</w:t>
            </w:r>
          </w:p>
        </w:tc>
        <w:tc>
          <w:tcPr>
            <w:tcW w:w="4620" w:type="dxa"/>
            <w:vAlign w:val="bottom"/>
            <w:gridSpan w:val="11"/>
          </w:tcPr>
          <w:p>
            <w:pPr>
              <w:spacing w:after="0"/>
              <w:rPr>
                <w:rFonts w:ascii="Times New Roman" w:cs="Times New Roman" w:eastAsia="Times New Roman" w:hAnsi="Times New Roman"/>
                <w:sz w:val="18"/>
                <w:szCs w:val="18"/>
                <w:color w:val="0000EE"/>
              </w:rPr>
            </w:pPr>
            <w:hyperlink r:id="rId345">
              <w:r>
                <w:rPr>
                  <w:rFonts w:ascii="Times New Roman" w:cs="Times New Roman" w:eastAsia="Times New Roman" w:hAnsi="Times New Roman"/>
                  <w:sz w:val="18"/>
                  <w:szCs w:val="18"/>
                  <w:color w:val="0000EE"/>
                </w:rPr>
                <w:t>Amendment No. 31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8"/>
          </w:tcPr>
          <w:p>
            <w:pPr>
              <w:spacing w:after="0" w:line="192" w:lineRule="exact"/>
              <w:rPr>
                <w:rFonts w:ascii="Times New Roman" w:cs="Times New Roman" w:eastAsia="Times New Roman" w:hAnsi="Times New Roman"/>
                <w:sz w:val="18"/>
                <w:szCs w:val="18"/>
                <w:color w:val="0000EE"/>
              </w:rPr>
            </w:pPr>
            <w:hyperlink r:id="rId345">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3"/>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780" w:type="dxa"/>
            <w:vAlign w:val="bottom"/>
            <w:gridSpan w:val="5"/>
            <w:shd w:val="clear" w:color="auto" w:fill="0000EE"/>
          </w:tcPr>
          <w:p>
            <w:pPr>
              <w:spacing w:after="0" w:line="20" w:lineRule="exact"/>
              <w:rPr>
                <w:sz w:val="1"/>
                <w:szCs w:val="1"/>
                <w:color w:val="auto"/>
              </w:rPr>
            </w:pPr>
          </w:p>
        </w:tc>
        <w:tc>
          <w:tcPr>
            <w:tcW w:w="760" w:type="dxa"/>
            <w:vAlign w:val="bottom"/>
            <w:tcBorders>
              <w:left w:val="single" w:sz="8" w:color="0000EE"/>
            </w:tcBorders>
            <w:gridSpan w:val="4"/>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7"/>
              </w:rPr>
            </w:pPr>
            <w:hyperlink r:id="rId345">
              <w:r>
                <w:rPr>
                  <w:rFonts w:ascii="Times New Roman" w:cs="Times New Roman" w:eastAsia="Times New Roman" w:hAnsi="Times New Roman"/>
                  <w:sz w:val="18"/>
                  <w:szCs w:val="18"/>
                  <w:color w:val="0000EE"/>
                  <w:w w:val="97"/>
                </w:rPr>
                <w:t>Boehringer Ingelheim Biopharmaceuticals GmbH, effective as of</w:t>
              </w:r>
            </w:hyperlink>
          </w:p>
        </w:tc>
      </w:tr>
      <w:tr>
        <w:trPr>
          <w:trHeight w:val="192"/>
        </w:trPr>
        <w:tc>
          <w:tcPr>
            <w:tcW w:w="1380" w:type="dxa"/>
            <w:vAlign w:val="bottom"/>
          </w:tcPr>
          <w:p>
            <w:pPr>
              <w:spacing w:after="0"/>
              <w:rPr>
                <w:sz w:val="16"/>
                <w:szCs w:val="16"/>
                <w:color w:val="auto"/>
              </w:rPr>
            </w:pPr>
          </w:p>
        </w:tc>
        <w:tc>
          <w:tcPr>
            <w:tcW w:w="1080" w:type="dxa"/>
            <w:vAlign w:val="bottom"/>
            <w:tcBorders>
              <w:bottom w:val="single" w:sz="8" w:color="0000EE"/>
            </w:tcBorders>
            <w:gridSpan w:val="2"/>
          </w:tcPr>
          <w:p>
            <w:pPr>
              <w:spacing w:after="0" w:line="192" w:lineRule="exact"/>
              <w:rPr>
                <w:rFonts w:ascii="Times New Roman" w:cs="Times New Roman" w:eastAsia="Times New Roman" w:hAnsi="Times New Roman"/>
                <w:sz w:val="18"/>
                <w:szCs w:val="18"/>
                <w:color w:val="0000EE"/>
                <w:w w:val="98"/>
              </w:rPr>
            </w:pPr>
            <w:hyperlink r:id="rId345">
              <w:r>
                <w:rPr>
                  <w:rFonts w:ascii="Times New Roman" w:cs="Times New Roman" w:eastAsia="Times New Roman" w:hAnsi="Times New Roman"/>
                  <w:sz w:val="18"/>
                  <w:szCs w:val="18"/>
                  <w:color w:val="0000EE"/>
                  <w:w w:val="98"/>
                </w:rPr>
                <w:t>March 2, 2017</w:t>
              </w:r>
            </w:hyperlink>
          </w:p>
        </w:tc>
        <w:tc>
          <w:tcPr>
            <w:tcW w:w="3540" w:type="dxa"/>
            <w:vAlign w:val="bottom"/>
            <w:gridSpan w:val="9"/>
          </w:tcPr>
          <w:p>
            <w:pPr>
              <w:spacing w:after="0"/>
              <w:rPr>
                <w:sz w:val="16"/>
                <w:szCs w:val="16"/>
                <w:color w:val="auto"/>
              </w:rPr>
            </w:pPr>
          </w:p>
        </w:tc>
      </w:tr>
      <w:tr>
        <w:trPr>
          <w:trHeight w:val="577"/>
        </w:trPr>
        <w:tc>
          <w:tcPr>
            <w:tcW w:w="1380" w:type="dxa"/>
            <w:vAlign w:val="bottom"/>
          </w:tcPr>
          <w:p>
            <w:pPr>
              <w:spacing w:after="0"/>
              <w:rPr>
                <w:sz w:val="24"/>
                <w:szCs w:val="24"/>
                <w:color w:val="auto"/>
              </w:rPr>
            </w:pPr>
          </w:p>
        </w:tc>
        <w:tc>
          <w:tcPr>
            <w:tcW w:w="4500" w:type="dxa"/>
            <w:vAlign w:val="bottom"/>
            <w:gridSpan w:val="9"/>
          </w:tcPr>
          <w:p>
            <w:pPr>
              <w:ind w:left="4200"/>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7291705"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880" w:val="left"/>
          <w:tab w:leader="none" w:pos="2120" w:val="left"/>
          <w:tab w:leader="none" w:pos="37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10.28(xxiv)</w:t>
      </w:r>
      <w:r>
        <w:rPr>
          <w:sz w:val="20"/>
          <w:szCs w:val="20"/>
          <w:color w:val="auto"/>
        </w:rPr>
        <w:tab/>
      </w:r>
      <w:r>
        <w:rPr>
          <w:rFonts w:ascii="Times New Roman" w:cs="Times New Roman" w:eastAsia="Times New Roman" w:hAnsi="Times New Roman"/>
          <w:sz w:val="17"/>
          <w:szCs w:val="17"/>
          <w:color w:val="auto"/>
        </w:rPr>
        <w:t>11/12/2015</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 w:leader="none" w:pos="2140" w:val="left"/>
          <w:tab w:leader="none" w:pos="37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10.26(xxv)</w:t>
      </w:r>
      <w:r>
        <w:rPr>
          <w:sz w:val="20"/>
          <w:szCs w:val="20"/>
          <w:color w:val="auto"/>
        </w:rPr>
        <w:tab/>
      </w:r>
      <w:r>
        <w:rPr>
          <w:rFonts w:ascii="Times New Roman" w:cs="Times New Roman" w:eastAsia="Times New Roman" w:hAnsi="Times New Roman"/>
          <w:sz w:val="17"/>
          <w:szCs w:val="17"/>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 w:leader="none" w:pos="2120" w:val="left"/>
          <w:tab w:leader="none" w:pos="37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10.26(xxvi)</w:t>
      </w:r>
      <w:r>
        <w:rPr>
          <w:sz w:val="20"/>
          <w:szCs w:val="20"/>
          <w:color w:val="auto"/>
        </w:rPr>
        <w:tab/>
      </w:r>
      <w:r>
        <w:rPr>
          <w:rFonts w:ascii="Times New Roman" w:cs="Times New Roman" w:eastAsia="Times New Roman" w:hAnsi="Times New Roman"/>
          <w:sz w:val="17"/>
          <w:szCs w:val="17"/>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 w:leader="none" w:pos="2080" w:val="left"/>
          <w:tab w:leader="none" w:pos="37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10.26(xxvii)</w:t>
      </w:r>
      <w:r>
        <w:rPr>
          <w:sz w:val="20"/>
          <w:szCs w:val="20"/>
          <w:color w:val="auto"/>
        </w:rPr>
        <w:tab/>
      </w:r>
      <w:r>
        <w:rPr>
          <w:rFonts w:ascii="Times New Roman" w:cs="Times New Roman" w:eastAsia="Times New Roman" w:hAnsi="Times New Roman"/>
          <w:sz w:val="17"/>
          <w:szCs w:val="17"/>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 w:leader="none" w:pos="2060" w:val="left"/>
          <w:tab w:leader="none" w:pos="37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10.26(xxviii)</w:t>
      </w:r>
      <w:r>
        <w:rPr>
          <w:sz w:val="20"/>
          <w:szCs w:val="20"/>
          <w:color w:val="auto"/>
        </w:rPr>
        <w:tab/>
      </w:r>
      <w:r>
        <w:rPr>
          <w:rFonts w:ascii="Times New Roman" w:cs="Times New Roman" w:eastAsia="Times New Roman" w:hAnsi="Times New Roman"/>
          <w:sz w:val="17"/>
          <w:szCs w:val="17"/>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 w:leader="none" w:pos="2120" w:val="left"/>
          <w:tab w:leader="none" w:pos="37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10.26(xxix)</w:t>
      </w:r>
      <w:r>
        <w:rPr>
          <w:sz w:val="20"/>
          <w:szCs w:val="20"/>
          <w:color w:val="auto"/>
        </w:rPr>
        <w:tab/>
      </w:r>
      <w:r>
        <w:rPr>
          <w:rFonts w:ascii="Times New Roman" w:cs="Times New Roman" w:eastAsia="Times New Roman" w:hAnsi="Times New Roman"/>
          <w:sz w:val="17"/>
          <w:szCs w:val="17"/>
          <w:color w:val="auto"/>
        </w:rPr>
        <w:t>11/8/2016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 w:leader="none" w:pos="2140" w:val="left"/>
          <w:tab w:leader="none" w:pos="37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10.26(xxx)</w:t>
      </w:r>
      <w:r>
        <w:rPr>
          <w:sz w:val="20"/>
          <w:szCs w:val="20"/>
          <w:color w:val="auto"/>
        </w:rPr>
        <w:tab/>
      </w:r>
      <w:r>
        <w:rPr>
          <w:rFonts w:ascii="Times New Roman" w:cs="Times New Roman" w:eastAsia="Times New Roman" w:hAnsi="Times New Roman"/>
          <w:sz w:val="17"/>
          <w:szCs w:val="17"/>
          <w:color w:val="auto"/>
        </w:rPr>
        <w:t>11/8/2016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 w:leader="none" w:pos="2120" w:val="left"/>
          <w:tab w:leader="none" w:pos="37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10.26(xxxi)</w:t>
      </w:r>
      <w:r>
        <w:rPr>
          <w:sz w:val="20"/>
          <w:szCs w:val="20"/>
          <w:color w:val="auto"/>
        </w:rPr>
        <w:tab/>
      </w:r>
      <w:r>
        <w:rPr>
          <w:rFonts w:ascii="Times New Roman" w:cs="Times New Roman" w:eastAsia="Times New Roman" w:hAnsi="Times New Roman"/>
          <w:sz w:val="17"/>
          <w:szCs w:val="17"/>
          <w:color w:val="auto"/>
        </w:rPr>
        <w:t>3/1/2017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 w:leader="none" w:pos="2080" w:val="left"/>
          <w:tab w:leader="none" w:pos="37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10.26(xxxii)</w:t>
      </w:r>
      <w:r>
        <w:rPr>
          <w:sz w:val="20"/>
          <w:szCs w:val="20"/>
          <w:color w:val="auto"/>
        </w:rPr>
        <w:tab/>
      </w:r>
      <w:r>
        <w:rPr>
          <w:rFonts w:ascii="Times New Roman" w:cs="Times New Roman" w:eastAsia="Times New Roman" w:hAnsi="Times New Roman"/>
          <w:sz w:val="17"/>
          <w:szCs w:val="17"/>
          <w:color w:val="auto"/>
        </w:rPr>
        <w:t>3/1/2017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80" w:val="left"/>
          <w:tab w:leader="none" w:pos="2060" w:val="left"/>
          <w:tab w:leader="none" w:pos="37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10.26(xxxiii)</w:t>
      </w:r>
      <w:r>
        <w:rPr>
          <w:sz w:val="20"/>
          <w:szCs w:val="20"/>
          <w:color w:val="auto"/>
        </w:rPr>
        <w:tab/>
      </w:r>
      <w:r>
        <w:rPr>
          <w:rFonts w:ascii="Times New Roman" w:cs="Times New Roman" w:eastAsia="Times New Roman" w:hAnsi="Times New Roman"/>
          <w:sz w:val="17"/>
          <w:szCs w:val="17"/>
          <w:color w:val="auto"/>
        </w:rPr>
        <w:t>5/9/2017</w:t>
      </w:r>
    </w:p>
    <w:p>
      <w:pPr>
        <w:sectPr>
          <w:pgSz w:w="11900" w:h="16838" w:orient="portrait"/>
          <w:cols w:equalWidth="0" w:num="2">
            <w:col w:w="6000" w:space="340"/>
            <w:col w:w="4520"/>
          </w:cols>
          <w:pgMar w:left="240" w:top="330" w:right="79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10.26(xxxiv)†</w:t>
            </w:r>
          </w:p>
        </w:tc>
        <w:tc>
          <w:tcPr>
            <w:tcW w:w="4620" w:type="dxa"/>
            <w:vAlign w:val="bottom"/>
            <w:gridSpan w:val="28"/>
          </w:tcPr>
          <w:p>
            <w:pPr>
              <w:spacing w:after="0"/>
              <w:rPr>
                <w:rFonts w:ascii="Times New Roman" w:cs="Times New Roman" w:eastAsia="Times New Roman" w:hAnsi="Times New Roman"/>
                <w:sz w:val="18"/>
                <w:szCs w:val="18"/>
                <w:color w:val="0000EE"/>
              </w:rPr>
            </w:pPr>
            <w:hyperlink r:id="rId347">
              <w:r>
                <w:rPr>
                  <w:rFonts w:ascii="Times New Roman" w:cs="Times New Roman" w:eastAsia="Times New Roman" w:hAnsi="Times New Roman"/>
                  <w:sz w:val="18"/>
                  <w:szCs w:val="18"/>
                  <w:color w:val="0000EE"/>
                </w:rPr>
                <w:t>Amendment No. 32 to the Process Development and Clinical</w:t>
              </w:r>
            </w:hyperlink>
          </w:p>
        </w:tc>
      </w:tr>
      <w:tr>
        <w:trPr>
          <w:trHeight w:val="192"/>
        </w:trPr>
        <w:tc>
          <w:tcPr>
            <w:tcW w:w="1380" w:type="dxa"/>
            <w:vAlign w:val="bottom"/>
          </w:tcPr>
          <w:p>
            <w:pPr>
              <w:spacing w:after="0"/>
              <w:rPr>
                <w:sz w:val="16"/>
                <w:szCs w:val="16"/>
                <w:color w:val="auto"/>
              </w:rPr>
            </w:pPr>
          </w:p>
        </w:tc>
        <w:tc>
          <w:tcPr>
            <w:tcW w:w="4320" w:type="dxa"/>
            <w:vAlign w:val="bottom"/>
            <w:tcBorders>
              <w:top w:val="single" w:sz="8" w:color="0000EE"/>
            </w:tcBorders>
            <w:gridSpan w:val="19"/>
          </w:tcPr>
          <w:p>
            <w:pPr>
              <w:spacing w:after="0" w:line="192" w:lineRule="exact"/>
              <w:rPr>
                <w:rFonts w:ascii="Times New Roman" w:cs="Times New Roman" w:eastAsia="Times New Roman" w:hAnsi="Times New Roman"/>
                <w:sz w:val="18"/>
                <w:szCs w:val="18"/>
                <w:color w:val="0000EE"/>
              </w:rPr>
            </w:pPr>
            <w:hyperlink r:id="rId347">
              <w:r>
                <w:rPr>
                  <w:rFonts w:ascii="Times New Roman" w:cs="Times New Roman" w:eastAsia="Times New Roman" w:hAnsi="Times New Roman"/>
                  <w:sz w:val="18"/>
                  <w:szCs w:val="18"/>
                  <w:color w:val="0000EE"/>
                </w:rPr>
                <w:t>Supply Agreement, by and between FibroGen, Inc. and</w:t>
              </w:r>
            </w:hyperlink>
          </w:p>
        </w:tc>
        <w:tc>
          <w:tcPr>
            <w:tcW w:w="300" w:type="dxa"/>
            <w:vAlign w:val="bottom"/>
            <w:gridSpan w:val="9"/>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28"/>
          </w:tcPr>
          <w:p>
            <w:pPr>
              <w:spacing w:after="0" w:line="192" w:lineRule="exact"/>
              <w:rPr>
                <w:rFonts w:ascii="Times New Roman" w:cs="Times New Roman" w:eastAsia="Times New Roman" w:hAnsi="Times New Roman"/>
                <w:sz w:val="18"/>
                <w:szCs w:val="18"/>
                <w:color w:val="0000EE"/>
                <w:w w:val="97"/>
              </w:rPr>
            </w:pPr>
            <w:hyperlink r:id="rId347">
              <w:r>
                <w:rPr>
                  <w:rFonts w:ascii="Times New Roman" w:cs="Times New Roman" w:eastAsia="Times New Roman" w:hAnsi="Times New Roman"/>
                  <w:sz w:val="18"/>
                  <w:szCs w:val="18"/>
                  <w:color w:val="0000EE"/>
                  <w:w w:val="97"/>
                </w:rPr>
                <w:t>Boehringer Ingelheim Biopharmaceuticals GmbH, effective as of</w:t>
              </w:r>
            </w:hyperlink>
          </w:p>
        </w:tc>
      </w:tr>
      <w:tr>
        <w:trPr>
          <w:trHeight w:val="192"/>
        </w:trPr>
        <w:tc>
          <w:tcPr>
            <w:tcW w:w="1380" w:type="dxa"/>
            <w:vAlign w:val="bottom"/>
          </w:tcPr>
          <w:p>
            <w:pPr>
              <w:spacing w:after="0"/>
              <w:rPr>
                <w:sz w:val="16"/>
                <w:szCs w:val="16"/>
                <w:color w:val="auto"/>
              </w:rPr>
            </w:pPr>
          </w:p>
        </w:tc>
        <w:tc>
          <w:tcPr>
            <w:tcW w:w="1340" w:type="dxa"/>
            <w:vAlign w:val="bottom"/>
            <w:tcBorders>
              <w:bottom w:val="single" w:sz="8" w:color="0000EE"/>
            </w:tcBorders>
            <w:gridSpan w:val="2"/>
          </w:tcPr>
          <w:p>
            <w:pPr>
              <w:spacing w:after="0" w:line="192" w:lineRule="exact"/>
              <w:rPr>
                <w:rFonts w:ascii="Times New Roman" w:cs="Times New Roman" w:eastAsia="Times New Roman" w:hAnsi="Times New Roman"/>
                <w:sz w:val="18"/>
                <w:szCs w:val="18"/>
                <w:color w:val="0000EE"/>
                <w:w w:val="97"/>
              </w:rPr>
            </w:pPr>
            <w:hyperlink r:id="rId347">
              <w:r>
                <w:rPr>
                  <w:rFonts w:ascii="Times New Roman" w:cs="Times New Roman" w:eastAsia="Times New Roman" w:hAnsi="Times New Roman"/>
                  <w:sz w:val="18"/>
                  <w:szCs w:val="18"/>
                  <w:color w:val="0000EE"/>
                  <w:w w:val="97"/>
                </w:rPr>
                <w:t>September 1, 2017</w:t>
              </w:r>
            </w:hyperlink>
          </w:p>
        </w:tc>
        <w:tc>
          <w:tcPr>
            <w:tcW w:w="3280" w:type="dxa"/>
            <w:vAlign w:val="bottom"/>
            <w:gridSpan w:val="26"/>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10.26(xxxv)†</w:t>
            </w:r>
          </w:p>
        </w:tc>
        <w:tc>
          <w:tcPr>
            <w:tcW w:w="4620" w:type="dxa"/>
            <w:vAlign w:val="bottom"/>
            <w:gridSpan w:val="28"/>
          </w:tcPr>
          <w:p>
            <w:pPr>
              <w:spacing w:after="0"/>
              <w:rPr>
                <w:rFonts w:ascii="Times New Roman" w:cs="Times New Roman" w:eastAsia="Times New Roman" w:hAnsi="Times New Roman"/>
                <w:sz w:val="18"/>
                <w:szCs w:val="18"/>
                <w:color w:val="0000EE"/>
              </w:rPr>
            </w:pPr>
            <w:hyperlink r:id="rId348">
              <w:r>
                <w:rPr>
                  <w:rFonts w:ascii="Times New Roman" w:cs="Times New Roman" w:eastAsia="Times New Roman" w:hAnsi="Times New Roman"/>
                  <w:sz w:val="18"/>
                  <w:szCs w:val="18"/>
                  <w:color w:val="0000EE"/>
                </w:rPr>
                <w:t>Work Order No. 1 to the Process Development and Clinical</w:t>
              </w:r>
            </w:hyperlink>
          </w:p>
        </w:tc>
      </w:tr>
      <w:tr>
        <w:trPr>
          <w:trHeight w:val="192"/>
        </w:trPr>
        <w:tc>
          <w:tcPr>
            <w:tcW w:w="1380" w:type="dxa"/>
            <w:vAlign w:val="bottom"/>
          </w:tcPr>
          <w:p>
            <w:pPr>
              <w:spacing w:after="0"/>
              <w:rPr>
                <w:sz w:val="16"/>
                <w:szCs w:val="16"/>
                <w:color w:val="auto"/>
              </w:rPr>
            </w:pPr>
          </w:p>
        </w:tc>
        <w:tc>
          <w:tcPr>
            <w:tcW w:w="4200" w:type="dxa"/>
            <w:vAlign w:val="bottom"/>
            <w:tcBorders>
              <w:top w:val="single" w:sz="8" w:color="0000EE"/>
            </w:tcBorders>
            <w:gridSpan w:val="16"/>
          </w:tcPr>
          <w:p>
            <w:pPr>
              <w:spacing w:after="0" w:line="192" w:lineRule="exact"/>
              <w:rPr>
                <w:rFonts w:ascii="Times New Roman" w:cs="Times New Roman" w:eastAsia="Times New Roman" w:hAnsi="Times New Roman"/>
                <w:sz w:val="18"/>
                <w:szCs w:val="18"/>
                <w:color w:val="0000EE"/>
              </w:rPr>
            </w:pPr>
            <w:hyperlink r:id="rId348">
              <w:r>
                <w:rPr>
                  <w:rFonts w:ascii="Times New Roman" w:cs="Times New Roman" w:eastAsia="Times New Roman" w:hAnsi="Times New Roman"/>
                  <w:sz w:val="18"/>
                  <w:szCs w:val="18"/>
                  <w:color w:val="0000EE"/>
                </w:rPr>
                <w:t>Supply Agreement, by and between FibroGen, Inc. and</w:t>
              </w:r>
            </w:hyperlink>
          </w:p>
        </w:tc>
        <w:tc>
          <w:tcPr>
            <w:tcW w:w="420" w:type="dxa"/>
            <w:vAlign w:val="bottom"/>
            <w:gridSpan w:val="12"/>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tcBorders>
              <w:bottom w:val="single" w:sz="8" w:color="0000EE"/>
            </w:tcBorders>
            <w:gridSpan w:val="28"/>
          </w:tcPr>
          <w:p>
            <w:pPr>
              <w:spacing w:after="0" w:line="192" w:lineRule="exact"/>
              <w:rPr>
                <w:rFonts w:ascii="Times New Roman" w:cs="Times New Roman" w:eastAsia="Times New Roman" w:hAnsi="Times New Roman"/>
                <w:sz w:val="18"/>
                <w:szCs w:val="18"/>
                <w:color w:val="0000EE"/>
                <w:w w:val="97"/>
              </w:rPr>
            </w:pPr>
            <w:hyperlink r:id="rId348">
              <w:r>
                <w:rPr>
                  <w:rFonts w:ascii="Times New Roman" w:cs="Times New Roman" w:eastAsia="Times New Roman" w:hAnsi="Times New Roman"/>
                  <w:sz w:val="18"/>
                  <w:szCs w:val="18"/>
                  <w:color w:val="0000EE"/>
                  <w:w w:val="97"/>
                </w:rPr>
                <w:t>Boehringer Ingelheim Biopharmaceuticals GmbH, effective as of</w:t>
              </w:r>
            </w:hyperlink>
          </w:p>
        </w:tc>
      </w:tr>
      <w:tr>
        <w:trPr>
          <w:trHeight w:val="192"/>
        </w:trPr>
        <w:tc>
          <w:tcPr>
            <w:tcW w:w="1380" w:type="dxa"/>
            <w:vAlign w:val="bottom"/>
          </w:tcPr>
          <w:p>
            <w:pPr>
              <w:spacing w:after="0"/>
              <w:rPr>
                <w:sz w:val="16"/>
                <w:szCs w:val="16"/>
                <w:color w:val="auto"/>
              </w:rPr>
            </w:pPr>
          </w:p>
        </w:tc>
        <w:tc>
          <w:tcPr>
            <w:tcW w:w="1340" w:type="dxa"/>
            <w:vAlign w:val="bottom"/>
            <w:tcBorders>
              <w:bottom w:val="single" w:sz="8" w:color="0000EE"/>
            </w:tcBorders>
            <w:gridSpan w:val="2"/>
          </w:tcPr>
          <w:p>
            <w:pPr>
              <w:spacing w:after="0" w:line="192" w:lineRule="exact"/>
              <w:rPr>
                <w:rFonts w:ascii="Times New Roman" w:cs="Times New Roman" w:eastAsia="Times New Roman" w:hAnsi="Times New Roman"/>
                <w:sz w:val="18"/>
                <w:szCs w:val="18"/>
                <w:color w:val="0000EE"/>
                <w:w w:val="97"/>
              </w:rPr>
            </w:pPr>
            <w:hyperlink r:id="rId348">
              <w:r>
                <w:rPr>
                  <w:rFonts w:ascii="Times New Roman" w:cs="Times New Roman" w:eastAsia="Times New Roman" w:hAnsi="Times New Roman"/>
                  <w:sz w:val="18"/>
                  <w:szCs w:val="18"/>
                  <w:color w:val="0000EE"/>
                  <w:w w:val="97"/>
                </w:rPr>
                <w:t>September 1, 2017</w:t>
              </w:r>
            </w:hyperlink>
          </w:p>
        </w:tc>
        <w:tc>
          <w:tcPr>
            <w:tcW w:w="3280" w:type="dxa"/>
            <w:vAlign w:val="bottom"/>
            <w:gridSpan w:val="26"/>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4620" w:type="dxa"/>
            <w:vAlign w:val="bottom"/>
            <w:gridSpan w:val="28"/>
          </w:tcPr>
          <w:p>
            <w:pPr>
              <w:spacing w:after="0"/>
              <w:rPr>
                <w:rFonts w:ascii="Times New Roman" w:cs="Times New Roman" w:eastAsia="Times New Roman" w:hAnsi="Times New Roman"/>
                <w:sz w:val="18"/>
                <w:szCs w:val="18"/>
                <w:color w:val="0000EE"/>
                <w:w w:val="98"/>
              </w:rPr>
            </w:pPr>
            <w:hyperlink r:id="rId349">
              <w:r>
                <w:rPr>
                  <w:rFonts w:ascii="Times New Roman" w:cs="Times New Roman" w:eastAsia="Times New Roman" w:hAnsi="Times New Roman"/>
                  <w:sz w:val="18"/>
                  <w:szCs w:val="18"/>
                  <w:color w:val="0000EE"/>
                  <w:w w:val="98"/>
                </w:rPr>
                <w:t>State-Owned Construction Land Use Right Granting Contract by</w:t>
              </w:r>
            </w:hyperlink>
          </w:p>
        </w:tc>
      </w:tr>
      <w:tr>
        <w:trPr>
          <w:trHeight w:val="192"/>
        </w:trPr>
        <w:tc>
          <w:tcPr>
            <w:tcW w:w="1380" w:type="dxa"/>
            <w:vAlign w:val="bottom"/>
          </w:tcPr>
          <w:p>
            <w:pPr>
              <w:spacing w:after="0"/>
              <w:rPr>
                <w:sz w:val="16"/>
                <w:szCs w:val="16"/>
                <w:color w:val="auto"/>
              </w:rPr>
            </w:pPr>
          </w:p>
        </w:tc>
        <w:tc>
          <w:tcPr>
            <w:tcW w:w="3700" w:type="dxa"/>
            <w:vAlign w:val="bottom"/>
            <w:tcBorders>
              <w:top w:val="single" w:sz="8" w:color="0000EE"/>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r:id="rId349">
              <w:r>
                <w:rPr>
                  <w:rFonts w:ascii="Times New Roman" w:cs="Times New Roman" w:eastAsia="Times New Roman" w:hAnsi="Times New Roman"/>
                  <w:sz w:val="18"/>
                  <w:szCs w:val="18"/>
                  <w:color w:val="0000EE"/>
                  <w:w w:val="97"/>
                </w:rPr>
                <w:t>and between FibroGen (China) Medical Technology</w:t>
              </w:r>
            </w:hyperlink>
          </w:p>
        </w:tc>
        <w:tc>
          <w:tcPr>
            <w:tcW w:w="880" w:type="dxa"/>
            <w:vAlign w:val="bottom"/>
            <w:tcBorders>
              <w:top w:val="single" w:sz="8" w:color="0000EE"/>
            </w:tcBorders>
            <w:gridSpan w:val="13"/>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480" w:type="dxa"/>
            <w:vAlign w:val="bottom"/>
            <w:tcBorders>
              <w:bottom w:val="single" w:sz="8" w:color="0000EE"/>
            </w:tcBorders>
            <w:gridSpan w:val="25"/>
          </w:tcPr>
          <w:p>
            <w:pPr>
              <w:spacing w:after="0" w:line="192" w:lineRule="exact"/>
              <w:rPr>
                <w:rFonts w:ascii="Times New Roman" w:cs="Times New Roman" w:eastAsia="Times New Roman" w:hAnsi="Times New Roman"/>
                <w:sz w:val="18"/>
                <w:szCs w:val="18"/>
                <w:color w:val="0000EE"/>
                <w:w w:val="98"/>
              </w:rPr>
            </w:pPr>
            <w:hyperlink r:id="rId349">
              <w:r>
                <w:rPr>
                  <w:rFonts w:ascii="Times New Roman" w:cs="Times New Roman" w:eastAsia="Times New Roman" w:hAnsi="Times New Roman"/>
                  <w:sz w:val="18"/>
                  <w:szCs w:val="18"/>
                  <w:color w:val="0000EE"/>
                  <w:w w:val="98"/>
                </w:rPr>
                <w:t>Development Co., Ltd. and The Bureau of Land and Resources</w:t>
              </w:r>
            </w:hyperlink>
          </w:p>
        </w:tc>
        <w:tc>
          <w:tcPr>
            <w:tcW w:w="140" w:type="dxa"/>
            <w:vAlign w:val="bottom"/>
            <w:gridSpan w:val="3"/>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349">
              <w:r>
                <w:rPr>
                  <w:rFonts w:ascii="Times New Roman" w:cs="Times New Roman" w:eastAsia="Times New Roman" w:hAnsi="Times New Roman"/>
                  <w:sz w:val="18"/>
                  <w:szCs w:val="18"/>
                  <w:color w:val="0000EE"/>
                </w:rPr>
                <w:t>of Cangzhou, dated as of February 24, 2017</w:t>
              </w:r>
            </w:hyperlink>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44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7"/>
              </w:rPr>
            </w:pPr>
            <w:hyperlink r:id="rId350">
              <w:r>
                <w:rPr>
                  <w:rFonts w:ascii="Times New Roman" w:cs="Times New Roman" w:eastAsia="Times New Roman" w:hAnsi="Times New Roman"/>
                  <w:sz w:val="18"/>
                  <w:szCs w:val="18"/>
                  <w:color w:val="0000EE"/>
                  <w:w w:val="97"/>
                </w:rPr>
                <w:t>Offer Letter, by and between FibroGen, Inc. and Frank Valone,</w:t>
              </w:r>
            </w:hyperlink>
          </w:p>
        </w:tc>
        <w:tc>
          <w:tcPr>
            <w:tcW w:w="160" w:type="dxa"/>
            <w:vAlign w:val="bottom"/>
            <w:gridSpan w:val="4"/>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218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r:id="rId350">
              <w:r>
                <w:rPr>
                  <w:rFonts w:ascii="Times New Roman" w:cs="Times New Roman" w:eastAsia="Times New Roman" w:hAnsi="Times New Roman"/>
                  <w:sz w:val="18"/>
                  <w:szCs w:val="18"/>
                  <w:color w:val="0000EE"/>
                  <w:w w:val="97"/>
                </w:rPr>
                <w:t>dated as of November 3, 2008.</w:t>
              </w:r>
            </w:hyperlink>
          </w:p>
        </w:tc>
        <w:tc>
          <w:tcPr>
            <w:tcW w:w="2440" w:type="dxa"/>
            <w:vAlign w:val="bottom"/>
            <w:gridSpan w:val="22"/>
          </w:tcPr>
          <w:p>
            <w:pPr>
              <w:spacing w:after="0"/>
              <w:rPr>
                <w:sz w:val="16"/>
                <w:szCs w:val="16"/>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44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7"/>
              </w:rPr>
            </w:pPr>
            <w:hyperlink r:id="rId351">
              <w:r>
                <w:rPr>
                  <w:rFonts w:ascii="Times New Roman" w:cs="Times New Roman" w:eastAsia="Times New Roman" w:hAnsi="Times New Roman"/>
                  <w:sz w:val="18"/>
                  <w:szCs w:val="18"/>
                  <w:color w:val="0000EE"/>
                  <w:w w:val="97"/>
                </w:rPr>
                <w:t>Offer Letter, by and between FibroGen, Inc. and K. Peony Yu,</w:t>
              </w:r>
            </w:hyperlink>
          </w:p>
        </w:tc>
        <w:tc>
          <w:tcPr>
            <w:tcW w:w="220" w:type="dxa"/>
            <w:vAlign w:val="bottom"/>
            <w:gridSpan w:val="7"/>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351">
              <w:r>
                <w:rPr>
                  <w:rFonts w:ascii="Times New Roman" w:cs="Times New Roman" w:eastAsia="Times New Roman" w:hAnsi="Times New Roman"/>
                  <w:sz w:val="18"/>
                  <w:szCs w:val="18"/>
                  <w:color w:val="0000EE"/>
                </w:rPr>
                <w:t>dated as of November 21, 2008.</w:t>
              </w:r>
            </w:hyperlink>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44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r:id="rId352">
              <w:r>
                <w:rPr>
                  <w:rFonts w:ascii="Times New Roman" w:cs="Times New Roman" w:eastAsia="Times New Roman" w:hAnsi="Times New Roman"/>
                  <w:sz w:val="18"/>
                  <w:szCs w:val="18"/>
                  <w:color w:val="0000EE"/>
                  <w:w w:val="97"/>
                </w:rPr>
                <w:t>Offer Letter, by and between FibroGen, Inc. and Pat Cotroneo,</w:t>
              </w:r>
            </w:hyperlink>
          </w:p>
        </w:tc>
        <w:tc>
          <w:tcPr>
            <w:tcW w:w="180" w:type="dxa"/>
            <w:vAlign w:val="bottom"/>
            <w:gridSpan w:val="5"/>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352">
              <w:r>
                <w:rPr>
                  <w:rFonts w:ascii="Times New Roman" w:cs="Times New Roman" w:eastAsia="Times New Roman" w:hAnsi="Times New Roman"/>
                  <w:sz w:val="18"/>
                  <w:szCs w:val="18"/>
                  <w:color w:val="0000EE"/>
                </w:rPr>
                <w:t>dated as of October 23, 2000.</w:t>
              </w:r>
            </w:hyperlink>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4620" w:type="dxa"/>
            <w:vAlign w:val="bottom"/>
            <w:gridSpan w:val="28"/>
          </w:tcPr>
          <w:p>
            <w:pPr>
              <w:spacing w:after="0"/>
              <w:rPr>
                <w:rFonts w:ascii="Times New Roman" w:cs="Times New Roman" w:eastAsia="Times New Roman" w:hAnsi="Times New Roman"/>
                <w:sz w:val="18"/>
                <w:szCs w:val="18"/>
                <w:color w:val="0000EE"/>
              </w:rPr>
            </w:pPr>
            <w:hyperlink r:id="rId353">
              <w:r>
                <w:rPr>
                  <w:rFonts w:ascii="Times New Roman" w:cs="Times New Roman" w:eastAsia="Times New Roman" w:hAnsi="Times New Roman"/>
                  <w:sz w:val="18"/>
                  <w:szCs w:val="18"/>
                  <w:color w:val="0000EE"/>
                </w:rPr>
                <w:t>Form of Change in Control and Severance Agreement by and</w:t>
              </w:r>
            </w:hyperlink>
          </w:p>
        </w:tc>
      </w:tr>
      <w:tr>
        <w:trPr>
          <w:trHeight w:val="192"/>
        </w:trPr>
        <w:tc>
          <w:tcPr>
            <w:tcW w:w="1380" w:type="dxa"/>
            <w:vAlign w:val="bottom"/>
          </w:tcPr>
          <w:p>
            <w:pPr>
              <w:spacing w:after="0"/>
              <w:rPr>
                <w:sz w:val="16"/>
                <w:szCs w:val="16"/>
                <w:color w:val="auto"/>
              </w:rPr>
            </w:pPr>
          </w:p>
        </w:tc>
        <w:tc>
          <w:tcPr>
            <w:tcW w:w="4340" w:type="dxa"/>
            <w:vAlign w:val="bottom"/>
            <w:tcBorders>
              <w:top w:val="single" w:sz="8" w:color="0000EE"/>
            </w:tcBorders>
            <w:gridSpan w:val="20"/>
          </w:tcPr>
          <w:p>
            <w:pPr>
              <w:spacing w:after="0" w:line="192" w:lineRule="exact"/>
              <w:rPr>
                <w:rFonts w:ascii="Times New Roman" w:cs="Times New Roman" w:eastAsia="Times New Roman" w:hAnsi="Times New Roman"/>
                <w:sz w:val="18"/>
                <w:szCs w:val="18"/>
                <w:color w:val="0000EE"/>
              </w:rPr>
            </w:pPr>
            <w:hyperlink r:id="rId353">
              <w:r>
                <w:rPr>
                  <w:rFonts w:ascii="Times New Roman" w:cs="Times New Roman" w:eastAsia="Times New Roman" w:hAnsi="Times New Roman"/>
                  <w:sz w:val="18"/>
                  <w:szCs w:val="18"/>
                  <w:color w:val="0000EE"/>
                </w:rPr>
                <w:t>between FibroGen, Inc. and its officers.</w:t>
              </w:r>
            </w:hyperlink>
          </w:p>
        </w:tc>
        <w:tc>
          <w:tcPr>
            <w:tcW w:w="280" w:type="dxa"/>
            <w:vAlign w:val="bottom"/>
            <w:gridSpan w:val="8"/>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4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354">
              <w:r>
                <w:rPr>
                  <w:rFonts w:ascii="Times New Roman" w:cs="Times New Roman" w:eastAsia="Times New Roman" w:hAnsi="Times New Roman"/>
                  <w:sz w:val="18"/>
                  <w:szCs w:val="18"/>
                  <w:color w:val="0000EE"/>
                  <w:w w:val="97"/>
                </w:rPr>
                <w:t>Form of Executive Officer Change in Control and Severance</w:t>
              </w:r>
            </w:hyperlink>
          </w:p>
        </w:tc>
        <w:tc>
          <w:tcPr>
            <w:tcW w:w="320" w:type="dxa"/>
            <w:vAlign w:val="bottom"/>
            <w:gridSpan w:val="10"/>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r:id="rId354">
              <w:r>
                <w:rPr>
                  <w:rFonts w:ascii="Times New Roman" w:cs="Times New Roman" w:eastAsia="Times New Roman" w:hAnsi="Times New Roman"/>
                  <w:sz w:val="18"/>
                  <w:szCs w:val="18"/>
                  <w:color w:val="0000EE"/>
                </w:rPr>
                <w:t>Agreement</w:t>
              </w:r>
            </w:hyperlink>
          </w:p>
        </w:tc>
      </w:tr>
      <w:tr>
        <w:trPr>
          <w:trHeight w:val="20"/>
        </w:trPr>
        <w:tc>
          <w:tcPr>
            <w:tcW w:w="1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r:id="rId355">
              <w:r>
                <w:rPr>
                  <w:rFonts w:ascii="Times New Roman" w:cs="Times New Roman" w:eastAsia="Times New Roman" w:hAnsi="Times New Roman"/>
                  <w:sz w:val="18"/>
                  <w:szCs w:val="18"/>
                  <w:color w:val="0000EE"/>
                  <w:w w:val="97"/>
                </w:rPr>
                <w:t>Subsidiaries of FibroGen, Inc.</w:t>
              </w:r>
            </w:hyperlink>
          </w:p>
        </w:tc>
        <w:tc>
          <w:tcPr>
            <w:tcW w:w="2480" w:type="dxa"/>
            <w:vAlign w:val="bottom"/>
            <w:gridSpan w:val="23"/>
          </w:tcPr>
          <w:p>
            <w:pPr>
              <w:spacing w:after="0"/>
              <w:rPr>
                <w:sz w:val="24"/>
                <w:szCs w:val="24"/>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192">
              <w:r>
                <w:rPr>
                  <w:rFonts w:ascii="Times New Roman" w:cs="Times New Roman" w:eastAsia="Times New Roman" w:hAnsi="Times New Roman"/>
                  <w:sz w:val="18"/>
                  <w:szCs w:val="18"/>
                  <w:color w:val="0000EE"/>
                  <w:w w:val="97"/>
                </w:rPr>
                <w:t>Consent of PricewaterhouseCoopers LLP.</w:t>
              </w:r>
            </w:hyperlink>
          </w:p>
        </w:tc>
        <w:tc>
          <w:tcPr>
            <w:tcW w:w="1660" w:type="dxa"/>
            <w:vAlign w:val="bottom"/>
            <w:gridSpan w:val="18"/>
          </w:tcPr>
          <w:p>
            <w:pPr>
              <w:spacing w:after="0"/>
              <w:rPr>
                <w:sz w:val="24"/>
                <w:szCs w:val="24"/>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620" w:type="dxa"/>
            <w:vAlign w:val="bottom"/>
            <w:gridSpan w:val="28"/>
          </w:tcPr>
          <w:p>
            <w:pPr>
              <w:spacing w:after="0"/>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Power of Attorney (included in signature pages).</w:t>
              </w:r>
            </w:hyperlink>
          </w:p>
        </w:tc>
      </w:tr>
      <w:tr>
        <w:trPr>
          <w:trHeight w:val="20"/>
        </w:trPr>
        <w:tc>
          <w:tcPr>
            <w:tcW w:w="138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20" w:type="dxa"/>
            <w:vAlign w:val="bottom"/>
            <w:gridSpan w:val="28"/>
          </w:tcPr>
          <w:p>
            <w:pPr>
              <w:spacing w:after="0"/>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Certification of Chief Executive Officer, as required by Rule</w:t>
              </w:r>
            </w:hyperlink>
          </w:p>
        </w:tc>
      </w:tr>
      <w:tr>
        <w:trPr>
          <w:trHeight w:val="192"/>
        </w:trPr>
        <w:tc>
          <w:tcPr>
            <w:tcW w:w="1380" w:type="dxa"/>
            <w:vAlign w:val="bottom"/>
          </w:tcPr>
          <w:p>
            <w:pPr>
              <w:spacing w:after="0"/>
              <w:rPr>
                <w:sz w:val="16"/>
                <w:szCs w:val="16"/>
                <w:color w:val="auto"/>
              </w:rPr>
            </w:pPr>
          </w:p>
        </w:tc>
        <w:tc>
          <w:tcPr>
            <w:tcW w:w="4280" w:type="dxa"/>
            <w:vAlign w:val="bottom"/>
            <w:tcBorders>
              <w:top w:val="single" w:sz="8" w:color="0000EE"/>
            </w:tcBorders>
            <w:gridSpan w:val="17"/>
          </w:tcPr>
          <w:p>
            <w:pPr>
              <w:spacing w:after="0" w:line="192" w:lineRule="exact"/>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13a-14(a) or Rule 15d-14(a).</w:t>
              </w:r>
            </w:hyperlink>
          </w:p>
        </w:tc>
        <w:tc>
          <w:tcPr>
            <w:tcW w:w="340" w:type="dxa"/>
            <w:vAlign w:val="bottom"/>
            <w:gridSpan w:val="11"/>
          </w:tcPr>
          <w:p>
            <w:pPr>
              <w:spacing w:after="0"/>
              <w:rPr>
                <w:sz w:val="16"/>
                <w:szCs w:val="16"/>
                <w:color w:val="auto"/>
              </w:rPr>
            </w:pPr>
          </w:p>
        </w:tc>
      </w:tr>
      <w:tr>
        <w:trPr>
          <w:trHeight w:val="20"/>
        </w:trPr>
        <w:tc>
          <w:tcPr>
            <w:tcW w:w="138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7"/>
              </w:rPr>
            </w:pPr>
            <w:hyperlink w:anchor="page194">
              <w:r>
                <w:rPr>
                  <w:rFonts w:ascii="Times New Roman" w:cs="Times New Roman" w:eastAsia="Times New Roman" w:hAnsi="Times New Roman"/>
                  <w:sz w:val="18"/>
                  <w:szCs w:val="18"/>
                  <w:color w:val="0000EE"/>
                  <w:w w:val="97"/>
                </w:rPr>
                <w:t>Certification of Chief Financial Officer, as required by Rule 13a-</w:t>
              </w:r>
            </w:hyperlink>
          </w:p>
        </w:tc>
        <w:tc>
          <w:tcPr>
            <w:tcW w:w="20" w:type="dxa"/>
            <w:vAlign w:val="bottom"/>
          </w:tcPr>
          <w:p>
            <w:pPr>
              <w:spacing w:after="0"/>
              <w:rPr>
                <w:sz w:val="24"/>
                <w:szCs w:val="24"/>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14(a) or Rule 15d-14(a).</w:t>
              </w:r>
            </w:hyperlink>
          </w:p>
        </w:tc>
      </w:tr>
      <w:tr>
        <w:trPr>
          <w:trHeight w:val="20"/>
        </w:trPr>
        <w:tc>
          <w:tcPr>
            <w:tcW w:w="138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620" w:type="dxa"/>
            <w:vAlign w:val="bottom"/>
            <w:gridSpan w:val="28"/>
          </w:tcPr>
          <w:p>
            <w:pPr>
              <w:spacing w:after="0"/>
              <w:rPr>
                <w:rFonts w:ascii="Times New Roman" w:cs="Times New Roman" w:eastAsia="Times New Roman" w:hAnsi="Times New Roman"/>
                <w:sz w:val="18"/>
                <w:szCs w:val="18"/>
                <w:color w:val="0000EE"/>
              </w:rPr>
            </w:pPr>
            <w:hyperlink w:anchor="page195">
              <w:r>
                <w:rPr>
                  <w:rFonts w:ascii="Times New Roman" w:cs="Times New Roman" w:eastAsia="Times New Roman" w:hAnsi="Times New Roman"/>
                  <w:sz w:val="18"/>
                  <w:szCs w:val="18"/>
                  <w:color w:val="0000EE"/>
                </w:rPr>
                <w:t>Certification of Principal Executive Officer and Principal</w:t>
              </w:r>
            </w:hyperlink>
          </w:p>
        </w:tc>
      </w:tr>
      <w:tr>
        <w:trPr>
          <w:trHeight w:val="20"/>
        </w:trPr>
        <w:tc>
          <w:tcPr>
            <w:tcW w:w="1380" w:type="dxa"/>
            <w:vAlign w:val="bottom"/>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w:anchor="page195">
              <w:r>
                <w:rPr>
                  <w:rFonts w:ascii="Times New Roman" w:cs="Times New Roman" w:eastAsia="Times New Roman" w:hAnsi="Times New Roman"/>
                  <w:sz w:val="18"/>
                  <w:szCs w:val="18"/>
                  <w:color w:val="0000EE"/>
                </w:rPr>
                <w:t>Financial Officer, as required by Rule 13a-14(b) or Rule 15d-</w:t>
              </w:r>
            </w:hyperlink>
          </w:p>
        </w:tc>
      </w:tr>
      <w:tr>
        <w:trPr>
          <w:trHeight w:val="20"/>
        </w:trPr>
        <w:tc>
          <w:tcPr>
            <w:tcW w:w="1380" w:type="dxa"/>
            <w:vAlign w:val="bottom"/>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1900" w:type="dxa"/>
            <w:vAlign w:val="bottom"/>
            <w:gridSpan w:val="1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92"/>
        </w:trPr>
        <w:tc>
          <w:tcPr>
            <w:tcW w:w="1380" w:type="dxa"/>
            <w:vAlign w:val="bottom"/>
          </w:tcPr>
          <w:p>
            <w:pPr>
              <w:spacing w:after="0"/>
              <w:rPr>
                <w:sz w:val="16"/>
                <w:szCs w:val="16"/>
                <w:color w:val="auto"/>
              </w:rPr>
            </w:pPr>
          </w:p>
        </w:tc>
        <w:tc>
          <w:tcPr>
            <w:tcW w:w="4620" w:type="dxa"/>
            <w:vAlign w:val="bottom"/>
            <w:gridSpan w:val="28"/>
          </w:tcPr>
          <w:p>
            <w:pPr>
              <w:spacing w:after="0" w:line="192" w:lineRule="exact"/>
              <w:rPr>
                <w:rFonts w:ascii="Times New Roman" w:cs="Times New Roman" w:eastAsia="Times New Roman" w:hAnsi="Times New Roman"/>
                <w:sz w:val="18"/>
                <w:szCs w:val="18"/>
                <w:color w:val="0000EE"/>
              </w:rPr>
            </w:pPr>
            <w:hyperlink w:anchor="page195">
              <w:r>
                <w:rPr>
                  <w:rFonts w:ascii="Times New Roman" w:cs="Times New Roman" w:eastAsia="Times New Roman" w:hAnsi="Times New Roman"/>
                  <w:sz w:val="18"/>
                  <w:szCs w:val="18"/>
                  <w:color w:val="0000EE"/>
                </w:rPr>
                <w:t>14(b) and Section 1350 of Chapter 63 of Title 18 of the United</w:t>
              </w:r>
            </w:hyperlink>
          </w:p>
        </w:tc>
      </w:tr>
      <w:tr>
        <w:trPr>
          <w:trHeight w:val="192"/>
        </w:trPr>
        <w:tc>
          <w:tcPr>
            <w:tcW w:w="1380" w:type="dxa"/>
            <w:vAlign w:val="bottom"/>
          </w:tcPr>
          <w:p>
            <w:pPr>
              <w:spacing w:after="0"/>
              <w:rPr>
                <w:sz w:val="16"/>
                <w:szCs w:val="16"/>
                <w:color w:val="auto"/>
              </w:rPr>
            </w:pPr>
          </w:p>
        </w:tc>
        <w:tc>
          <w:tcPr>
            <w:tcW w:w="2440" w:type="dxa"/>
            <w:vAlign w:val="bottom"/>
            <w:tcBorders>
              <w:top w:val="single" w:sz="8" w:color="0000EE"/>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w:anchor="page195">
              <w:r>
                <w:rPr>
                  <w:rFonts w:ascii="Times New Roman" w:cs="Times New Roman" w:eastAsia="Times New Roman" w:hAnsi="Times New Roman"/>
                  <w:sz w:val="18"/>
                  <w:szCs w:val="18"/>
                  <w:color w:val="0000EE"/>
                  <w:w w:val="97"/>
                </w:rPr>
                <w:t>States Code (18 U.S.C. §1350)(1).</w:t>
              </w:r>
            </w:hyperlink>
          </w:p>
        </w:tc>
        <w:tc>
          <w:tcPr>
            <w:tcW w:w="1980" w:type="dxa"/>
            <w:vAlign w:val="bottom"/>
            <w:tcBorders>
              <w:top w:val="single" w:sz="8" w:color="0000EE"/>
            </w:tcBorders>
            <w:gridSpan w:val="14"/>
          </w:tcPr>
          <w:p>
            <w:pPr>
              <w:spacing w:after="0"/>
              <w:rPr>
                <w:sz w:val="16"/>
                <w:szCs w:val="16"/>
                <w:color w:val="auto"/>
              </w:rPr>
            </w:pPr>
          </w:p>
        </w:tc>
        <w:tc>
          <w:tcPr>
            <w:tcW w:w="200" w:type="dxa"/>
            <w:vAlign w:val="bottom"/>
            <w:gridSpan w:val="6"/>
          </w:tcPr>
          <w:p>
            <w:pPr>
              <w:spacing w:after="0"/>
              <w:rPr>
                <w:sz w:val="16"/>
                <w:szCs w:val="16"/>
                <w:color w:val="auto"/>
              </w:rPr>
            </w:pPr>
          </w:p>
        </w:tc>
      </w:tr>
      <w:tr>
        <w:trPr>
          <w:trHeight w:val="37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5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Schema Linkbase Document</w:t>
            </w:r>
          </w:p>
        </w:tc>
      </w:tr>
      <w:tr>
        <w:trPr>
          <w:trHeight w:val="35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35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35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35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bl>
    <w:p>
      <w:pPr>
        <w:spacing w:after="0" w:line="140" w:lineRule="exact"/>
        <w:rPr>
          <w:sz w:val="20"/>
          <w:szCs w:val="20"/>
          <w:color w:val="auto"/>
        </w:rPr>
      </w:pPr>
    </w:p>
    <w:p>
      <w:pPr>
        <w:ind w:left="520" w:hanging="514"/>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21094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6">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4" w:lineRule="exact"/>
        <w:rPr>
          <w:sz w:val="20"/>
          <w:szCs w:val="20"/>
          <w:color w:val="auto"/>
        </w:rPr>
      </w:pPr>
    </w:p>
    <w:p>
      <w:pPr>
        <w:ind w:left="520" w:hanging="514"/>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tabs>
          <w:tab w:leader="none" w:pos="900" w:val="left"/>
          <w:tab w:leader="none" w:pos="2080" w:val="left"/>
          <w:tab w:leader="none" w:pos="37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10.26(xxxiv)</w:t>
      </w:r>
      <w:r>
        <w:rPr>
          <w:sz w:val="20"/>
          <w:szCs w:val="20"/>
          <w:color w:val="auto"/>
        </w:rPr>
        <w:tab/>
      </w:r>
      <w:r>
        <w:rPr>
          <w:rFonts w:ascii="Times New Roman" w:cs="Times New Roman" w:eastAsia="Times New Roman" w:hAnsi="Times New Roman"/>
          <w:sz w:val="17"/>
          <w:szCs w:val="17"/>
          <w:color w:val="auto"/>
        </w:rPr>
        <w:t>2/27/2018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900" w:val="left"/>
          <w:tab w:leader="none" w:pos="2120" w:val="left"/>
          <w:tab w:leader="none" w:pos="37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10.26(xxxv)</w:t>
      </w:r>
      <w:r>
        <w:rPr>
          <w:sz w:val="20"/>
          <w:szCs w:val="20"/>
          <w:color w:val="auto"/>
        </w:rPr>
        <w:tab/>
      </w:r>
      <w:r>
        <w:rPr>
          <w:rFonts w:ascii="Times New Roman" w:cs="Times New Roman" w:eastAsia="Times New Roman" w:hAnsi="Times New Roman"/>
          <w:sz w:val="17"/>
          <w:szCs w:val="17"/>
          <w:color w:val="auto"/>
        </w:rPr>
        <w:t>2/27/2018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900" w:val="left"/>
          <w:tab w:leader="none" w:pos="2340" w:val="left"/>
          <w:tab w:leader="none" w:pos="38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001-36740</w:t>
      </w:r>
      <w:r>
        <w:rPr>
          <w:sz w:val="20"/>
          <w:szCs w:val="20"/>
          <w:color w:val="auto"/>
        </w:rPr>
        <w:tab/>
      </w: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7"/>
          <w:szCs w:val="17"/>
          <w:color w:val="auto"/>
        </w:rPr>
        <w:t>5/9/2017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10.29</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569"/>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10.30</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569"/>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10.31</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8"/>
              </w:rPr>
              <w:t>10/1/2014</w:t>
            </w:r>
          </w:p>
        </w:tc>
      </w:tr>
      <w:tr>
        <w:trPr>
          <w:trHeight w:val="569"/>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10.32</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10/24/2014</w:t>
            </w:r>
          </w:p>
        </w:tc>
      </w:tr>
      <w:tr>
        <w:trPr>
          <w:trHeight w:val="569"/>
        </w:trPr>
        <w:tc>
          <w:tcPr>
            <w:tcW w:w="6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10.33</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5/9/2017</w:t>
            </w:r>
          </w:p>
        </w:tc>
      </w:tr>
      <w:tr>
        <w:trPr>
          <w:trHeight w:val="569"/>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5"/>
              </w:rPr>
              <w:t>21.1</w:t>
            </w:r>
          </w:p>
        </w:tc>
        <w:tc>
          <w:tcPr>
            <w:tcW w:w="12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10/24/2014</w:t>
            </w:r>
          </w:p>
        </w:tc>
      </w:tr>
      <w:tr>
        <w:trPr>
          <w:trHeight w:val="358"/>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r>
      <w:tr>
        <w:trPr>
          <w:trHeight w:val="358"/>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r>
      <w:tr>
        <w:trPr>
          <w:trHeight w:val="358"/>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r>
      <w:tr>
        <w:trPr>
          <w:trHeight w:val="569"/>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r>
      <w:tr>
        <w:trPr>
          <w:trHeight w:val="569"/>
        </w:trPr>
        <w:tc>
          <w:tcPr>
            <w:tcW w:w="6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35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35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35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35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r>
        <w:trPr>
          <w:trHeight w:val="35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r>
    </w:tbl>
    <w:p>
      <w:pPr>
        <w:sectPr>
          <w:pgSz w:w="11900" w:h="16838" w:orient="portrait"/>
          <w:cols w:equalWidth="0" w:num="2">
            <w:col w:w="6000" w:space="320"/>
            <w:col w:w="4540"/>
          </w:cols>
          <w:pgMar w:left="240" w:top="330" w:right="799" w:bottom="1440" w:gutter="0" w:footer="0" w:header="0"/>
        </w:sectPr>
      </w:pPr>
    </w:p>
    <w:bookmarkStart w:id="176" w:name="page177"/>
    <w:bookmarkEnd w:id="176"/>
    <w:p>
      <w:pPr>
        <w:ind w:left="514" w:hanging="514"/>
        <w:spacing w:after="0"/>
        <w:tabs>
          <w:tab w:leader="none" w:pos="51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4" w:lineRule="exact"/>
        <w:rPr>
          <w:sz w:val="20"/>
          <w:szCs w:val="20"/>
          <w:color w:val="auto"/>
        </w:rPr>
      </w:pPr>
    </w:p>
    <w:p>
      <w:pPr>
        <w:jc w:val="both"/>
        <w:ind w:left="514" w:right="280" w:hanging="514"/>
        <w:spacing w:after="0" w:line="270" w:lineRule="auto"/>
        <w:tabs>
          <w:tab w:leader="none" w:pos="51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spacing w:after="0" w:line="164" w:lineRule="exact"/>
        <w:rPr>
          <w:sz w:val="20"/>
          <w:szCs w:val="20"/>
          <w:color w:val="auto"/>
        </w:rPr>
      </w:pPr>
    </w:p>
    <w:p>
      <w:pPr>
        <w:ind w:left="-6" w:firstLine="6"/>
        <w:spacing w:after="0" w:line="278" w:lineRule="auto"/>
        <w:tabs>
          <w:tab w:leader="none" w:pos="23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 Schedules</w:t>
      </w:r>
      <w:r>
        <w:rPr>
          <w:rFonts w:ascii="Times New Roman" w:cs="Times New Roman" w:eastAsia="Times New Roman" w:hAnsi="Times New Roman"/>
          <w:sz w:val="18"/>
          <w:szCs w:val="18"/>
          <w:color w:val="auto"/>
        </w:rPr>
        <w:t>—See (a) 2 above. All other financial statement schedules are omitted because they are not applicable because the requested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is included in the consolidated financial statements or notes thereto.</w:t>
      </w:r>
    </w:p>
    <w:p>
      <w:pPr>
        <w:spacing w:after="0" w:line="359" w:lineRule="exact"/>
        <w:rPr>
          <w:sz w:val="20"/>
          <w:szCs w:val="20"/>
          <w:color w:val="auto"/>
        </w:rPr>
      </w:pPr>
    </w:p>
    <w:p>
      <w:pPr>
        <w:jc w:val="center"/>
        <w:ind w:right="-133"/>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729170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274"/>
          </w:cols>
          <w:pgMar w:left="246" w:top="333" w:right="37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in the City of San Francisco, State of California.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40" w:type="dxa"/>
            <w:vAlign w:val="bottom"/>
          </w:tcPr>
          <w:p>
            <w:pPr>
              <w:spacing w:after="0"/>
              <w:rPr>
                <w:sz w:val="20"/>
                <w:szCs w:val="20"/>
                <w:color w:val="auto"/>
              </w:rPr>
            </w:pPr>
          </w:p>
        </w:tc>
        <w:tc>
          <w:tcPr>
            <w:tcW w:w="78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FIBROGEN, INC.</w:t>
            </w:r>
          </w:p>
        </w:tc>
      </w:tr>
      <w:tr>
        <w:trPr>
          <w:trHeight w:val="3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2019</w:t>
            </w:r>
          </w:p>
        </w:tc>
        <w:tc>
          <w:tcPr>
            <w:tcW w:w="27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B. Neff</w:t>
            </w:r>
          </w:p>
        </w:tc>
      </w:tr>
      <w:tr>
        <w:trPr>
          <w:trHeight w:val="187"/>
        </w:trPr>
        <w:tc>
          <w:tcPr>
            <w:tcW w:w="3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Thomas B. Neff</w:t>
            </w:r>
          </w:p>
        </w:tc>
      </w:tr>
      <w:tr>
        <w:trPr>
          <w:trHeight w:val="210"/>
        </w:trPr>
        <w:tc>
          <w:tcPr>
            <w:tcW w:w="3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3"/>
        </w:trPr>
        <w:tc>
          <w:tcPr>
            <w:tcW w:w="3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3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2019</w:t>
            </w:r>
          </w:p>
        </w:tc>
        <w:tc>
          <w:tcPr>
            <w:tcW w:w="27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 Cotroneo</w:t>
            </w:r>
          </w:p>
        </w:tc>
      </w:tr>
      <w:tr>
        <w:trPr>
          <w:trHeight w:val="207"/>
        </w:trPr>
        <w:tc>
          <w:tcPr>
            <w:tcW w:w="35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 Cotroneo</w:t>
            </w:r>
          </w:p>
        </w:tc>
      </w:tr>
    </w:tbl>
    <w:p>
      <w:pPr>
        <w:ind w:left="6320"/>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p>
      <w:pPr>
        <w:spacing w:after="0" w:line="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291705"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78" w:name="page179"/>
    <w:bookmarkEnd w:id="17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9" w:lineRule="exact"/>
        <w:rPr>
          <w:sz w:val="20"/>
          <w:szCs w:val="20"/>
          <w:color w:val="auto"/>
        </w:rPr>
      </w:pPr>
    </w:p>
    <w:p>
      <w:pPr>
        <w:ind w:firstLine="518"/>
        <w:spacing w:after="0" w:line="274"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Thomas B. Neff and Pat Cotroneo,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67" w:lineRule="exact"/>
        <w:rPr>
          <w:sz w:val="20"/>
          <w:szCs w:val="20"/>
          <w:color w:val="auto"/>
        </w:rPr>
      </w:pPr>
    </w:p>
    <w:p>
      <w:pPr>
        <w:ind w:right="580" w:firstLine="51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40"/>
          </w:cols>
          <w:pgMar w:left="240" w:top="331" w:right="319" w:bottom="1440" w:gutter="0" w:footer="0" w:header="0"/>
        </w:sectPr>
      </w:pPr>
    </w:p>
    <w:p>
      <w:pPr>
        <w:spacing w:after="0" w:line="22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1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Thomas B. Neff</w:t>
      </w:r>
    </w:p>
    <w:p>
      <w:pPr>
        <w:spacing w:after="0" w:line="4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9013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0">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11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Pat Cotroneo</w:t>
      </w:r>
    </w:p>
    <w:p>
      <w:pPr>
        <w:spacing w:after="0" w:line="4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9013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61">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1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 Jeffrey L. Edwards</w:t>
      </w:r>
    </w:p>
    <w:p>
      <w:pPr>
        <w:spacing w:after="0" w:line="4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Jeffrey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9013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62">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1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 Jeffrey W.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9013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3">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Jeffrey W. Henderson</w:t>
      </w:r>
    </w:p>
    <w:p>
      <w:pPr>
        <w:spacing w:after="0" w:line="13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Maykin Ho, Ph.D.</w:t>
      </w:r>
    </w:p>
    <w:p>
      <w:pPr>
        <w:spacing w:after="0" w:line="4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Maykin Ho,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9013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4">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1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Thomas F. Kearns Jr.</w:t>
      </w:r>
    </w:p>
    <w:p>
      <w:pPr>
        <w:spacing w:after="0" w:line="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Thomas F. Kearns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9013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5">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1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 Kalevi Kurkijärvi, Ph.D.</w:t>
      </w:r>
    </w:p>
    <w:p>
      <w:pPr>
        <w:spacing w:after="0" w:line="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Kalevi Kurkijärvi,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9013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6">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11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Gerald Lema</w:t>
      </w:r>
    </w:p>
    <w:p>
      <w:pPr>
        <w:spacing w:after="0" w:line="4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Gerald Lema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9013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7">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11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Rory B. Riggs</w:t>
      </w:r>
    </w:p>
    <w:p>
      <w:pPr>
        <w:spacing w:after="0" w:line="4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Rory B.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9013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8">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 Roberto Pedro Rosenkranz, Ph.D. M.B.A.</w:t>
      </w:r>
    </w:p>
    <w:p>
      <w:pPr>
        <w:spacing w:after="0" w:line="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Roberto Pedro Rosenkranz,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29013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9">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 Jorma Routti, Ph.D.</w:t>
      </w:r>
    </w:p>
    <w:p>
      <w:pPr>
        <w:spacing w:after="0" w:line="4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Jorma Routti,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9013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0">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137"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color w:val="auto"/>
        </w:rPr>
        <w:t xml:space="preserve">Chairman of the Board and Chief Executive Officer </w:t>
      </w:r>
      <w:r>
        <w:rPr>
          <w:rFonts w:ascii="Times New Roman" w:cs="Times New Roman" w:eastAsia="Times New Roman" w:hAnsi="Times New Roman"/>
          <w:sz w:val="18"/>
          <w:szCs w:val="18"/>
          <w:i w:val="1"/>
          <w:iCs w:val="1"/>
          <w:color w:val="auto"/>
        </w:rPr>
        <w:t>(Principal Executive Officer)</w:t>
      </w:r>
    </w:p>
    <w:p>
      <w:pPr>
        <w:spacing w:after="0" w:line="12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 xml:space="preserve">Senior Vice President, Finance and Chief Financial Officer </w:t>
      </w:r>
      <w:r>
        <w:rPr>
          <w:rFonts w:ascii="Times New Roman" w:cs="Times New Roman" w:eastAsia="Times New Roman" w:hAnsi="Times New Roman"/>
          <w:sz w:val="18"/>
          <w:szCs w:val="18"/>
          <w:i w:val="1"/>
          <w:iCs w:val="1"/>
          <w:color w:val="auto"/>
        </w:rPr>
        <w:t>(Principal Financial and Accounting Officer)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2019</w:t>
      </w:r>
    </w:p>
    <w:p>
      <w:pPr>
        <w:spacing w:after="0" w:line="280" w:lineRule="exact"/>
        <w:rPr>
          <w:sz w:val="20"/>
          <w:szCs w:val="20"/>
          <w:color w:val="auto"/>
        </w:rPr>
      </w:pPr>
    </w:p>
    <w:p>
      <w:pPr>
        <w:sectPr>
          <w:pgSz w:w="11900" w:h="16838" w:orient="portrait"/>
          <w:cols w:equalWidth="0" w:num="3">
            <w:col w:w="3980" w:space="720"/>
            <w:col w:w="4160" w:space="500"/>
            <w:col w:w="1980"/>
          </w:cols>
          <w:pgMar w:left="240" w:top="331" w:right="319" w:bottom="1440" w:gutter="0" w:footer="0" w:header="0"/>
          <w:type w:val="continuous"/>
        </w:sectPr>
      </w:pPr>
    </w:p>
    <w:p>
      <w:pPr>
        <w:jc w:val="center"/>
        <w:ind w:left="600"/>
        <w:spacing w:after="0"/>
        <w:rPr>
          <w:sz w:val="20"/>
          <w:szCs w:val="20"/>
          <w:color w:val="auto"/>
        </w:rPr>
      </w:pPr>
      <w:r>
        <w:rPr>
          <w:rFonts w:ascii="Times New Roman" w:cs="Times New Roman" w:eastAsia="Times New Roman" w:hAnsi="Times New Roman"/>
          <w:sz w:val="18"/>
          <w:szCs w:val="18"/>
          <w:color w:val="auto"/>
        </w:rPr>
        <w:t>/s/ James A. Schoeneck</w:t>
      </w:r>
    </w:p>
    <w:p>
      <w:pPr>
        <w:spacing w:after="0" w:line="4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James A. Schoeneck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29013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1">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1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/s/ Toshinari Tamura, Ph.D.</w:t>
      </w:r>
    </w:p>
    <w:p>
      <w:pPr>
        <w:spacing w:after="0" w:line="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Toshinari Tamura,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29013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72">
                      <a:extLst>
                        <a:ext uri="{28A0092B-C50C-407E-A947-70E740481C1C}"/>
                      </a:extLst>
                    </a:blip>
                    <a:srcRect/>
                    <a:stretch>
                      <a:fillRect/>
                    </a:stretch>
                  </pic:blipFill>
                  <pic:spPr bwMode="auto">
                    <a:xfrm>
                      <a:off x="0" y="0"/>
                      <a:ext cx="2901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27, 2019</w:t>
      </w:r>
    </w:p>
    <w:p>
      <w:pPr>
        <w:spacing w:after="0" w:line="400"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27, 2019</w:t>
      </w:r>
    </w:p>
    <w:p>
      <w:pPr>
        <w:spacing w:after="0" w:line="330" w:lineRule="exact"/>
        <w:rPr>
          <w:sz w:val="20"/>
          <w:szCs w:val="20"/>
          <w:color w:val="auto"/>
        </w:rPr>
      </w:pPr>
    </w:p>
    <w:p>
      <w:pPr>
        <w:sectPr>
          <w:pgSz w:w="11900" w:h="16838" w:orient="portrait"/>
          <w:cols w:equalWidth="0" w:num="2">
            <w:col w:w="3980" w:space="720"/>
            <w:col w:w="6640"/>
          </w:cols>
          <w:pgMar w:left="240" w:top="331" w:right="319" w:bottom="1440" w:gutter="0" w:footer="0" w:header="0"/>
          <w:type w:val="continuous"/>
        </w:sect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178</w:t>
      </w:r>
    </w:p>
    <w:p>
      <w:pPr>
        <w:sectPr>
          <w:pgSz w:w="11900" w:h="16838" w:orient="portrait"/>
          <w:cols w:equalWidth="0" w:num="1">
            <w:col w:w="11340"/>
          </w:cols>
          <w:pgMar w:left="240" w:top="331" w:right="319" w:bottom="1440" w:gutter="0" w:footer="0" w:header="0"/>
          <w:type w:val="continuous"/>
        </w:sectPr>
      </w:pPr>
    </w:p>
    <w:bookmarkStart w:id="179" w:name="page180"/>
    <w:bookmarkEnd w:id="179"/>
    <w:p>
      <w:pPr>
        <w:ind w:firstLine="6"/>
        <w:spacing w:after="0" w:line="276" w:lineRule="auto"/>
        <w:tabs>
          <w:tab w:leader="none" w:pos="261"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1"/>
          <w:szCs w:val="11"/>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8"/>
          <w:szCs w:val="18"/>
          <w:b w:val="1"/>
          <w:bCs w:val="1"/>
          <w:color w:val="auto"/>
        </w:rPr>
        <w:t>. 1 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1"/>
          <w:szCs w:val="11"/>
          <w:b w:val="1"/>
          <w:bCs w:val="1"/>
          <w:color w:val="auto"/>
        </w:rPr>
        <w:t>OLLABORATION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323" w:lineRule="exact"/>
        <w:rPr>
          <w:sz w:val="20"/>
          <w:szCs w:val="20"/>
          <w:color w:val="auto"/>
        </w:rPr>
      </w:pPr>
    </w:p>
    <w:p>
      <w:pPr>
        <w:jc w:val="both"/>
        <w:ind w:firstLine="815"/>
        <w:spacing w:after="0" w:line="260"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1"/>
          <w:szCs w:val="11"/>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is effective as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1"/>
          <w:szCs w:val="11"/>
          <w:b w:val="1"/>
          <w:bCs w:val="1"/>
          <w:color w:val="auto"/>
        </w:rPr>
        <w:t>ANUARY</w:t>
      </w:r>
      <w:r>
        <w:rPr>
          <w:rFonts w:ascii="Times New Roman" w:cs="Times New Roman" w:eastAsia="Times New Roman" w:hAnsi="Times New Roman"/>
          <w:sz w:val="18"/>
          <w:szCs w:val="18"/>
          <w:b w:val="1"/>
          <w:bCs w:val="1"/>
          <w:color w:val="auto"/>
        </w:rPr>
        <w:t xml:space="preserve"> 1, 2013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First Amendment Effective Date</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Astellas Pharma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Astellas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FibroGen,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FG</w:t>
      </w:r>
      <w:r>
        <w:rPr>
          <w:rFonts w:ascii="Times New Roman" w:cs="Times New Roman" w:eastAsia="Times New Roman" w:hAnsi="Times New Roman"/>
          <w:sz w:val="18"/>
          <w:szCs w:val="18"/>
          <w:color w:val="auto"/>
        </w:rPr>
        <w:t>”). This First Amendment amends the Collaboration Agreement entered into by and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Astellas and FG on June 1, 2005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Astellas and FG shall be referred to individually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815"/>
        <w:spacing w:after="0" w:line="27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8"/>
          <w:szCs w:val="18"/>
          <w:color w:val="auto"/>
        </w:rPr>
        <w:t>, under the Agreement, Astellas and FG have agreed to collaborate on the development and commercialization of certain small molecule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prolyl hydroxylase inhibitors as therapeutics in the Astellas Territory;</w:t>
      </w:r>
    </w:p>
    <w:p>
      <w:pPr>
        <w:spacing w:after="0" w:line="160" w:lineRule="exact"/>
        <w:rPr>
          <w:sz w:val="20"/>
          <w:szCs w:val="20"/>
          <w:color w:val="auto"/>
        </w:rPr>
      </w:pPr>
    </w:p>
    <w:p>
      <w:pPr>
        <w:jc w:val="both"/>
        <w:ind w:firstLine="815"/>
        <w:spacing w:after="0" w:line="27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8"/>
          <w:szCs w:val="18"/>
          <w:color w:val="auto"/>
        </w:rPr>
        <w:t>, Section 12.2 of the Agreement provides that FG shall have the worldwide exclusive right to manufacture Lead Compound, and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Astellas and its Affiliates and Sublicensees shall not directly or indirectly make, produce or manufacture any Lead Compound;</w:t>
      </w:r>
    </w:p>
    <w:p>
      <w:pPr>
        <w:spacing w:after="0" w:line="160" w:lineRule="exact"/>
        <w:rPr>
          <w:sz w:val="20"/>
          <w:szCs w:val="20"/>
          <w:color w:val="auto"/>
        </w:rPr>
      </w:pPr>
    </w:p>
    <w:p>
      <w:pPr>
        <w:jc w:val="both"/>
        <w:ind w:firstLine="815"/>
        <w:spacing w:after="0" w:line="260"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8"/>
          <w:szCs w:val="18"/>
          <w:color w:val="auto"/>
        </w:rPr>
        <w:t>, Section 12.3 of the Agreement provides that FG shall have the exclusive right and obligation to supply Lead Compound to Astellas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Sublicensees for all development and commercial purposes, and that Astellas and its Affiliates and Sublicensees shall purchase such Lead Compound exclusively from FG;</w:t>
      </w:r>
    </w:p>
    <w:p>
      <w:pPr>
        <w:spacing w:after="0" w:line="175" w:lineRule="exact"/>
        <w:rPr>
          <w:sz w:val="20"/>
          <w:szCs w:val="20"/>
          <w:color w:val="auto"/>
        </w:rPr>
      </w:pPr>
    </w:p>
    <w:p>
      <w:pPr>
        <w:jc w:val="both"/>
        <w:ind w:firstLine="815"/>
        <w:spacing w:after="0" w:line="306" w:lineRule="auto"/>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0"/>
          <w:szCs w:val="10"/>
          <w:b w:val="1"/>
          <w:bCs w:val="1"/>
          <w:color w:val="auto"/>
        </w:rPr>
        <w:t>HEREAS</w:t>
      </w:r>
      <w:r>
        <w:rPr>
          <w:rFonts w:ascii="Times New Roman" w:cs="Times New Roman" w:eastAsia="Times New Roman" w:hAnsi="Times New Roman"/>
          <w:sz w:val="17"/>
          <w:szCs w:val="17"/>
          <w:color w:val="auto"/>
        </w:rPr>
        <w:t>, Section 12.4 of the Agreement provides that, upon Marketing Approval for any Lead Compound, FG’s obligation to supply Astellas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Lead Compound shall be limited to, and all payment obligations shall be based on, the supply of Bulk Product, as set forth in Section 9.2 of the Agreement;</w:t>
      </w:r>
    </w:p>
    <w:p>
      <w:pPr>
        <w:spacing w:after="0" w:line="137" w:lineRule="exact"/>
        <w:rPr>
          <w:sz w:val="20"/>
          <w:szCs w:val="20"/>
          <w:color w:val="auto"/>
        </w:rPr>
      </w:pPr>
    </w:p>
    <w:p>
      <w:pPr>
        <w:jc w:val="both"/>
        <w:ind w:right="20" w:firstLine="815"/>
        <w:spacing w:after="0" w:line="27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8"/>
          <w:szCs w:val="18"/>
          <w:color w:val="auto"/>
        </w:rPr>
        <w:t>, Article 9 of the Agreement contains certain transfer pricing provisions to compensate FG for the manufacture and supply of Lead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Compound(s) to Astellas;</w:t>
      </w:r>
    </w:p>
    <w:p>
      <w:pPr>
        <w:spacing w:after="0" w:line="160" w:lineRule="exact"/>
        <w:rPr>
          <w:sz w:val="20"/>
          <w:szCs w:val="20"/>
          <w:color w:val="auto"/>
        </w:rPr>
      </w:pPr>
    </w:p>
    <w:p>
      <w:pPr>
        <w:jc w:val="both"/>
        <w:ind w:firstLine="815"/>
        <w:spacing w:after="0" w:line="260"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8"/>
          <w:szCs w:val="18"/>
          <w:color w:val="auto"/>
        </w:rPr>
        <w:t>, the Parties hereby agree that the amendments to the Agreement contained in this First Amendment are not intended to be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Amendment to that certain Anemia License and Collaboration Agreement, by and between FG and Astellas, dated April 28, 2006 as amended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815"/>
        <w:spacing w:after="0" w:line="253"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First Amendment, and notwithstanding anything to the contrary contained in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solely to the compound designated by FG as FG-4592 and a current Lead Compound, FG shall not supply to Astellas Lead Compound formulated as bulk drug product, but shall instead supply Astellas with the active pharmaceutical ingredient of FG-4592, also known as roxadustat (“</w:t>
      </w:r>
      <w:r>
        <w:rPr>
          <w:rFonts w:ascii="Times New Roman" w:cs="Times New Roman" w:eastAsia="Times New Roman" w:hAnsi="Times New Roman"/>
          <w:sz w:val="18"/>
          <w:szCs w:val="18"/>
          <w:b w:val="1"/>
          <w:bCs w:val="1"/>
          <w:color w:val="auto"/>
        </w:rPr>
        <w:t>FG-4592</w:t>
      </w:r>
      <w:r>
        <w:rPr>
          <w:rFonts w:ascii="Times New Roman" w:cs="Times New Roman" w:eastAsia="Times New Roman" w:hAnsi="Times New Roman"/>
          <w:sz w:val="18"/>
          <w:szCs w:val="18"/>
          <w:color w:val="auto"/>
        </w:rPr>
        <w:t>”) (and, for the avoidance of doubt, only FG-4592) in the form of drug substance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solely for use by Astellas to formulate, fill, and finish into bulk drug product containing FG-4592, in a formulation and pursuant to the manufacturing method and process approved by FG (“</w:t>
      </w:r>
      <w:r>
        <w:rPr>
          <w:rFonts w:ascii="Times New Roman" w:cs="Times New Roman" w:eastAsia="Times New Roman" w:hAnsi="Times New Roman"/>
          <w:sz w:val="18"/>
          <w:szCs w:val="18"/>
          <w:b w:val="1"/>
          <w:bCs w:val="1"/>
          <w:color w:val="auto"/>
        </w:rPr>
        <w:t>Astellas Bulk Product</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firstLine="815"/>
        <w:spacing w:after="0" w:line="260"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First Amendment, FG agrees that Astellas shall have the right to manufacture Astellas Bulk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for non-commercial and commercial purpose (each such term to be used in this First Amendment as set forth in Article 9 of the Agreement) in the Astellas Territory (Japan) using API exclusively supplied by FG.</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8"/>
          <w:szCs w:val="18"/>
          <w:color w:val="auto"/>
        </w:rPr>
        <w:t>, for good and valuable consideration, the receipt and sufficiency of which is hereby acknowledged, the Parties agree as follows:</w:t>
      </w:r>
    </w:p>
    <w:p>
      <w:pPr>
        <w:spacing w:after="0" w:line="219" w:lineRule="exact"/>
        <w:rPr>
          <w:sz w:val="20"/>
          <w:szCs w:val="20"/>
          <w:color w:val="auto"/>
        </w:rPr>
      </w:pPr>
    </w:p>
    <w:p>
      <w:pPr>
        <w:ind w:left="400" w:hanging="394"/>
        <w:spacing w:after="0"/>
        <w:tabs>
          <w:tab w:leader="none" w:pos="4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defined herein, all capitalized terms and phrases used in this First Amendment shall have the meaning ascribed to them in the Agreement.</w:t>
      </w:r>
    </w:p>
    <w:p>
      <w:pPr>
        <w:spacing w:after="0" w:line="228" w:lineRule="exact"/>
        <w:rPr>
          <w:rFonts w:ascii="Times New Roman" w:cs="Times New Roman" w:eastAsia="Times New Roman" w:hAnsi="Times New Roman"/>
          <w:sz w:val="17"/>
          <w:szCs w:val="17"/>
          <w:color w:val="auto"/>
        </w:rPr>
      </w:pPr>
    </w:p>
    <w:p>
      <w:pPr>
        <w:jc w:val="both"/>
        <w:ind w:left="400" w:hanging="394"/>
        <w:spacing w:after="0" w:line="252" w:lineRule="auto"/>
        <w:tabs>
          <w:tab w:leader="none" w:pos="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FG-4592 only, references to the Lead Compound in the Agreement shall be deemed references to API, including pursuant to Article 12 of the Agreement and in Section 17.3 and in the exception clause at the end of Section 17.2 of the Agreement, Sections 9.1 and 9.2 and additional articles and sections, as amended hereby, to the extent applicable to accomplish the Parties’ intent under this First Amendment. In addition, with respect to FG-4592, the term “</w:t>
      </w:r>
      <w:r>
        <w:rPr>
          <w:rFonts w:ascii="Times New Roman" w:cs="Times New Roman" w:eastAsia="Times New Roman" w:hAnsi="Times New Roman"/>
          <w:sz w:val="18"/>
          <w:szCs w:val="18"/>
          <w:b w:val="1"/>
          <w:bCs w:val="1"/>
          <w:color w:val="auto"/>
        </w:rPr>
        <w:t>Product Specifications</w:t>
      </w:r>
      <w:r>
        <w:rPr>
          <w:rFonts w:ascii="Times New Roman" w:cs="Times New Roman" w:eastAsia="Times New Roman" w:hAnsi="Times New Roman"/>
          <w:sz w:val="18"/>
          <w:szCs w:val="18"/>
          <w:color w:val="auto"/>
        </w:rPr>
        <w:t>”, as defined in Section 1.56 of the Agreement will apply to API only, provided, however, that FG and Astellas shall agree on any specifications to any Astellas Bulk Product produced by Astellas in any form or formulation.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48895</wp:posOffset>
            </wp:positionV>
            <wp:extent cx="7291705"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3">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80" w:name="page181"/>
    <w:bookmarkEnd w:id="180"/>
    <w:p>
      <w:pPr>
        <w:ind w:left="-6" w:firstLine="6"/>
        <w:spacing w:after="0" w:line="276" w:lineRule="auto"/>
        <w:tabs>
          <w:tab w:leader="none" w:pos="25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10234"/>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219" w:lineRule="exact"/>
        <w:rPr>
          <w:sz w:val="20"/>
          <w:szCs w:val="20"/>
          <w:color w:val="auto"/>
        </w:rPr>
      </w:pPr>
    </w:p>
    <w:p>
      <w:pPr>
        <w:ind w:left="394" w:hanging="394"/>
        <w:spacing w:after="0" w:line="273" w:lineRule="auto"/>
        <w:tabs>
          <w:tab w:leader="none" w:pos="39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Astellas shall have the right to manufacture Astellas Bulk Product in the Astellas Territory solely from API supplied by FG pursuant to Article 12 of the Agreement as follows:</w:t>
      </w:r>
    </w:p>
    <w:p>
      <w:pPr>
        <w:spacing w:after="0" w:line="59" w:lineRule="exact"/>
        <w:rPr>
          <w:sz w:val="20"/>
          <w:szCs w:val="20"/>
          <w:color w:val="auto"/>
        </w:rPr>
      </w:pPr>
    </w:p>
    <w:p>
      <w:pPr>
        <w:ind w:left="794" w:hanging="397"/>
        <w:spacing w:after="0" w:line="273" w:lineRule="auto"/>
        <w:tabs>
          <w:tab w:leader="none" w:pos="79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13.1 of the Agreement is amended to designate the existing paragraph subsection 13.1.1. and to add the following paragraph governing supply of FG-4592 as subsection 13.1.2:</w:t>
      </w:r>
    </w:p>
    <w:p>
      <w:pPr>
        <w:spacing w:after="0" w:line="59" w:lineRule="exact"/>
        <w:rPr>
          <w:sz w:val="20"/>
          <w:szCs w:val="20"/>
          <w:color w:val="auto"/>
        </w:rPr>
      </w:pPr>
    </w:p>
    <w:p>
      <w:pPr>
        <w:jc w:val="both"/>
        <w:ind w:left="1214" w:right="820" w:firstLine="335"/>
        <w:spacing w:after="0" w:line="255" w:lineRule="auto"/>
        <w:rPr>
          <w:sz w:val="20"/>
          <w:szCs w:val="20"/>
          <w:color w:val="auto"/>
        </w:rPr>
      </w:pPr>
      <w:r>
        <w:rPr>
          <w:rFonts w:ascii="Times New Roman" w:cs="Times New Roman" w:eastAsia="Times New Roman" w:hAnsi="Times New Roman"/>
          <w:sz w:val="18"/>
          <w:szCs w:val="18"/>
          <w:color w:val="auto"/>
        </w:rPr>
        <w:t>13.1.2 “With respect to FG-4592, and subject to the terms and conditions of this Agreement, FG hereby grants to Astellas an exclusive license under the FG Technology in the Astellas Territory to: (a) import API exclusively supplied by or on behalf of FG; and (b) manufacture and have manufactured Astellas Bulk Product from such API, solely for use pursuant to the license granted in Section 13.1.1.”</w:t>
      </w:r>
    </w:p>
    <w:p>
      <w:pPr>
        <w:spacing w:after="0" w:line="74" w:lineRule="exact"/>
        <w:rPr>
          <w:sz w:val="20"/>
          <w:szCs w:val="20"/>
          <w:color w:val="auto"/>
        </w:rPr>
      </w:pPr>
    </w:p>
    <w:p>
      <w:pPr>
        <w:ind w:left="794" w:hanging="397"/>
        <w:spacing w:after="0" w:line="273" w:lineRule="auto"/>
        <w:tabs>
          <w:tab w:leader="none" w:pos="79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Astellas shall manufacture Astellas Bulk Product (i) solely in the Astellas Territory for use and sale in the Astellas Territory in accordance with the terms of the Agreement and (ii) solely using API supplied by or on behalf of FG.</w:t>
      </w:r>
    </w:p>
    <w:p>
      <w:pPr>
        <w:spacing w:after="0" w:line="165" w:lineRule="exact"/>
        <w:rPr>
          <w:sz w:val="20"/>
          <w:szCs w:val="20"/>
          <w:color w:val="auto"/>
        </w:rPr>
      </w:pPr>
    </w:p>
    <w:p>
      <w:pPr>
        <w:jc w:val="both"/>
        <w:ind w:left="814"/>
        <w:spacing w:after="0" w:line="248" w:lineRule="auto"/>
        <w:rPr>
          <w:sz w:val="20"/>
          <w:szCs w:val="20"/>
          <w:color w:val="auto"/>
        </w:rPr>
      </w:pPr>
      <w:r>
        <w:rPr>
          <w:rFonts w:ascii="Times New Roman" w:cs="Times New Roman" w:eastAsia="Times New Roman" w:hAnsi="Times New Roman"/>
          <w:sz w:val="18"/>
          <w:szCs w:val="18"/>
          <w:color w:val="auto"/>
        </w:rPr>
        <w:t>The intent of this Amendment is that the Astellas will subcontract manufacturing of Astellas Bulk Product to its Affiliate Astellas Pharma Tech Co., Ltd. to manufacture at its facility in [*]. Astellas may subcontract its manufacture of Astellas Bulk Product to another Affiliate and/or a third party for non-commercial and commercial manufacturing pursuant to an agreement pre-approved in writing by FG (any such third party, excluding Astellas Pharma Tech Co., Ltd., a “</w:t>
      </w:r>
      <w:r>
        <w:rPr>
          <w:rFonts w:ascii="Times New Roman" w:cs="Times New Roman" w:eastAsia="Times New Roman" w:hAnsi="Times New Roman"/>
          <w:sz w:val="18"/>
          <w:szCs w:val="18"/>
          <w:b w:val="1"/>
          <w:bCs w:val="1"/>
          <w:color w:val="auto"/>
        </w:rPr>
        <w:t>Subcontractor</w:t>
      </w:r>
      <w:r>
        <w:rPr>
          <w:rFonts w:ascii="Times New Roman" w:cs="Times New Roman" w:eastAsia="Times New Roman" w:hAnsi="Times New Roman"/>
          <w:sz w:val="18"/>
          <w:szCs w:val="18"/>
          <w:color w:val="auto"/>
        </w:rPr>
        <w:t>”), provided, [*]. Astellas shall be responsible for and ensure: (i) the compliance of each Subcontractor with the terms of the Agreement, (ii) that each Subcontractor undertakes in writing to (a) obligations of confidentiality and non-use regarding Confidential Information consistent with the terms of Article 16 of the Agreement; (b) a quality agreement between Astellas and Subcontractor that conforms with terms of the applicable Drug Product Agreement; and (c) an agreement that restricts Subcontractor from [*] after the expiration or termination of the agreement, and (iii) each Subcontractor agrees in writing to assign all inventions and other intellectual property made related to any such work in connection with Astellas Bulk Product to Astellas (and Astellas will in turn assign to FG as provided in the Agreement). For the avoidance of doubt, FG shall have the right to visit, conduct technical review and audit any Subcontractor with respect to all aspects of the manufacturing process and methods, and FG shall have the opportunity to review any agreements related to the manufacture of the Astellas Bulk Product between such pre-approved Subcontractor and Astellas prior to execution (other than financial terms); provided, further, that the technical review and audit process shall be conducted in accordance with the procedure set forth in Section 10 of this First Amendment.</w:t>
      </w:r>
    </w:p>
    <w:p>
      <w:pPr>
        <w:spacing w:after="0" w:line="186" w:lineRule="exact"/>
        <w:rPr>
          <w:sz w:val="20"/>
          <w:szCs w:val="20"/>
          <w:color w:val="auto"/>
        </w:rPr>
      </w:pPr>
    </w:p>
    <w:p>
      <w:pPr>
        <w:jc w:val="both"/>
        <w:ind w:left="394" w:hanging="394"/>
        <w:spacing w:after="0" w:line="263" w:lineRule="auto"/>
        <w:tabs>
          <w:tab w:leader="none" w:pos="39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Astellas hereby expressly agrees that any API supplied by FG under the Agreement, as amended by this First Amendment shall be used only to manufacture Astellas Bulk Product, including any of the activities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under the heading “Permitted Activities” (“</w:t>
      </w:r>
      <w:r>
        <w:rPr>
          <w:rFonts w:ascii="Times New Roman" w:cs="Times New Roman" w:eastAsia="Times New Roman" w:hAnsi="Times New Roman"/>
          <w:sz w:val="17"/>
          <w:szCs w:val="17"/>
          <w:b w:val="1"/>
          <w:bCs w:val="1"/>
          <w:color w:val="auto"/>
        </w:rPr>
        <w:t>Permitted Activities</w:t>
      </w:r>
      <w:r>
        <w:rPr>
          <w:rFonts w:ascii="Times New Roman" w:cs="Times New Roman" w:eastAsia="Times New Roman" w:hAnsi="Times New Roman"/>
          <w:sz w:val="17"/>
          <w:szCs w:val="17"/>
          <w:color w:val="auto"/>
        </w:rPr>
        <w:t xml:space="preserve">”) and any administrative related activities thereof. For clarity, Astellas shall not take any other action with respect to, or make any other use of such API for any other purpose, including without limitation any of the activities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under the heading “Prohibited Activities” (“</w:t>
      </w:r>
      <w:r>
        <w:rPr>
          <w:rFonts w:ascii="Times New Roman" w:cs="Times New Roman" w:eastAsia="Times New Roman" w:hAnsi="Times New Roman"/>
          <w:sz w:val="17"/>
          <w:szCs w:val="17"/>
          <w:b w:val="1"/>
          <w:bCs w:val="1"/>
          <w:color w:val="auto"/>
        </w:rPr>
        <w:t>Prohibited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Activities</w:t>
      </w:r>
      <w:r>
        <w:rPr>
          <w:rFonts w:ascii="Times New Roman" w:cs="Times New Roman" w:eastAsia="Times New Roman" w:hAnsi="Times New Roman"/>
          <w:sz w:val="17"/>
          <w:szCs w:val="17"/>
          <w:color w:val="auto"/>
        </w:rPr>
        <w:t>”). FG from time to time has transferred to Astellas API and other materials and permitted Astellas to conduct manufacturing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activities in anticipation of the execution of this First Amendment. Astellas represents and warrants that it has at all times complied with the terms of Material Transfer Agreement Letter dated January 31, 2013, Material Transfer Agreement Letter dated March 8, 2013, Material Transfer Agreement dated June 10, 2014 and Material Transfer Agreement dated June 15, 2018 between FG and Astellas (collectively, “</w:t>
      </w:r>
      <w:r>
        <w:rPr>
          <w:rFonts w:ascii="Times New Roman" w:cs="Times New Roman" w:eastAsia="Times New Roman" w:hAnsi="Times New Roman"/>
          <w:sz w:val="17"/>
          <w:szCs w:val="17"/>
          <w:b w:val="1"/>
          <w:bCs w:val="1"/>
          <w:color w:val="auto"/>
        </w:rPr>
        <w:t>MTAs</w:t>
      </w:r>
      <w:r>
        <w:rPr>
          <w:rFonts w:ascii="Times New Roman" w:cs="Times New Roman" w:eastAsia="Times New Roman" w:hAnsi="Times New Roman"/>
          <w:sz w:val="17"/>
          <w:szCs w:val="17"/>
          <w:color w:val="auto"/>
        </w:rPr>
        <w:t>”) regarding the materials provided thereunder, including without limitation performing only the permitted and not conducting any prohibited activities set forth in the applicable MTAs. The Parties hereby agree that (i) any use of API except for Permitted Activities under this Amendment after November 30, 2018 or (ii) any use of the materials provided under the MTAs by Astellas other than the permitted purposes specified in the applicable MTAs shall constitute a breach under Section 18.2.1 of the Agreement, and if any such material breach is not cured pursuant to Section 18.2.1 of the Agreement, FG shall have the right to terminate the Agreement thereunder. If Astellas wishes to conduct any other activities with the API, it may do so only upon prior written approval by FG.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291705"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14"/>
          </w:cols>
          <w:pgMar w:left="246" w:top="331" w:right="239" w:bottom="1440" w:gutter="0" w:footer="0" w:header="0"/>
        </w:sectPr>
      </w:pPr>
    </w:p>
    <w:bookmarkStart w:id="181" w:name="page182"/>
    <w:bookmarkEnd w:id="181"/>
    <w:p>
      <w:pPr>
        <w:ind w:left="-6" w:firstLine="6"/>
        <w:spacing w:after="0" w:line="276" w:lineRule="auto"/>
        <w:tabs>
          <w:tab w:leader="none" w:pos="25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10114"/>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219" w:lineRule="exact"/>
        <w:rPr>
          <w:sz w:val="20"/>
          <w:szCs w:val="20"/>
          <w:color w:val="auto"/>
        </w:rPr>
      </w:pPr>
    </w:p>
    <w:p>
      <w:pPr>
        <w:jc w:val="both"/>
        <w:ind w:left="394" w:hanging="394"/>
        <w:spacing w:after="0" w:line="250" w:lineRule="auto"/>
        <w:tabs>
          <w:tab w:leader="none" w:pos="39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FG has provided all FG Technical Information necessary for Astellas or Subcontractor to manufacture Astellas Bulk Product from API according to the process approved by the Parties. In the event that Astellas wishes to conduct a technology transfer process to another Subcontractor, Astellas may do so provided that FG can, [*], review and approve in writing, the technology transfer protocol of Astellas and the Subcontractor prior to the commencement of technology transfer activity , and review the post-transfer report to confirm the transfer complied with the technology transfer protocol, and any deviations are reasonably acceptable to FG, provided that if any deviations are not reasonably acceptable, FG, Astellas and the applicable Subcontractor shall work together to agree on a resolution acceptable to all parties, provided further that FG shall use commercially reasonable efforts to prevent any delay on Astellas’s technology transfer activities.</w:t>
      </w:r>
    </w:p>
    <w:p>
      <w:pPr>
        <w:spacing w:after="0" w:line="183" w:lineRule="exact"/>
        <w:rPr>
          <w:rFonts w:ascii="Times New Roman" w:cs="Times New Roman" w:eastAsia="Times New Roman" w:hAnsi="Times New Roman"/>
          <w:sz w:val="18"/>
          <w:szCs w:val="18"/>
          <w:color w:val="auto"/>
        </w:rPr>
      </w:pPr>
    </w:p>
    <w:p>
      <w:pPr>
        <w:jc w:val="both"/>
        <w:ind w:left="394" w:hanging="394"/>
        <w:spacing w:after="0" w:line="255" w:lineRule="auto"/>
        <w:tabs>
          <w:tab w:leader="none" w:pos="39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confirm that they have executed a Quality Assurance Agreement (“</w:t>
      </w:r>
      <w:r>
        <w:rPr>
          <w:rFonts w:ascii="Times New Roman" w:cs="Times New Roman" w:eastAsia="Times New Roman" w:hAnsi="Times New Roman"/>
          <w:sz w:val="18"/>
          <w:szCs w:val="18"/>
          <w:b w:val="1"/>
          <w:bCs w:val="1"/>
          <w:color w:val="auto"/>
        </w:rPr>
        <w:t>QAA</w:t>
      </w:r>
      <w:r>
        <w:rPr>
          <w:rFonts w:ascii="Times New Roman" w:cs="Times New Roman" w:eastAsia="Times New Roman" w:hAnsi="Times New Roman"/>
          <w:sz w:val="18"/>
          <w:szCs w:val="18"/>
          <w:color w:val="auto"/>
        </w:rPr>
        <w:t>”) dated November 17th, 2014, including a Product Technical Agreement governed thereby (“</w:t>
      </w:r>
      <w:r>
        <w:rPr>
          <w:rFonts w:ascii="Times New Roman" w:cs="Times New Roman" w:eastAsia="Times New Roman" w:hAnsi="Times New Roman"/>
          <w:sz w:val="18"/>
          <w:szCs w:val="18"/>
          <w:b w:val="1"/>
          <w:bCs w:val="1"/>
          <w:color w:val="auto"/>
        </w:rPr>
        <w:t>PTA</w:t>
      </w:r>
      <w:r>
        <w:rPr>
          <w:rFonts w:ascii="Times New Roman" w:cs="Times New Roman" w:eastAsia="Times New Roman" w:hAnsi="Times New Roman"/>
          <w:sz w:val="18"/>
          <w:szCs w:val="18"/>
          <w:color w:val="auto"/>
        </w:rPr>
        <w:t>”) dated November 17th, 2014, to govern the responsibilities of both Parties with respect to manufacture, storage, transportation, export/import, testing, specifications and release of API for non-commercial purposes, as amended by this First Amendment (“</w:t>
      </w:r>
      <w:r>
        <w:rPr>
          <w:rFonts w:ascii="Times New Roman" w:cs="Times New Roman" w:eastAsia="Times New Roman" w:hAnsi="Times New Roman"/>
          <w:sz w:val="18"/>
          <w:szCs w:val="18"/>
          <w:b w:val="1"/>
          <w:bCs w:val="1"/>
          <w:color w:val="auto"/>
        </w:rPr>
        <w:t>API QAA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PTA</w:t>
      </w:r>
      <w:r>
        <w:rPr>
          <w:rFonts w:ascii="Times New Roman" w:cs="Times New Roman" w:eastAsia="Times New Roman" w:hAnsi="Times New Roman"/>
          <w:sz w:val="18"/>
          <w:szCs w:val="18"/>
          <w:color w:val="auto"/>
        </w:rPr>
        <w:t>”). The Parties confirm that they have executed an API QAA and PTA for commercial purposes.</w:t>
      </w:r>
    </w:p>
    <w:p>
      <w:pPr>
        <w:spacing w:after="0" w:line="181" w:lineRule="exact"/>
        <w:rPr>
          <w:rFonts w:ascii="Times New Roman" w:cs="Times New Roman" w:eastAsia="Times New Roman" w:hAnsi="Times New Roman"/>
          <w:sz w:val="18"/>
          <w:szCs w:val="18"/>
          <w:color w:val="auto"/>
        </w:rPr>
      </w:pPr>
    </w:p>
    <w:p>
      <w:pPr>
        <w:jc w:val="both"/>
        <w:ind w:left="394" w:hanging="394"/>
        <w:spacing w:after="0" w:line="248" w:lineRule="auto"/>
        <w:tabs>
          <w:tab w:leader="none" w:pos="39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FG shall approve, prior to the production of the Validation Batches, (i) the validation protocol, and (ii) any validation protocol amendments. In addition, Astellas shall send the validation report thereof to FG for review and comment prior to its finalization, as well as the final validation report after finalization. In addition to the foregoing, a separate agreement for Astellas Bulk Product (“</w:t>
      </w:r>
      <w:r>
        <w:rPr>
          <w:rFonts w:ascii="Times New Roman" w:cs="Times New Roman" w:eastAsia="Times New Roman" w:hAnsi="Times New Roman"/>
          <w:sz w:val="18"/>
          <w:szCs w:val="18"/>
          <w:b w:val="1"/>
          <w:bCs w:val="1"/>
          <w:color w:val="auto"/>
        </w:rPr>
        <w:t>Drug Product Agreement</w:t>
      </w:r>
      <w:r>
        <w:rPr>
          <w:rFonts w:ascii="Times New Roman" w:cs="Times New Roman" w:eastAsia="Times New Roman" w:hAnsi="Times New Roman"/>
          <w:sz w:val="18"/>
          <w:szCs w:val="18"/>
          <w:color w:val="auto"/>
        </w:rPr>
        <w:t>”) shall be negotiated and executed to govern manufacturing for commercial and non-commercial purposes. The Parties shall agree upon a Drug Product Agreement for commercial purposes as soon as reasonably practicable [*] and prior to earlier of (a) [*], and (b) [*]. The manufacturing methods and specifications, quality standards (i.e. compliance with Astellas SOPs and applicable laws and regulations), and applicable laws and regulations for Astellas Bulk Product for commercial purpose will be incorporated and described in the Drug Product Agreement at the same level of detail as the CTD Module 1 for the Marketing Approval Application in the Astellas Territory (Japan) plus any additional detail reasonably requested by FG. If Astellas proposes to make any change to the manufacturing methods, specifications, or quality provisions set forth in the Drug Product Agreement or that materially affect product quality, then Astellas shall notify FG of the proposed changes, and the Parties shall thereafter discuss and agree as to whether and what changes may be made pursuant to an amendment to the Drug Product Agreement, provided that the Parties shall take into consideration whether such change was requested by Japanese regulatory authorities.</w:t>
      </w:r>
    </w:p>
    <w:p>
      <w:pPr>
        <w:spacing w:after="0" w:line="188" w:lineRule="exact"/>
        <w:rPr>
          <w:rFonts w:ascii="Times New Roman" w:cs="Times New Roman" w:eastAsia="Times New Roman" w:hAnsi="Times New Roman"/>
          <w:sz w:val="18"/>
          <w:szCs w:val="18"/>
          <w:color w:val="auto"/>
        </w:rPr>
      </w:pPr>
    </w:p>
    <w:p>
      <w:pPr>
        <w:jc w:val="both"/>
        <w:ind w:left="394" w:hanging="394"/>
        <w:spacing w:after="0" w:line="251" w:lineRule="auto"/>
        <w:tabs>
          <w:tab w:leader="none" w:pos="39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Astellas shall, by itself or through its Subcontractor, maintain all master batch records, batch records (including executed batch records) and all supporting documentation, quality control documentation (including deviation reports), stability reports, annual reviews, regulatory submissions, acceptance test results and other relevant information for each batch of Astellas Bulk Product (collectively, “</w:t>
      </w:r>
      <w:r>
        <w:rPr>
          <w:rFonts w:ascii="Times New Roman" w:cs="Times New Roman" w:eastAsia="Times New Roman" w:hAnsi="Times New Roman"/>
          <w:sz w:val="18"/>
          <w:szCs w:val="18"/>
          <w:b w:val="1"/>
          <w:bCs w:val="1"/>
          <w:color w:val="auto"/>
        </w:rPr>
        <w:t>Processing Data</w:t>
      </w:r>
      <w:r>
        <w:rPr>
          <w:rFonts w:ascii="Times New Roman" w:cs="Times New Roman" w:eastAsia="Times New Roman" w:hAnsi="Times New Roman"/>
          <w:sz w:val="18"/>
          <w:szCs w:val="18"/>
          <w:color w:val="auto"/>
        </w:rPr>
        <w:t>”) for [*], or such longer time as required by the applicable laws and regulations. FG shall have the right to review such Processing Data upon reasonable request, including without limitation in preparation of any anticipated inspections (e.g., a pre-approval inspection), by visiting at FG’s option Astellas’ or its Subcontractor’s facility and/or requesting a copy of such Processing Data, each Party to bear its own cost and expense.</w:t>
      </w:r>
    </w:p>
    <w:p>
      <w:pPr>
        <w:spacing w:after="0" w:line="184" w:lineRule="exact"/>
        <w:rPr>
          <w:rFonts w:ascii="Times New Roman" w:cs="Times New Roman" w:eastAsia="Times New Roman" w:hAnsi="Times New Roman"/>
          <w:sz w:val="18"/>
          <w:szCs w:val="18"/>
          <w:color w:val="auto"/>
        </w:rPr>
      </w:pPr>
    </w:p>
    <w:p>
      <w:pPr>
        <w:ind w:left="394" w:hanging="394"/>
        <w:spacing w:after="0" w:line="273" w:lineRule="auto"/>
        <w:tabs>
          <w:tab w:leader="none" w:pos="39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Astellas shall be responsible for obtaining and maintaining all necessary plant inspection standards, plant licenses, permits and approvals to manufacture and package (including label) Astellas Bulk Product as required under applicable law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187960</wp:posOffset>
            </wp:positionV>
            <wp:extent cx="7291705"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5">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14"/>
          </w:cols>
          <w:pgMar w:left="246" w:top="331" w:right="239" w:bottom="1440" w:gutter="0" w:footer="0" w:header="0"/>
        </w:sectPr>
      </w:pPr>
    </w:p>
    <w:bookmarkStart w:id="182" w:name="page183"/>
    <w:bookmarkEnd w:id="182"/>
    <w:p>
      <w:pPr>
        <w:ind w:left="-6" w:firstLine="6"/>
        <w:spacing w:after="0" w:line="276" w:lineRule="auto"/>
        <w:tabs>
          <w:tab w:leader="none" w:pos="25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10114"/>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219" w:lineRule="exact"/>
        <w:rPr>
          <w:sz w:val="20"/>
          <w:szCs w:val="20"/>
          <w:color w:val="auto"/>
        </w:rPr>
      </w:pPr>
    </w:p>
    <w:p>
      <w:pPr>
        <w:jc w:val="both"/>
        <w:ind w:left="394" w:hanging="394"/>
        <w:spacing w:after="0" w:line="248" w:lineRule="auto"/>
        <w:tabs>
          <w:tab w:leader="none" w:pos="3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FG shall have the right, upon reasonable advance notice (which shall include the scope or purpose during regular business hours), to conduct technical visit and review of Astellas Bulk Product manufacturing facilities or other facilities utilized in the performance of related activities for Astellas Bulk Product (e.g. analytical testing, packaging, labeling, etc.) by Astellas (or its applicable Subcontractor) to ensure compliance with applicable laws, rules and regulations, including, without limitation, Japanese regulatory standards and quality and technical standards set forth in the Drug Product Agreement (the “</w:t>
      </w:r>
      <w:r>
        <w:rPr>
          <w:rFonts w:ascii="Times New Roman" w:cs="Times New Roman" w:eastAsia="Times New Roman" w:hAnsi="Times New Roman"/>
          <w:sz w:val="18"/>
          <w:szCs w:val="18"/>
          <w:b w:val="1"/>
          <w:bCs w:val="1"/>
          <w:color w:val="auto"/>
        </w:rPr>
        <w:t>Relevant Standards</w:t>
      </w:r>
      <w:r>
        <w:rPr>
          <w:rFonts w:ascii="Times New Roman" w:cs="Times New Roman" w:eastAsia="Times New Roman" w:hAnsi="Times New Roman"/>
          <w:sz w:val="18"/>
          <w:szCs w:val="18"/>
          <w:color w:val="auto"/>
        </w:rPr>
        <w:t>”). Such technical visit and review shall be conducted at FG’s cost and expense in a manner so as to minimize disruption of Astellas’ or its Subcontractor’s business operations. If FG finds any deficiencies arising in the review, FG shall send written notice detailing such deficiencies to Astellas, the Parties shall meet to discuss, and Astellas shall as soon as possible (but no later than [*] after receipt of such notice (or [*] for critical observations), submit a plan to FG outlining measures proposed to be taken to remedy such deficiencies, and the Parties shall discuss and agree upon any measures to be taken by Astellas, subject always to the requirements of the Japanese regulatory authorities and recognizing Astellas’ role and responsibilities as the marketing authorization holder in Japan.</w:t>
      </w:r>
    </w:p>
    <w:p>
      <w:pPr>
        <w:spacing w:after="0" w:line="192" w:lineRule="exact"/>
        <w:rPr>
          <w:rFonts w:ascii="Times New Roman" w:cs="Times New Roman" w:eastAsia="Times New Roman" w:hAnsi="Times New Roman"/>
          <w:sz w:val="18"/>
          <w:szCs w:val="18"/>
          <w:color w:val="auto"/>
        </w:rPr>
      </w:pPr>
    </w:p>
    <w:p>
      <w:pPr>
        <w:jc w:val="both"/>
        <w:ind w:left="394" w:hanging="394"/>
        <w:spacing w:after="0" w:line="251" w:lineRule="auto"/>
        <w:tabs>
          <w:tab w:leader="none" w:pos="3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Astellas shall be responsible for procuring all excipients required for the manufacture of Astellas Bulk Product from raw material suppliers qualified by Astellas, and FG will have the right to review a statement and other documents relied upon for qualification status (including audit reports, to the extent Astellas obtained approval from such raw material suppliers to disclose them to FG, which approval Astellas shall use commercially reasonable efforts to obtain, if requested by FG) of such raw material suppliers and a summary of Astellas’ audit program. All such excipients must comply with all applicable specifications, standard operating procedures, all applicable laws and regulations, and any Marketing Approvals in the Astellas Territory for the Astellas Bulk Product.</w:t>
      </w:r>
    </w:p>
    <w:p>
      <w:pPr>
        <w:spacing w:after="0" w:line="184" w:lineRule="exact"/>
        <w:rPr>
          <w:rFonts w:ascii="Times New Roman" w:cs="Times New Roman" w:eastAsia="Times New Roman" w:hAnsi="Times New Roman"/>
          <w:sz w:val="18"/>
          <w:szCs w:val="18"/>
          <w:color w:val="auto"/>
        </w:rPr>
      </w:pPr>
    </w:p>
    <w:p>
      <w:pPr>
        <w:jc w:val="both"/>
        <w:ind w:left="394" w:hanging="394"/>
        <w:spacing w:after="0" w:line="259" w:lineRule="auto"/>
        <w:tabs>
          <w:tab w:leader="none" w:pos="3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this Amendment, Astellas will provide a rolling [*] forecast of its anticipated API Batch (as defined below) requirements on a [*] basis, as well as the corresponding Astellas Bulk Product tablet manufacturing plan for such API Batches. Astellas will provide to FG written updates to such forecast by the [*] thereafter.</w:t>
      </w:r>
    </w:p>
    <w:p>
      <w:pPr>
        <w:spacing w:after="0" w:line="175" w:lineRule="exact"/>
        <w:rPr>
          <w:rFonts w:ascii="Times New Roman" w:cs="Times New Roman" w:eastAsia="Times New Roman" w:hAnsi="Times New Roman"/>
          <w:sz w:val="18"/>
          <w:szCs w:val="18"/>
          <w:color w:val="auto"/>
        </w:rPr>
      </w:pPr>
    </w:p>
    <w:p>
      <w:pPr>
        <w:ind w:left="394" w:hanging="394"/>
        <w:spacing w:after="0" w:line="276" w:lineRule="auto"/>
        <w:tabs>
          <w:tab w:leader="none" w:pos="3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Astellas acknowledges that FG will manufacture and supply API to Astellas [*], that each API batch equals to approximately [*] (“</w:t>
      </w:r>
      <w:r>
        <w:rPr>
          <w:rFonts w:ascii="Times New Roman" w:cs="Times New Roman" w:eastAsia="Times New Roman" w:hAnsi="Times New Roman"/>
          <w:sz w:val="18"/>
          <w:szCs w:val="18"/>
          <w:b w:val="1"/>
          <w:bCs w:val="1"/>
          <w:color w:val="auto"/>
        </w:rPr>
        <w:t>API Batch(es)</w:t>
      </w:r>
      <w:r>
        <w:rPr>
          <w:rFonts w:ascii="Times New Roman" w:cs="Times New Roman" w:eastAsia="Times New Roman" w:hAnsi="Times New Roman"/>
          <w:sz w:val="18"/>
          <w:szCs w:val="18"/>
          <w:color w:val="auto"/>
        </w:rPr>
        <w:t>”), and any API Firm Purchase Order (as defined below) shall be for [*].</w:t>
      </w:r>
    </w:p>
    <w:p>
      <w:pPr>
        <w:spacing w:after="0" w:line="161" w:lineRule="exact"/>
        <w:rPr>
          <w:rFonts w:ascii="Times New Roman" w:cs="Times New Roman" w:eastAsia="Times New Roman" w:hAnsi="Times New Roman"/>
          <w:sz w:val="18"/>
          <w:szCs w:val="18"/>
          <w:color w:val="auto"/>
        </w:rPr>
      </w:pPr>
    </w:p>
    <w:p>
      <w:pPr>
        <w:jc w:val="both"/>
        <w:ind w:left="394" w:hanging="394"/>
        <w:spacing w:after="0" w:line="274" w:lineRule="auto"/>
        <w:tabs>
          <w:tab w:leader="none" w:pos="39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API that Astellas wishes to purchase, Astellas will provide FG with a binding purchase order specifying (a) the [*], (b) the requested date of Delivery, and (c) all other relevant information as agreed by FG and Astellas, as early as possible and in no event less than [*] prior to requested Delivery date (“</w:t>
      </w:r>
      <w:r>
        <w:rPr>
          <w:rFonts w:ascii="Times New Roman" w:cs="Times New Roman" w:eastAsia="Times New Roman" w:hAnsi="Times New Roman"/>
          <w:sz w:val="17"/>
          <w:szCs w:val="17"/>
          <w:b w:val="1"/>
          <w:bCs w:val="1"/>
          <w:color w:val="auto"/>
        </w:rPr>
        <w:t>API Firm Purchase Order</w:t>
      </w:r>
      <w:r>
        <w:rPr>
          <w:rFonts w:ascii="Times New Roman" w:cs="Times New Roman" w:eastAsia="Times New Roman" w:hAnsi="Times New Roman"/>
          <w:sz w:val="17"/>
          <w:szCs w:val="17"/>
          <w:color w:val="auto"/>
        </w:rPr>
        <w:t>”). FG will manufacture and deliver API Batches as requested in an API Firm Purchase Order(s). All forecasts and API Firm Purchase Orders will be prepared in good faith in order to facilitate FG's manufacture and shipment of API in compliance with the Agreement.</w:t>
      </w:r>
    </w:p>
    <w:p>
      <w:pPr>
        <w:spacing w:after="0" w:line="166" w:lineRule="exact"/>
        <w:rPr>
          <w:rFonts w:ascii="Times New Roman" w:cs="Times New Roman" w:eastAsia="Times New Roman" w:hAnsi="Times New Roman"/>
          <w:sz w:val="17"/>
          <w:szCs w:val="17"/>
          <w:color w:val="auto"/>
        </w:rPr>
      </w:pPr>
    </w:p>
    <w:p>
      <w:pPr>
        <w:jc w:val="both"/>
        <w:ind w:left="394" w:hanging="394"/>
        <w:spacing w:after="0" w:line="255" w:lineRule="auto"/>
        <w:tabs>
          <w:tab w:leader="none" w:pos="3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always to the requirements under Sections 13 and 14, Astellas shall submit API Firm Purchase Orders to FG from time to time, and FG shall supply the quantity of API Batches requested in each API Firm Purchase Order that complies with this Agreement and Section 14 of this Amendment, provided that (i) if Astellas has submitted a forecast for the time periods listed below in (a) – (c) it shall provide API Firm Purchase Orders that fall within the ranges set forth therein, and (ii) the [*] ordered in a calendar quarter is within all of the following ranges:</w:t>
      </w:r>
    </w:p>
    <w:p>
      <w:pPr>
        <w:spacing w:after="0" w:line="73" w:lineRule="exact"/>
        <w:rPr>
          <w:rFonts w:ascii="Times New Roman" w:cs="Times New Roman" w:eastAsia="Times New Roman" w:hAnsi="Times New Roman"/>
          <w:sz w:val="18"/>
          <w:szCs w:val="18"/>
          <w:color w:val="auto"/>
        </w:rPr>
      </w:pPr>
    </w:p>
    <w:p>
      <w:pPr>
        <w:ind w:left="794" w:hanging="397"/>
        <w:spacing w:after="0"/>
        <w:tabs>
          <w:tab w:leader="none" w:pos="79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 of the amount forecast for such API for the calendar quarter [*] from the calendar quarter of the Delivery date;</w:t>
      </w:r>
    </w:p>
    <w:p>
      <w:pPr>
        <w:spacing w:after="0" w:line="110" w:lineRule="exact"/>
        <w:rPr>
          <w:rFonts w:ascii="Times New Roman" w:cs="Times New Roman" w:eastAsia="Times New Roman" w:hAnsi="Times New Roman"/>
          <w:sz w:val="18"/>
          <w:szCs w:val="18"/>
          <w:color w:val="auto"/>
        </w:rPr>
      </w:pPr>
    </w:p>
    <w:p>
      <w:pPr>
        <w:ind w:left="794" w:hanging="397"/>
        <w:spacing w:after="0"/>
        <w:tabs>
          <w:tab w:leader="none" w:pos="79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 of the amount forecast for such API for the calendar quarter [*] from the calendar quarter of the Delivery date;</w:t>
      </w:r>
    </w:p>
    <w:p>
      <w:pPr>
        <w:spacing w:after="0" w:line="110" w:lineRule="exact"/>
        <w:rPr>
          <w:rFonts w:ascii="Times New Roman" w:cs="Times New Roman" w:eastAsia="Times New Roman" w:hAnsi="Times New Roman"/>
          <w:sz w:val="18"/>
          <w:szCs w:val="18"/>
          <w:color w:val="auto"/>
        </w:rPr>
      </w:pPr>
    </w:p>
    <w:p>
      <w:pPr>
        <w:ind w:left="794" w:hanging="397"/>
        <w:spacing w:after="0" w:line="273" w:lineRule="auto"/>
        <w:tabs>
          <w:tab w:leader="none" w:pos="79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 of the amount forecast for such Bulk Product for the calendar quarter [*] from the calendar quarter of the Delivery date; provided however, that</w:t>
      </w:r>
    </w:p>
    <w:p>
      <w:pPr>
        <w:spacing w:after="0" w:line="58" w:lineRule="exact"/>
        <w:rPr>
          <w:rFonts w:ascii="Times New Roman" w:cs="Times New Roman" w:eastAsia="Times New Roman" w:hAnsi="Times New Roman"/>
          <w:sz w:val="18"/>
          <w:szCs w:val="18"/>
          <w:color w:val="auto"/>
        </w:rPr>
      </w:pPr>
    </w:p>
    <w:p>
      <w:pPr>
        <w:jc w:val="both"/>
        <w:ind w:left="794" w:hanging="397"/>
        <w:spacing w:after="0" w:line="259" w:lineRule="auto"/>
        <w:tabs>
          <w:tab w:leader="none" w:pos="79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due to the limitations in Section 13 and in (a) – (c) above, the number of batches forecasted for any calendar year by Astellas is insufficient to allow for the ordering of [*] in any calendar quarter, notwithstanding such limitations, Astellas shall be entitled to order and purchase pursuant to an API Firm Purchase Order [*] in such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195580</wp:posOffset>
            </wp:positionV>
            <wp:extent cx="7291705"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6">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14"/>
          </w:cols>
          <w:pgMar w:left="246" w:top="331" w:right="239" w:bottom="1440" w:gutter="0" w:footer="0" w:header="0"/>
        </w:sectPr>
      </w:pPr>
    </w:p>
    <w:bookmarkStart w:id="183" w:name="page184"/>
    <w:bookmarkEnd w:id="183"/>
    <w:p>
      <w:pPr>
        <w:ind w:firstLine="6"/>
        <w:spacing w:after="0" w:line="276" w:lineRule="auto"/>
        <w:tabs>
          <w:tab w:leader="none" w:pos="261"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219"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8"/>
          <w:szCs w:val="18"/>
          <w:color w:val="auto"/>
        </w:rPr>
        <w:t>Within [*] after its receipt of an API Firm Purchase Order complying with the requirements of this section 15, FG shall acknowledge its receipt of such order and shall confirm the requested Delivery Date of the Bulk Product. For API requested in any Purchase Order exceeding the quantity or Delivery Date parameters set forth above, FG agrees that it shall use reasonable efforts to fill as much of such excess order as FG can reasonably manufacture and supply in a timely manner. FG shall include in its response to Astellas such excess amount and Delivery Date which FG is able to supply.</w:t>
      </w:r>
    </w:p>
    <w:p>
      <w:pPr>
        <w:spacing w:after="0" w:line="180" w:lineRule="exact"/>
        <w:rPr>
          <w:sz w:val="20"/>
          <w:szCs w:val="20"/>
          <w:color w:val="auto"/>
        </w:rPr>
      </w:pPr>
    </w:p>
    <w:p>
      <w:pPr>
        <w:jc w:val="both"/>
        <w:ind w:left="420"/>
        <w:spacing w:after="0" w:line="252" w:lineRule="auto"/>
        <w:rPr>
          <w:sz w:val="20"/>
          <w:szCs w:val="20"/>
          <w:color w:val="auto"/>
        </w:rPr>
      </w:pPr>
      <w:r>
        <w:rPr>
          <w:rFonts w:ascii="Times New Roman" w:cs="Times New Roman" w:eastAsia="Times New Roman" w:hAnsi="Times New Roman"/>
          <w:sz w:val="18"/>
          <w:szCs w:val="18"/>
          <w:color w:val="auto"/>
        </w:rPr>
        <w:t>Astellas and FG shall enter into a commercial supply agreement by [*]. Such commercial supply agreement shall govern the detailed conditions of supply of API by FG to Astellas, including the full forecasting and permitted variation provisions, binding order commitments, etc. contained herein, as well as other standard commercial supply agreement provisions which shall be consistent with the terms and conditions herein and in the Agreement in all aspects, and contain other reasonable and customary provisions, including without limitation provisions for security of the product (defined as procedures to reasonably protect against diversion, counterfeit, etc.), full accounting and reconciliation of API and Astellas Bulk Product.</w:t>
      </w:r>
    </w:p>
    <w:p>
      <w:pPr>
        <w:spacing w:after="0" w:line="185" w:lineRule="exact"/>
        <w:rPr>
          <w:sz w:val="20"/>
          <w:szCs w:val="20"/>
          <w:color w:val="auto"/>
        </w:rPr>
      </w:pPr>
    </w:p>
    <w:p>
      <w:pPr>
        <w:jc w:val="both"/>
        <w:ind w:left="400" w:hanging="394"/>
        <w:spacing w:after="0" w:line="249" w:lineRule="auto"/>
        <w:tabs>
          <w:tab w:leader="none" w:pos="4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API supplied by FG to Astellas for a non-commercial purpose, Astellas shall compensate FG pursuant to the provisions of Section 9.1 of the Agreement. For API supplied by FG to Astellas for commercial purposes, including Astellas Bulk Product manufactured in the validation process (“</w:t>
      </w:r>
      <w:r>
        <w:rPr>
          <w:rFonts w:ascii="Times New Roman" w:cs="Times New Roman" w:eastAsia="Times New Roman" w:hAnsi="Times New Roman"/>
          <w:sz w:val="18"/>
          <w:szCs w:val="18"/>
          <w:b w:val="1"/>
          <w:bCs w:val="1"/>
          <w:color w:val="auto"/>
        </w:rPr>
        <w:t>Validation Batch</w:t>
      </w:r>
      <w:r>
        <w:rPr>
          <w:rFonts w:ascii="Times New Roman" w:cs="Times New Roman" w:eastAsia="Times New Roman" w:hAnsi="Times New Roman"/>
          <w:sz w:val="18"/>
          <w:szCs w:val="18"/>
          <w:color w:val="auto"/>
        </w:rPr>
        <w:t>”), Astellas shall pay FG on a per batch basis an amount calculated pursuant to the provisions of Section 9.2 of the Agreement (the “</w:t>
      </w:r>
      <w:r>
        <w:rPr>
          <w:rFonts w:ascii="Times New Roman" w:cs="Times New Roman" w:eastAsia="Times New Roman" w:hAnsi="Times New Roman"/>
          <w:sz w:val="18"/>
          <w:szCs w:val="18"/>
          <w:b w:val="1"/>
          <w:bCs w:val="1"/>
          <w:color w:val="auto"/>
        </w:rPr>
        <w:t>API Batch Transfer Price</w:t>
      </w:r>
      <w:r>
        <w:rPr>
          <w:rFonts w:ascii="Times New Roman" w:cs="Times New Roman" w:eastAsia="Times New Roman" w:hAnsi="Times New Roman"/>
          <w:sz w:val="18"/>
          <w:szCs w:val="18"/>
          <w:color w:val="auto"/>
        </w:rPr>
        <w:t>”), as defined below. In 2018, FG shall deliver to Astellas [*] batches of API (the “</w:t>
      </w:r>
      <w:r>
        <w:rPr>
          <w:rFonts w:ascii="Times New Roman" w:cs="Times New Roman" w:eastAsia="Times New Roman" w:hAnsi="Times New Roman"/>
          <w:sz w:val="18"/>
          <w:szCs w:val="18"/>
          <w:b w:val="1"/>
          <w:bCs w:val="1"/>
          <w:color w:val="auto"/>
        </w:rPr>
        <w:t>2018 API Batches</w:t>
      </w:r>
      <w:r>
        <w:rPr>
          <w:rFonts w:ascii="Times New Roman" w:cs="Times New Roman" w:eastAsia="Times New Roman" w:hAnsi="Times New Roman"/>
          <w:sz w:val="18"/>
          <w:szCs w:val="18"/>
          <w:color w:val="auto"/>
        </w:rPr>
        <w:t>”), a portion [*] of which has been delivered to Astellas in advance of the execution of this First Amendment and the remaining portion [*] for which Astellas shall deliver to FG a purchase order within [*]. Astellas shall pay to FG for the 2018 API Batches the API Batch Transfer Price agreed by the Parties under the letter from FG to Astellas dated June 15, 2018 (“</w:t>
      </w:r>
      <w:r>
        <w:rPr>
          <w:rFonts w:ascii="Times New Roman" w:cs="Times New Roman" w:eastAsia="Times New Roman" w:hAnsi="Times New Roman"/>
          <w:sz w:val="18"/>
          <w:szCs w:val="18"/>
          <w:b w:val="1"/>
          <w:bCs w:val="1"/>
          <w:color w:val="auto"/>
        </w:rPr>
        <w:t>2018 API Batch Transfer Price</w:t>
      </w:r>
      <w:r>
        <w:rPr>
          <w:rFonts w:ascii="Times New Roman" w:cs="Times New Roman" w:eastAsia="Times New Roman" w:hAnsi="Times New Roman"/>
          <w:sz w:val="18"/>
          <w:szCs w:val="18"/>
          <w:color w:val="auto"/>
        </w:rPr>
        <w:t>”) subject to the adjustment set forth in Section 17 below. Astellas shall pay for the API supplied by FG for the Validation Batches within [*] of the date of invoice.</w:t>
      </w:r>
    </w:p>
    <w:p>
      <w:pPr>
        <w:spacing w:after="0" w:line="18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API Batch Transfer Price”</w:t>
      </w:r>
      <w:r>
        <w:rPr>
          <w:rFonts w:ascii="Times New Roman" w:cs="Times New Roman" w:eastAsia="Times New Roman" w:hAnsi="Times New Roman"/>
          <w:sz w:val="18"/>
          <w:szCs w:val="18"/>
          <w:color w:val="auto"/>
        </w:rPr>
        <w:t xml:space="preserve"> shall be calculated based on (a) the [*] calculated based on (i) the [*] to be manufactured by Astellas for the upcoming Astellas fiscal year derived from the manufacturing plan presented in the then-current Astellas supply forecast, and (ii) the [*] and (b) the [*] less (c) the Bulk Product Manufacturing Cost.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Astellas Yield</w:t>
      </w:r>
      <w:r>
        <w:rPr>
          <w:rFonts w:ascii="Times New Roman" w:cs="Times New Roman" w:eastAsia="Times New Roman" w:hAnsi="Times New Roman"/>
          <w:sz w:val="18"/>
          <w:szCs w:val="18"/>
          <w:color w:val="auto"/>
        </w:rPr>
        <w:t>” shall be defined as the [*] from the manufacture by Astellas (or its subcontractor) of [*] for the prior calendar year on a [*] basis.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FG Yield</w:t>
      </w:r>
      <w:r>
        <w:rPr>
          <w:rFonts w:ascii="Times New Roman" w:cs="Times New Roman" w:eastAsia="Times New Roman" w:hAnsi="Times New Roman"/>
          <w:sz w:val="17"/>
          <w:szCs w:val="17"/>
          <w:color w:val="auto"/>
        </w:rPr>
        <w:t>” shall be defined as the average yield per strength from the manufacture by FG (or its subcontractor) of [*] for the prior calendar year on a [*] basis.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Bulk Product Manufacturing Cost</w:t>
      </w:r>
      <w:r>
        <w:rPr>
          <w:rFonts w:ascii="Times New Roman" w:cs="Times New Roman" w:eastAsia="Times New Roman" w:hAnsi="Times New Roman"/>
          <w:sz w:val="18"/>
          <w:szCs w:val="18"/>
          <w:color w:val="auto"/>
        </w:rPr>
        <w:t>” shall mean an amount equal to [*].</w:t>
      </w:r>
    </w:p>
    <w:p>
      <w:pPr>
        <w:spacing w:after="0" w:line="219" w:lineRule="exact"/>
        <w:rPr>
          <w:sz w:val="20"/>
          <w:szCs w:val="20"/>
          <w:color w:val="auto"/>
        </w:rPr>
      </w:pPr>
    </w:p>
    <w:p>
      <w:pPr>
        <w:ind w:left="400" w:hanging="394"/>
        <w:spacing w:after="0"/>
        <w:tabs>
          <w:tab w:leader="none" w:pos="4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 Batch Transfer Price shall be updated by FG annually based on the updated inputs provided under the following process:</w:t>
      </w:r>
    </w:p>
    <w:p>
      <w:pPr>
        <w:spacing w:after="0" w:line="110"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end of February of each calendar year, FG shall provide to Astellas:</w:t>
      </w:r>
    </w:p>
    <w:p>
      <w:pPr>
        <w:spacing w:after="0" w:line="110" w:lineRule="exact"/>
        <w:rPr>
          <w:rFonts w:ascii="Times New Roman" w:cs="Times New Roman" w:eastAsia="Times New Roman" w:hAnsi="Times New Roman"/>
          <w:sz w:val="18"/>
          <w:szCs w:val="18"/>
          <w:color w:val="auto"/>
        </w:rPr>
      </w:pPr>
    </w:p>
    <w:p>
      <w:pPr>
        <w:ind w:left="1220" w:hanging="406"/>
        <w:spacing w:after="0"/>
        <w:tabs>
          <w:tab w:leader="none" w:pos="122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 the prior calendar year, with the basis of calculation, and</w:t>
      </w:r>
    </w:p>
    <w:p>
      <w:pPr>
        <w:spacing w:after="0" w:line="110" w:lineRule="exact"/>
        <w:rPr>
          <w:rFonts w:ascii="Times New Roman" w:cs="Times New Roman" w:eastAsia="Times New Roman" w:hAnsi="Times New Roman"/>
          <w:sz w:val="18"/>
          <w:szCs w:val="18"/>
          <w:color w:val="auto"/>
        </w:rPr>
      </w:pPr>
    </w:p>
    <w:p>
      <w:pPr>
        <w:ind w:left="1220" w:hanging="406"/>
        <w:spacing w:after="0" w:line="273" w:lineRule="auto"/>
        <w:tabs>
          <w:tab w:leader="none" w:pos="122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 the upcoming Astellas fiscal year, with the basis of calculation, including the [*] to be manufactured by Astellas for the upcoming Astellas fiscal year based on the manufacturing plan presented in the then-current Astellas supply forecast.</w:t>
      </w:r>
    </w:p>
    <w:p>
      <w:pPr>
        <w:spacing w:after="0" w:line="58" w:lineRule="exact"/>
        <w:rPr>
          <w:rFonts w:ascii="Times New Roman" w:cs="Times New Roman" w:eastAsia="Times New Roman" w:hAnsi="Times New Roman"/>
          <w:sz w:val="18"/>
          <w:szCs w:val="18"/>
          <w:color w:val="auto"/>
        </w:rPr>
      </w:pPr>
    </w:p>
    <w:p>
      <w:pPr>
        <w:jc w:val="both"/>
        <w:ind w:left="800" w:hanging="397"/>
        <w:spacing w:after="0" w:line="259" w:lineRule="auto"/>
        <w:tabs>
          <w:tab w:leader="none" w:pos="8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 after updated Listed Price is announced in the notice through official gazette of Japan (“Kanpo”), Astellas shall provide to FG an updated Listed Price issued by the Japanese Ministry of Health, Labour and Welfare on a per strength basis for the upcoming year. If the Listed Price is not updated, Astellas shall notify FG by March 15 of such calendar year.</w:t>
      </w:r>
    </w:p>
    <w:p>
      <w:pPr>
        <w:spacing w:after="0" w:line="71" w:lineRule="exact"/>
        <w:rPr>
          <w:rFonts w:ascii="Times New Roman" w:cs="Times New Roman" w:eastAsia="Times New Roman" w:hAnsi="Times New Roman"/>
          <w:sz w:val="18"/>
          <w:szCs w:val="18"/>
          <w:color w:val="auto"/>
        </w:rPr>
      </w:pPr>
    </w:p>
    <w:p>
      <w:pPr>
        <w:ind w:left="800" w:right="480" w:hanging="397"/>
        <w:spacing w:after="0" w:line="273" w:lineRule="auto"/>
        <w:tabs>
          <w:tab w:leader="none" w:pos="8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 after the receipt of the notice pursuant to (b) above, FG shall provide to Astellas the updated API Batch Transfer Price for API Batches to be delivered during the following Astellas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36195</wp:posOffset>
            </wp:positionV>
            <wp:extent cx="7291705"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7">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84" w:name="page185"/>
    <w:bookmarkEnd w:id="184"/>
    <w:p>
      <w:pPr>
        <w:ind w:left="-6" w:firstLine="6"/>
        <w:spacing w:after="0" w:line="276" w:lineRule="auto"/>
        <w:tabs>
          <w:tab w:leader="none" w:pos="255"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10114"/>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113" w:lineRule="exact"/>
        <w:rPr>
          <w:sz w:val="20"/>
          <w:szCs w:val="20"/>
          <w:color w:val="auto"/>
        </w:rPr>
      </w:pPr>
    </w:p>
    <w:p>
      <w:pPr>
        <w:ind w:left="794" w:right="60" w:hanging="397"/>
        <w:spacing w:after="0" w:line="273" w:lineRule="auto"/>
        <w:tabs>
          <w:tab w:leader="none" w:pos="79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 of the receipt of the updated API Batch Transfer Price from FG in each calendar year, but in no event no later than March 31 of such calendar year, Astellas shall review and approve the updated API Batch Transfer Price.</w:t>
      </w:r>
    </w:p>
    <w:p>
      <w:pPr>
        <w:spacing w:after="0" w:line="58" w:lineRule="exact"/>
        <w:rPr>
          <w:rFonts w:ascii="Times New Roman" w:cs="Times New Roman" w:eastAsia="Times New Roman" w:hAnsi="Times New Roman"/>
          <w:sz w:val="18"/>
          <w:szCs w:val="18"/>
          <w:color w:val="auto"/>
        </w:rPr>
      </w:pPr>
    </w:p>
    <w:p>
      <w:pPr>
        <w:jc w:val="both"/>
        <w:ind w:left="794" w:right="140" w:hanging="397"/>
        <w:spacing w:after="0" w:line="259" w:lineRule="auto"/>
        <w:tabs>
          <w:tab w:leader="none" w:pos="79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updated API Batch Transfer Price takes effect as of the date upon which Astellas has amended the price of Astellas Bulk Product to wholesalers reflecting the updated Listed Price (the “</w:t>
      </w:r>
      <w:r>
        <w:rPr>
          <w:rFonts w:ascii="Times New Roman" w:cs="Times New Roman" w:eastAsia="Times New Roman" w:hAnsi="Times New Roman"/>
          <w:sz w:val="18"/>
          <w:szCs w:val="18"/>
          <w:b w:val="1"/>
          <w:bCs w:val="1"/>
          <w:color w:val="auto"/>
        </w:rPr>
        <w:t>Invoice Price Effective Date</w:t>
      </w:r>
      <w:r>
        <w:rPr>
          <w:rFonts w:ascii="Times New Roman" w:cs="Times New Roman" w:eastAsia="Times New Roman" w:hAnsi="Times New Roman"/>
          <w:sz w:val="18"/>
          <w:szCs w:val="18"/>
          <w:color w:val="auto"/>
        </w:rPr>
        <w:t>”) but in any event no later than March 15 of any calendar year. Astellas shall inform FG of the Invoice Price Effective Date within [*] from the date of announcement on the updated Listed Price.</w:t>
      </w:r>
    </w:p>
    <w:p>
      <w:pPr>
        <w:spacing w:after="0" w:line="177" w:lineRule="exact"/>
        <w:rPr>
          <w:sz w:val="20"/>
          <w:szCs w:val="20"/>
          <w:color w:val="auto"/>
        </w:rPr>
      </w:pPr>
    </w:p>
    <w:p>
      <w:pPr>
        <w:ind w:left="474" w:right="20"/>
        <w:spacing w:after="0" w:line="268" w:lineRule="auto"/>
        <w:rPr>
          <w:sz w:val="20"/>
          <w:szCs w:val="20"/>
          <w:color w:val="auto"/>
        </w:rPr>
      </w:pPr>
      <w:r>
        <w:rPr>
          <w:rFonts w:ascii="Times New Roman" w:cs="Times New Roman" w:eastAsia="Times New Roman" w:hAnsi="Times New Roman"/>
          <w:sz w:val="17"/>
          <w:szCs w:val="17"/>
          <w:color w:val="auto"/>
        </w:rPr>
        <w:t>For the transfer of 2018 API Batches, upon FG and Astellas shall determine an updated API Batch Transfer Price following the procedures set forth in this Section, provided that the timeline therefor shall be discussed and agreed separately, but in all cases it shall be determined within [*] of the date on which the initial issuance of the Listed Price by the Japanese Ministry of Health, Labour and Welfare. Following the agreement of the updated API Batch Transfer Price for the 2018 API Batches based on the actual Listed Price (the “</w:t>
      </w:r>
      <w:r>
        <w:rPr>
          <w:rFonts w:ascii="Times New Roman" w:cs="Times New Roman" w:eastAsia="Times New Roman" w:hAnsi="Times New Roman"/>
          <w:sz w:val="17"/>
          <w:szCs w:val="17"/>
          <w:b w:val="1"/>
          <w:bCs w:val="1"/>
          <w:color w:val="auto"/>
        </w:rPr>
        <w:t>2018 Updated Price</w:t>
      </w:r>
      <w:r>
        <w:rPr>
          <w:rFonts w:ascii="Times New Roman" w:cs="Times New Roman" w:eastAsia="Times New Roman" w:hAnsi="Times New Roman"/>
          <w:sz w:val="17"/>
          <w:szCs w:val="17"/>
          <w:color w:val="auto"/>
        </w:rPr>
        <w:t>”), FG shall issue to Astellas an invoice or Astellas shall issue to FG an invoice, as the case may be, and the party receiving such invoice shall pay for the true-up which shall be defined as (i) difference of the 2018 API Batch Transfer Price and the 2018 Updated Price, (ii) multiplied by the volume of 2018 API Batch, within [*] of the date of invoice.</w:t>
      </w:r>
    </w:p>
    <w:p>
      <w:pPr>
        <w:spacing w:after="0" w:line="174" w:lineRule="exact"/>
        <w:rPr>
          <w:sz w:val="20"/>
          <w:szCs w:val="20"/>
          <w:color w:val="auto"/>
        </w:rPr>
      </w:pPr>
    </w:p>
    <w:p>
      <w:pPr>
        <w:jc w:val="both"/>
        <w:ind w:left="394" w:hanging="394"/>
        <w:spacing w:after="0" w:line="267" w:lineRule="auto"/>
        <w:tabs>
          <w:tab w:leader="none" w:pos="39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Commencing the first year after the issuance of the initial Listed Price, within [*] from the Invoice Price Effective Date in each calendar year, Astellas shall provide to FG the “</w:t>
      </w:r>
      <w:r>
        <w:rPr>
          <w:rFonts w:ascii="Times New Roman" w:cs="Times New Roman" w:eastAsia="Times New Roman" w:hAnsi="Times New Roman"/>
          <w:sz w:val="17"/>
          <w:szCs w:val="17"/>
          <w:b w:val="1"/>
          <w:bCs w:val="1"/>
          <w:color w:val="auto"/>
        </w:rPr>
        <w:t>API Year End Inventory</w:t>
      </w:r>
      <w:r>
        <w:rPr>
          <w:rFonts w:ascii="Times New Roman" w:cs="Times New Roman" w:eastAsia="Times New Roman" w:hAnsi="Times New Roman"/>
          <w:sz w:val="17"/>
          <w:szCs w:val="17"/>
          <w:color w:val="auto"/>
        </w:rPr>
        <w:t>”, defined as (i) the [*] and (ii) [*] (as defined below) with the basis of calculation. Regarding the API Year End Inventory True-Up which shall be implemented at the [*], Astellas shall provide to FG the API Year End Inventory as of the end of the last business day of the month preceding the month during which the Listed Price is issued, and such API Year End Inventory True-Up shall be provided to FG within [*] of the date on which the API Batch Transfer Price corresponding to initial Listed Price is determined. FG shall review and approve the API Year End Inventory True Up within [*] of receipt thereof. Astellas shall pay to FG, or FG shall pay for the API Year End Inventory True Up within [*] of the date of invoice, which invoice FG shall deliver to Astellas, or Astellas shall deliver to FG, upon FG’s approval of API Year End Inventory True Up.</w:t>
      </w:r>
    </w:p>
    <w:p>
      <w:pPr>
        <w:spacing w:after="0" w:line="173" w:lineRule="exact"/>
        <w:rPr>
          <w:sz w:val="20"/>
          <w:szCs w:val="20"/>
          <w:color w:val="auto"/>
        </w:rPr>
      </w:pPr>
    </w:p>
    <w:p>
      <w:pPr>
        <w:ind w:left="474"/>
        <w:spacing w:after="0"/>
        <w:rPr>
          <w:sz w:val="20"/>
          <w:szCs w:val="20"/>
          <w:color w:val="auto"/>
        </w:rPr>
      </w:pPr>
      <w:r>
        <w:rPr>
          <w:rFonts w:ascii="Times New Roman" w:cs="Times New Roman" w:eastAsia="Times New Roman" w:hAnsi="Times New Roman"/>
          <w:sz w:val="18"/>
          <w:szCs w:val="18"/>
          <w:color w:val="auto"/>
        </w:rPr>
        <w:t>The API Year End Inventory True Up shall be defined as:</w:t>
      </w:r>
    </w:p>
    <w:p>
      <w:pPr>
        <w:spacing w:after="0" w:line="111" w:lineRule="exact"/>
        <w:rPr>
          <w:sz w:val="20"/>
          <w:szCs w:val="20"/>
          <w:color w:val="auto"/>
        </w:rPr>
      </w:pPr>
    </w:p>
    <w:p>
      <w:pPr>
        <w:ind w:left="1214" w:hanging="406"/>
        <w:spacing w:after="0"/>
        <w:tabs>
          <w:tab w:leader="none" w:pos="1214"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w:t>
      </w:r>
    </w:p>
    <w:p>
      <w:pPr>
        <w:spacing w:after="0" w:line="110" w:lineRule="exact"/>
        <w:rPr>
          <w:rFonts w:ascii="Times New Roman" w:cs="Times New Roman" w:eastAsia="Times New Roman" w:hAnsi="Times New Roman"/>
          <w:sz w:val="18"/>
          <w:szCs w:val="18"/>
          <w:color w:val="auto"/>
        </w:rPr>
      </w:pPr>
    </w:p>
    <w:p>
      <w:pPr>
        <w:ind w:left="1614" w:hanging="396"/>
        <w:spacing w:after="0"/>
        <w:tabs>
          <w:tab w:leader="none" w:pos="1614" w:val="left"/>
        </w:tabs>
        <w:numPr>
          <w:ilvl w:val="3"/>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110" w:lineRule="exact"/>
        <w:rPr>
          <w:rFonts w:ascii="Times New Roman" w:cs="Times New Roman" w:eastAsia="Times New Roman" w:hAnsi="Times New Roman"/>
          <w:sz w:val="18"/>
          <w:szCs w:val="18"/>
          <w:color w:val="auto"/>
        </w:rPr>
      </w:pPr>
    </w:p>
    <w:p>
      <w:pPr>
        <w:ind w:left="1614" w:hanging="396"/>
        <w:spacing w:after="0"/>
        <w:tabs>
          <w:tab w:leader="none" w:pos="1614" w:val="left"/>
        </w:tabs>
        <w:numPr>
          <w:ilvl w:val="3"/>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ind w:left="1214" w:hanging="406"/>
        <w:spacing w:after="0"/>
        <w:tabs>
          <w:tab w:leader="none" w:pos="1214"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multiplied by [*]</w:t>
      </w:r>
    </w:p>
    <w:p>
      <w:pPr>
        <w:spacing w:after="0" w:line="216" w:lineRule="exact"/>
        <w:rPr>
          <w:rFonts w:ascii="Times New Roman" w:cs="Times New Roman" w:eastAsia="Times New Roman" w:hAnsi="Times New Roman"/>
          <w:sz w:val="18"/>
          <w:szCs w:val="18"/>
          <w:color w:val="auto"/>
        </w:rPr>
      </w:pPr>
    </w:p>
    <w:p>
      <w:pPr>
        <w:ind w:left="394" w:hanging="394"/>
        <w:spacing w:after="0"/>
        <w:tabs>
          <w:tab w:leader="none" w:pos="39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true up the API Batch Transfer Price annually, according to the following process:</w:t>
      </w:r>
    </w:p>
    <w:p>
      <w:pPr>
        <w:spacing w:after="0" w:line="110" w:lineRule="exact"/>
        <w:rPr>
          <w:rFonts w:ascii="Times New Roman" w:cs="Times New Roman" w:eastAsia="Times New Roman" w:hAnsi="Times New Roman"/>
          <w:sz w:val="18"/>
          <w:szCs w:val="18"/>
          <w:color w:val="auto"/>
        </w:rPr>
      </w:pPr>
    </w:p>
    <w:p>
      <w:pPr>
        <w:jc w:val="both"/>
        <w:ind w:left="794" w:hanging="397"/>
        <w:spacing w:after="0" w:line="259" w:lineRule="auto"/>
        <w:tabs>
          <w:tab w:leader="none" w:pos="79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from the date of the Invoice Price Effective Date in each calendar year, Astellas shall notify FG (i) the actual weighted average of the tablet strengths (by percentage) which was manufactured by Astellas for the current Astellas fiscal year; and (ii) amount of API actually used by Astellas for the manufacture of the Astellas Bulk Product for the current Astellas fiscal year (the “</w:t>
      </w:r>
      <w:r>
        <w:rPr>
          <w:rFonts w:ascii="Times New Roman" w:cs="Times New Roman" w:eastAsia="Times New Roman" w:hAnsi="Times New Roman"/>
          <w:sz w:val="18"/>
          <w:szCs w:val="18"/>
          <w:b w:val="1"/>
          <w:bCs w:val="1"/>
          <w:color w:val="auto"/>
        </w:rPr>
        <w:t>Actually Used API</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ind w:left="794" w:hanging="397"/>
        <w:spacing w:after="0" w:line="276" w:lineRule="auto"/>
        <w:tabs>
          <w:tab w:leader="none" w:pos="79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thereafter, FG shall provide to Astellas the amount of true-up of the API Batch Transfer Price for the Actually Used API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 True Up</w:t>
      </w:r>
      <w:r>
        <w:rPr>
          <w:rFonts w:ascii="Times New Roman" w:cs="Times New Roman" w:eastAsia="Times New Roman" w:hAnsi="Times New Roman"/>
          <w:sz w:val="18"/>
          <w:szCs w:val="18"/>
          <w:color w:val="auto"/>
        </w:rPr>
        <w:t>”), with the basis of calculation.</w:t>
      </w:r>
    </w:p>
    <w:p>
      <w:pPr>
        <w:spacing w:after="0" w:line="162" w:lineRule="exact"/>
        <w:rPr>
          <w:sz w:val="20"/>
          <w:szCs w:val="20"/>
          <w:color w:val="auto"/>
        </w:rPr>
      </w:pPr>
    </w:p>
    <w:p>
      <w:pPr>
        <w:ind w:left="814"/>
        <w:spacing w:after="0"/>
        <w:rPr>
          <w:sz w:val="20"/>
          <w:szCs w:val="20"/>
          <w:color w:val="auto"/>
        </w:rPr>
      </w:pPr>
      <w:r>
        <w:rPr>
          <w:rFonts w:ascii="Times New Roman" w:cs="Times New Roman" w:eastAsia="Times New Roman" w:hAnsi="Times New Roman"/>
          <w:sz w:val="18"/>
          <w:szCs w:val="18"/>
          <w:color w:val="auto"/>
        </w:rPr>
        <w:t>The Transfer Price True Up shall be defined as the difference of i and ii below:</w:t>
      </w:r>
    </w:p>
    <w:p>
      <w:pPr>
        <w:spacing w:after="0" w:line="111" w:lineRule="exact"/>
        <w:rPr>
          <w:sz w:val="20"/>
          <w:szCs w:val="20"/>
          <w:color w:val="auto"/>
        </w:rPr>
      </w:pPr>
    </w:p>
    <w:p>
      <w:pPr>
        <w:ind w:left="1214" w:hanging="406"/>
        <w:spacing w:after="0"/>
        <w:tabs>
          <w:tab w:leader="none" w:pos="121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ind w:left="1214" w:hanging="406"/>
        <w:spacing w:after="0"/>
        <w:tabs>
          <w:tab w:leader="none" w:pos="121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ind w:left="794" w:hanging="397"/>
        <w:spacing w:after="0" w:line="273" w:lineRule="auto"/>
        <w:tabs>
          <w:tab w:leader="none" w:pos="79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thereafter, but no later than April 15 of such calendar year, Astellas shall review and approve the calculations provided for the Transfer Price True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187960</wp:posOffset>
            </wp:positionV>
            <wp:extent cx="7291705"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8">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14"/>
          </w:cols>
          <w:pgMar w:left="246" w:top="331" w:right="239" w:bottom="1440" w:gutter="0" w:footer="0" w:header="0"/>
        </w:sectPr>
      </w:pPr>
    </w:p>
    <w:bookmarkStart w:id="185" w:name="page186"/>
    <w:bookmarkEnd w:id="185"/>
    <w:p>
      <w:pPr>
        <w:ind w:left="-6" w:firstLine="6"/>
        <w:spacing w:after="0" w:line="276" w:lineRule="auto"/>
        <w:tabs>
          <w:tab w:leader="none" w:pos="254"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10114"/>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219" w:lineRule="exact"/>
        <w:rPr>
          <w:sz w:val="20"/>
          <w:szCs w:val="20"/>
          <w:color w:val="auto"/>
        </w:rPr>
      </w:pPr>
    </w:p>
    <w:p>
      <w:pPr>
        <w:ind w:left="794" w:hanging="397"/>
        <w:spacing w:after="0" w:line="273" w:lineRule="auto"/>
        <w:tabs>
          <w:tab w:leader="none" w:pos="79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thereafter, FG shall issue to Astellas an invoice or Astellas shall issue to FG an invoice, as the case may be, and the party receiving such invoice shall pay for the Transfer Price True Up within [*] of the date of invoice.</w:t>
      </w:r>
    </w:p>
    <w:p>
      <w:pPr>
        <w:spacing w:after="0" w:line="58" w:lineRule="exact"/>
        <w:rPr>
          <w:rFonts w:ascii="Times New Roman" w:cs="Times New Roman" w:eastAsia="Times New Roman" w:hAnsi="Times New Roman"/>
          <w:sz w:val="18"/>
          <w:szCs w:val="18"/>
          <w:color w:val="auto"/>
        </w:rPr>
      </w:pPr>
    </w:p>
    <w:p>
      <w:pPr>
        <w:ind w:left="794" w:hanging="397"/>
        <w:spacing w:after="0" w:line="273" w:lineRule="auto"/>
        <w:tabs>
          <w:tab w:leader="none" w:pos="79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Transfer Price True Up which shall be applicable to 2018 API Batches, FG and Astellas shall implement the true-up following the procedures set forth in this Section, immediately after [*].</w:t>
      </w:r>
    </w:p>
    <w:p>
      <w:pPr>
        <w:spacing w:after="0" w:line="164" w:lineRule="exact"/>
        <w:rPr>
          <w:rFonts w:ascii="Times New Roman" w:cs="Times New Roman" w:eastAsia="Times New Roman" w:hAnsi="Times New Roman"/>
          <w:sz w:val="18"/>
          <w:szCs w:val="18"/>
          <w:color w:val="auto"/>
        </w:rPr>
      </w:pPr>
    </w:p>
    <w:p>
      <w:pPr>
        <w:ind w:left="394" w:hanging="394"/>
        <w:spacing w:after="0" w:line="273" w:lineRule="auto"/>
        <w:tabs>
          <w:tab w:leader="none" w:pos="39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Astellas will be solely responsible for all costs related to the loss, non-conformity or destruction of API Batch(es) purchased under API Firm Purchase Order and any materials produced therefrom following Delivery of API pursuant to Section 12.7 of the Agreement.</w:t>
      </w:r>
    </w:p>
    <w:p>
      <w:pPr>
        <w:spacing w:after="0" w:line="164" w:lineRule="exact"/>
        <w:rPr>
          <w:rFonts w:ascii="Times New Roman" w:cs="Times New Roman" w:eastAsia="Times New Roman" w:hAnsi="Times New Roman"/>
          <w:sz w:val="18"/>
          <w:szCs w:val="18"/>
          <w:color w:val="auto"/>
        </w:rPr>
      </w:pPr>
    </w:p>
    <w:p>
      <w:pPr>
        <w:jc w:val="both"/>
        <w:ind w:left="394" w:hanging="394"/>
        <w:spacing w:after="0" w:line="274" w:lineRule="auto"/>
        <w:tabs>
          <w:tab w:leader="none" w:pos="39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Astellas shall bear all costs relating to and associated with any Permitted Activities, including without limitation transporting, importing, receiving and testing API and manufacturing, testing and releasing Astellas Bulk Product, as well as any related support provided by FG upon written request by Astellas, whether by its employees, consultants or contractors, to the extent related to the Permitted Activities. If FG is to provide support to Astellas, FG shall provide the estimated costs to Astellas beforehand, and Astellas shall pay the actual costs incurred within [*] of receipt of invoice from FG therefor.</w:t>
      </w:r>
    </w:p>
    <w:p>
      <w:pPr>
        <w:spacing w:after="0" w:line="166" w:lineRule="exact"/>
        <w:rPr>
          <w:rFonts w:ascii="Times New Roman" w:cs="Times New Roman" w:eastAsia="Times New Roman" w:hAnsi="Times New Roman"/>
          <w:sz w:val="17"/>
          <w:szCs w:val="17"/>
          <w:color w:val="auto"/>
        </w:rPr>
      </w:pPr>
    </w:p>
    <w:p>
      <w:pPr>
        <w:jc w:val="both"/>
        <w:ind w:left="394" w:hanging="394"/>
        <w:spacing w:after="0" w:line="251" w:lineRule="auto"/>
        <w:tabs>
          <w:tab w:leader="none" w:pos="39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FG is and shall be the exclusive owner of all inventions and other intellectual property made related to the Protected Field, which includes for the avoidance of doubt, any process manufacturing or other activities undertaken by Astellas or its Subcontractor under this First Amendment or otherwise relating to the manufacture of FG-4592, subject to certain Astellas’ rights, pursuant to the provisions of Sections 14.1 and 14.2 of the Agreement. Neither Astellas nor its Subcontractor shall use any proprietary drug delivery system technology in connection with FG-4592 or Astellas Bulk Product without FG’s prior written consent. Astellas shall grant, and hereby grants, a worldwide, fully paid non-exclusive license to FG pursuant to the provisions of Section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200025</wp:posOffset>
            </wp:positionV>
            <wp:extent cx="7291705"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9">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14"/>
          </w:cols>
          <w:pgMar w:left="246" w:top="331" w:right="239" w:bottom="1440" w:gutter="0" w:footer="0" w:header="0"/>
        </w:sectPr>
      </w:pPr>
    </w:p>
    <w:bookmarkStart w:id="186" w:name="page187"/>
    <w:bookmarkEnd w:id="186"/>
    <w:p>
      <w:pPr>
        <w:ind w:left="-6" w:firstLine="6"/>
        <w:spacing w:after="0" w:line="276" w:lineRule="auto"/>
        <w:tabs>
          <w:tab w:leader="none" w:pos="254"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994"/>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217" w:lineRule="exact"/>
        <w:rPr>
          <w:sz w:val="20"/>
          <w:szCs w:val="20"/>
          <w:color w:val="auto"/>
        </w:rPr>
      </w:pPr>
    </w:p>
    <w:p>
      <w:pPr>
        <w:jc w:val="both"/>
        <w:ind w:left="394" w:hanging="394"/>
        <w:spacing w:after="0" w:line="250" w:lineRule="auto"/>
        <w:tabs>
          <w:tab w:leader="none" w:pos="3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JDC shall appoint a Joint Manufacturing Subcommittee (the “</w:t>
      </w:r>
      <w:r>
        <w:rPr>
          <w:rFonts w:ascii="Times New Roman" w:cs="Times New Roman" w:eastAsia="Times New Roman" w:hAnsi="Times New Roman"/>
          <w:sz w:val="18"/>
          <w:szCs w:val="18"/>
          <w:b w:val="1"/>
          <w:bCs w:val="1"/>
          <w:color w:val="auto"/>
        </w:rPr>
        <w:t>JMS</w:t>
      </w:r>
      <w:r>
        <w:rPr>
          <w:rFonts w:ascii="Times New Roman" w:cs="Times New Roman" w:eastAsia="Times New Roman" w:hAnsi="Times New Roman"/>
          <w:sz w:val="18"/>
          <w:szCs w:val="18"/>
          <w:color w:val="auto"/>
        </w:rPr>
        <w:t>”) to oversee the manufacture of the product and to provide for discussion forum for any supply related issues, which committee shall meet on a quarterly basis, telephonically or in person, unless otherwise agreed by the Parties, and as needed to address urgent issues related to manufacturing and supply. Each Party shall initially appoint three (3) representatives to serve on the JMS. Each representative appointed to the JMS shall have sufficient seniority within the applicable Party or its Affiliate to make decisions arising within the scope of the JMS responsibilities which scope shall be mutually discussed and agreed by the Parties. Either party may propose agenda items, which shall be discussed by the Parties at the JMS meetings. The representatives from each Party will have, collectively, one (1) vote on behalf of that Party, and all decision making shall be by consensus. Disputes at the JMS shall be handled under Section 19 of the Agreement, with initial referral to the Authorized Designees, rather than the JDC, unless otherwise agreed by the Parties.</w:t>
      </w:r>
    </w:p>
    <w:p>
      <w:pPr>
        <w:spacing w:after="0" w:line="184" w:lineRule="exact"/>
        <w:rPr>
          <w:rFonts w:ascii="Times New Roman" w:cs="Times New Roman" w:eastAsia="Times New Roman" w:hAnsi="Times New Roman"/>
          <w:sz w:val="18"/>
          <w:szCs w:val="18"/>
          <w:color w:val="auto"/>
        </w:rPr>
      </w:pPr>
    </w:p>
    <w:p>
      <w:pPr>
        <w:jc w:val="both"/>
        <w:ind w:left="394" w:hanging="394"/>
        <w:spacing w:after="0" w:line="246" w:lineRule="auto"/>
        <w:tabs>
          <w:tab w:leader="none" w:pos="3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for any reason, and so as to avoid any interruption of supply, including for reasons of patient safety, and subject to the requirements of this Section 22, Astellas shall continue to manufacture Astellas Bulk Product sufficient to meet FG’s requirements in the Astellas Territory until earlier of (i) [*]. In connection therewith, Astellas and FG shall mutually agree on manufacturing forecast for Astellas Bulk Product, based on FG’s reasonable projections and timelines requirements as agreed by the Parties. Astellas shall notify FG in writing within [*] of the issuance by Astellas of a notice of termination to FG or receipt by Astellas of a notice of termination from FG, of its then-current inventory at Astellas and the inventory expected to be held at Astellas at the effective date of such termination. Any inventory of Astellas Bulk Product in Astellas’ possession (including that of any Subcontractor, including any third party labeling or packaging Astellas Bulk Product), at the effective date of termination and requested by FG, shall be transferred to FG for its use, including for commercial sale, within the reasonable timeline as agreed by the Parties, provided that both Parties [*] to prevent any material disruption in the market. For such Astellas Bulk Product, and any finished (packaged) product resulting therefrom, FG shall pay to Astellas [*]. FG may sell, at its own responsibility, any Astellas Bulk Product in Astellas packaging, provided that FG shall put additional labeling on Astellas Bulk Product as required under applicable laws and regulations at its cost. In furtherance thereof, and commencing upon the receipt of a valid notice of such termination (unless such termination is capable of being cured and the breaching party is actively attempting to cure), Astellas shall provide all technical and manufacturing information and documents sufficient and necessary to enable cGMP bulk product manufacturing by FG, including without limitation, a technology transfer from Astellas to FG and/or its Affiliates or subcontractor(s) of Astellas technical information, including but not limited to methods, specifications, processes, and other information or parameters as FG and Astellas deem reasonable to continue and complete the manufacture of Astellas Bulk Product and archival or storage of any finished product resulting therefrom; and Astellas shall conduct all such transfer to FG or its Affiliate or Subcontractor in accordance with the timeline agreed by the Parties. FG will use reasonable efforts to minimize the burden on Astellas to create additional documentation needed to ensure continued supply of product and efficient response to regulatory requirements, etc., provided that FG shall bear Astellas’s reasonable cost necessary to create additional documentation. The period of transitional manufacture and archival and storage of any finished product resulting therefrom shall not exceed [*] following the effective date of the termination. In the event that Astellas utilizes a Subcontractor(s) for manufacture of Astellas Bulk Product (including any vendor involved in packaging or labeling), upon FG’s request, Astellas shall use commercially reasonable effort to cooperate to enable FG to (i) enter into a new commercial manufacturing and supply agreement with any requested Subcontractor; or (ii) assign existing agreement(s) between Astellas and such Subcontractor(s) to FG; in either case except for the financial terms to be negotiated between FG and such Subcontractor(s).</w:t>
      </w:r>
    </w:p>
    <w:p>
      <w:pPr>
        <w:spacing w:after="0" w:line="205" w:lineRule="exact"/>
        <w:rPr>
          <w:rFonts w:ascii="Times New Roman" w:cs="Times New Roman" w:eastAsia="Times New Roman" w:hAnsi="Times New Roman"/>
          <w:sz w:val="18"/>
          <w:szCs w:val="18"/>
          <w:color w:val="auto"/>
        </w:rPr>
      </w:pPr>
    </w:p>
    <w:p>
      <w:pPr>
        <w:jc w:val="both"/>
        <w:ind w:left="394" w:hanging="394"/>
        <w:spacing w:after="0" w:line="252" w:lineRule="auto"/>
        <w:tabs>
          <w:tab w:leader="none" w:pos="3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reports required to be delivered to FG under Section 10.1 of the Agreement, in order that FG may comply with its financial reporting obligations, Astellas shall, within [*] after the end of each calendar quarter, provide FG with a manufacturing and inventory report for all API and Astellas Bulk Product (including, for the avoidance of doubt, finished and/or labeled and packaged product, and product designated as samples, if any) in the possession of Astellas or its Subcontractor at the end of each such calendar quarter, including the status, disposition, and expected use thereof, in the detail and form reasonably satisfactory to FG and as outlined on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200660</wp:posOffset>
            </wp:positionV>
            <wp:extent cx="7291705"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80">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14"/>
          </w:cols>
          <w:pgMar w:left="246" w:top="331" w:right="239" w:bottom="1440" w:gutter="0" w:footer="0" w:header="0"/>
        </w:sectPr>
      </w:pPr>
    </w:p>
    <w:bookmarkStart w:id="187" w:name="page188"/>
    <w:bookmarkEnd w:id="187"/>
    <w:p>
      <w:pPr>
        <w:ind w:firstLine="6"/>
        <w:spacing w:after="0" w:line="276" w:lineRule="auto"/>
        <w:tabs>
          <w:tab w:leader="none" w:pos="25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21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Section 20.6 (Notices) is hereby amended to reflect the Parties’ current notice information, as follows:</w:t>
      </w:r>
    </w:p>
    <w:p>
      <w:pPr>
        <w:sectPr>
          <w:pgSz w:w="11900" w:h="16838" w:orient="portrait"/>
          <w:cols w:equalWidth="0" w:num="1">
            <w:col w:w="11420"/>
          </w:cols>
          <w:pgMar w:left="240" w:top="331" w:right="239" w:bottom="1440" w:gutter="0" w:footer="0" w:header="0"/>
        </w:sectPr>
      </w:pP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Astellas: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Astellas Pharma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Vice President, Legal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320" w:space="720"/>
            <w:col w:w="9380"/>
          </w:cols>
          <w:pgMar w:left="240" w:top="331" w:right="2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with copy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Astellas Pharma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Vice President, Business Development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320" w:space="720"/>
            <w:col w:w="9380"/>
          </w:cols>
          <w:pgMar w:left="240" w:top="331" w:right="2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FG: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FibroGen,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 Illinois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 94158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197" w:lineRule="exact"/>
        <w:rPr>
          <w:sz w:val="20"/>
          <w:szCs w:val="20"/>
          <w:color w:val="auto"/>
        </w:rPr>
      </w:pPr>
    </w:p>
    <w:p>
      <w:pPr>
        <w:sectPr>
          <w:pgSz w:w="11900" w:h="16838" w:orient="portrait"/>
          <w:cols w:equalWidth="0" w:num="2">
            <w:col w:w="1320" w:space="720"/>
            <w:col w:w="9380"/>
          </w:cols>
          <w:pgMar w:left="240" w:top="331" w:right="2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FibroGen,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Chief Legal Counsel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 Illinois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 94158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197" w:lineRule="exact"/>
        <w:rPr>
          <w:sz w:val="20"/>
          <w:szCs w:val="20"/>
          <w:color w:val="auto"/>
        </w:rPr>
      </w:pPr>
    </w:p>
    <w:p>
      <w:pPr>
        <w:sectPr>
          <w:pgSz w:w="11900" w:h="16838" w:orient="portrait"/>
          <w:cols w:equalWidth="0" w:num="2">
            <w:col w:w="1440" w:space="600"/>
            <w:col w:w="9380"/>
          </w:cols>
          <w:pgMar w:left="240" w:top="331" w:right="239" w:bottom="1440" w:gutter="0" w:footer="0" w:header="0"/>
          <w:type w:val="continuous"/>
        </w:sectPr>
      </w:pPr>
    </w:p>
    <w:p>
      <w:pPr>
        <w:ind w:left="400" w:hanging="394"/>
        <w:spacing w:after="0" w:line="273" w:lineRule="auto"/>
        <w:tabs>
          <w:tab w:leader="none" w:pos="4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as amended hereby, contains the entire understanding of the Parties with respect to the subject matter hereof. The Parties acknowledge that the amendments to the Agreement contained in this First Amendment are and shall be of no force or effect with respect to the EU Agreement.</w:t>
      </w:r>
    </w:p>
    <w:p>
      <w:pPr>
        <w:spacing w:after="0" w:line="58" w:lineRule="exact"/>
        <w:rPr>
          <w:rFonts w:ascii="Times New Roman" w:cs="Times New Roman" w:eastAsia="Times New Roman" w:hAnsi="Times New Roman"/>
          <w:sz w:val="18"/>
          <w:szCs w:val="18"/>
          <w:color w:val="auto"/>
        </w:rPr>
      </w:pPr>
    </w:p>
    <w:p>
      <w:pPr>
        <w:jc w:val="both"/>
        <w:ind w:left="400" w:hanging="394"/>
        <w:spacing w:after="0" w:line="259" w:lineRule="auto"/>
        <w:tabs>
          <w:tab w:leader="none" w:pos="4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Agreement has not been modified or amended and remains in full force and effect. All express or implied agreements and understandings, either oral or written, heretofore made that conflict with respect to the subject matter herein are expressly superseded in this First Amendment.</w:t>
      </w:r>
    </w:p>
    <w:p>
      <w:pPr>
        <w:spacing w:after="0" w:line="71" w:lineRule="exact"/>
        <w:rPr>
          <w:rFonts w:ascii="Times New Roman" w:cs="Times New Roman" w:eastAsia="Times New Roman" w:hAnsi="Times New Roman"/>
          <w:sz w:val="18"/>
          <w:szCs w:val="18"/>
          <w:color w:val="auto"/>
        </w:rPr>
      </w:pPr>
    </w:p>
    <w:p>
      <w:pPr>
        <w:jc w:val="both"/>
        <w:ind w:left="400" w:hanging="394"/>
        <w:spacing w:after="0" w:line="259" w:lineRule="auto"/>
        <w:tabs>
          <w:tab w:leader="none" w:pos="4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First Amendment may be executed in counterparts, each of which shall be deemed an original, and all of which together shall constitute one and the same instrument. Counterparts may be signed and delivered by facsimile and/or via portable document format (.pdf), each of which shall be binding when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291705"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1">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type w:val="continuous"/>
        </w:sectPr>
      </w:pPr>
    </w:p>
    <w:bookmarkStart w:id="188" w:name="page189"/>
    <w:bookmarkEnd w:id="188"/>
    <w:p>
      <w:pPr>
        <w:ind w:left="100" w:right="100" w:firstLine="6"/>
        <w:spacing w:after="0" w:line="276" w:lineRule="auto"/>
        <w:tabs>
          <w:tab w:leader="none" w:pos="35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2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WITNESS WHEREOF, the Parties have executed this First Amendment to the Agreement as of the First Amendment Effective Date.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1"/>
                <w:szCs w:val="11"/>
                <w:b w:val="1"/>
                <w:bCs w:val="1"/>
                <w:color w:val="auto"/>
              </w:rPr>
              <w:t>IBRO</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1"/>
                <w:szCs w:val="11"/>
                <w:b w:val="1"/>
                <w:bCs w:val="1"/>
                <w:color w:val="auto"/>
              </w:rPr>
              <w:t>EN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8"/>
                <w:szCs w:val="18"/>
                <w:b w:val="1"/>
                <w:bCs w:val="1"/>
                <w:color w:val="auto"/>
              </w:rPr>
              <w:t>.</w:t>
            </w:r>
          </w:p>
        </w:tc>
        <w:tc>
          <w:tcPr>
            <w:tcW w:w="60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1"/>
                <w:szCs w:val="11"/>
                <w:b w:val="1"/>
                <w:bCs w:val="1"/>
                <w:color w:val="auto"/>
              </w:rPr>
              <w:t>STELLAS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1"/>
                <w:szCs w:val="11"/>
                <w:b w:val="1"/>
                <w:bCs w:val="1"/>
                <w:color w:val="auto"/>
              </w:rPr>
              <w:t>HARMA</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8"/>
                <w:szCs w:val="18"/>
                <w:b w:val="1"/>
                <w:bCs w:val="1"/>
                <w:color w:val="auto"/>
              </w:rPr>
              <w:t>.</w:t>
            </w:r>
          </w:p>
        </w:tc>
      </w:tr>
      <w:tr>
        <w:trPr>
          <w:trHeight w:val="31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4"/>
                <w:szCs w:val="24"/>
                <w:color w:val="auto"/>
              </w:rPr>
            </w:pPr>
          </w:p>
        </w:tc>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31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bottom w:val="single" w:sz="8" w:color="auto"/>
            </w:tcBorders>
          </w:tcPr>
          <w:p>
            <w:pPr>
              <w:spacing w:after="0"/>
              <w:rPr>
                <w:sz w:val="24"/>
                <w:szCs w:val="24"/>
                <w:color w:val="auto"/>
              </w:rPr>
            </w:pPr>
          </w:p>
        </w:tc>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Mitsunori Matsuda</w:t>
            </w:r>
          </w:p>
        </w:tc>
      </w:tr>
      <w:tr>
        <w:trPr>
          <w:trHeight w:val="311"/>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President,</w:t>
            </w:r>
          </w:p>
        </w:tc>
      </w:tr>
      <w:tr>
        <w:trPr>
          <w:trHeight w:val="311"/>
        </w:trPr>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0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45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Pharmaceutical Technology</w:t>
            </w:r>
          </w:p>
        </w:tc>
      </w:tr>
      <w:tr>
        <w:trPr>
          <w:trHeight w:val="741"/>
        </w:trPr>
        <w:tc>
          <w:tcPr>
            <w:tcW w:w="100" w:type="dxa"/>
            <w:vAlign w:val="bottom"/>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7312025</wp:posOffset>
            </wp:positionH>
            <wp:positionV relativeFrom="paragraph">
              <wp:posOffset>-28575</wp:posOffset>
            </wp:positionV>
            <wp:extent cx="33655"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-28575</wp:posOffset>
            </wp:positionV>
            <wp:extent cx="33655" cy="41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620"/>
          </w:cols>
          <w:pgMar w:left="140" w:top="331" w:right="139" w:bottom="1440" w:gutter="0" w:footer="0" w:header="0"/>
        </w:sectPr>
      </w:pPr>
    </w:p>
    <w:bookmarkStart w:id="189" w:name="page190"/>
    <w:bookmarkEnd w:id="189"/>
    <w:p>
      <w:pPr>
        <w:ind w:firstLine="6"/>
        <w:spacing w:after="0" w:line="276" w:lineRule="auto"/>
        <w:tabs>
          <w:tab w:leader="none" w:pos="261"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1"/>
          <w:szCs w:val="11"/>
          <w:b w:val="1"/>
          <w:bCs w:val="1"/>
          <w:color w:val="auto"/>
        </w:rPr>
        <w:t>ROHIBITED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1"/>
          <w:szCs w:val="11"/>
          <w:b w:val="1"/>
          <w:bCs w:val="1"/>
          <w:color w:val="auto"/>
        </w:rPr>
        <w:t>CTIVITIES</w:t>
      </w:r>
    </w:p>
    <w:p>
      <w:pPr>
        <w:spacing w:after="0" w:line="113" w:lineRule="exact"/>
        <w:rPr>
          <w:sz w:val="20"/>
          <w:szCs w:val="20"/>
          <w:color w:val="auto"/>
        </w:rPr>
      </w:pPr>
    </w:p>
    <w:p>
      <w:pPr>
        <w:ind w:left="800" w:hanging="397"/>
        <w:spacing w:after="0"/>
        <w:tabs>
          <w:tab w:leader="none" w:pos="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1"/>
          <w:szCs w:val="11"/>
          <w:b w:val="1"/>
          <w:bCs w:val="1"/>
          <w:color w:val="auto"/>
        </w:rPr>
        <w:t>ERMITTED ACTIVITIES</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ind w:left="800" w:hanging="397"/>
        <w:spacing w:after="0"/>
        <w:tabs>
          <w:tab w:leader="none" w:pos="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271145</wp:posOffset>
            </wp:positionV>
            <wp:extent cx="7291705"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4">
                      <a:extLst>
                        <a:ext uri="{28A0092B-C50C-407E-A947-70E740481C1C}"/>
                      </a:extLst>
                    </a:blip>
                    <a:srcRect/>
                    <a:stretch>
                      <a:fillRect/>
                    </a:stretch>
                  </pic:blipFill>
                  <pic:spPr bwMode="auto">
                    <a:xfrm>
                      <a:off x="0" y="0"/>
                      <a:ext cx="7291705"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90" w:name="page191"/>
    <w:bookmarkEnd w:id="190"/>
    <w:p>
      <w:pPr>
        <w:ind w:firstLine="6"/>
        <w:spacing w:after="0" w:line="276" w:lineRule="auto"/>
        <w:tabs>
          <w:tab w:leader="none" w:pos="25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b w:val="1"/>
          <w:bCs w:val="1"/>
          <w:color w:val="auto"/>
        </w:rPr>
        <w:t>Exhibit 10.9(i)</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Quarterly Manufacturing Reports, the following information should be included:</w:t>
      </w:r>
    </w:p>
    <w:p>
      <w:pPr>
        <w:spacing w:after="0" w:line="111" w:lineRule="exact"/>
        <w:rPr>
          <w:sz w:val="20"/>
          <w:szCs w:val="20"/>
          <w:color w:val="auto"/>
        </w:rPr>
      </w:pPr>
    </w:p>
    <w:p>
      <w:pPr>
        <w:ind w:left="800" w:hanging="397"/>
        <w:spacing w:after="0"/>
        <w:tabs>
          <w:tab w:leader="none" w:pos="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331" w:right="2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9"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333-216368) and Form S-8 (No. 333-200348, No. 333-213816 and No. 333-216369) of FibroGen, Inc. of our report dated February 26, 2019 relating to the financial statements, financial statement schedule and the effectiveness of internal control over financial reporting, which appears in this Form 10-K.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ectPr>
          <w:pgSz w:w="11900" w:h="16838" w:orient="portrait"/>
          <w:cols w:equalWidth="0" w:num="1">
            <w:col w:w="11420"/>
          </w:cols>
          <w:pgMar w:left="240" w:top="119" w:right="2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Neff., certify that;</w:t>
      </w:r>
    </w:p>
    <w:p>
      <w:pPr>
        <w:spacing w:after="0" w:line="217" w:lineRule="exact"/>
        <w:rPr>
          <w:sz w:val="20"/>
          <w:szCs w:val="20"/>
          <w:color w:val="auto"/>
        </w:rPr>
      </w:pPr>
    </w:p>
    <w:p>
      <w:pPr>
        <w:ind w:left="180" w:hanging="174"/>
        <w:spacing w:after="0"/>
        <w:tabs>
          <w:tab w:leader="none" w:pos="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FibroGen, Inc.;</w:t>
      </w:r>
    </w:p>
    <w:p>
      <w:pPr>
        <w:spacing w:after="0" w:line="216" w:lineRule="exact"/>
        <w:rPr>
          <w:rFonts w:ascii="Times New Roman" w:cs="Times New Roman" w:eastAsia="Times New Roman" w:hAnsi="Times New Roman"/>
          <w:sz w:val="18"/>
          <w:szCs w:val="18"/>
          <w:color w:val="auto"/>
        </w:rPr>
      </w:pPr>
    </w:p>
    <w:p>
      <w:pPr>
        <w:ind w:right="180" w:firstLine="6"/>
        <w:spacing w:after="0" w:line="273" w:lineRule="auto"/>
        <w:tabs>
          <w:tab w:leader="none" w:pos="17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8"/>
          <w:szCs w:val="18"/>
          <w:color w:val="auto"/>
        </w:rPr>
      </w:pPr>
    </w:p>
    <w:p>
      <w:pPr>
        <w:ind w:right="280" w:firstLine="6"/>
        <w:spacing w:after="0" w:line="273" w:lineRule="auto"/>
        <w:tabs>
          <w:tab w:leader="none" w:pos="17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8"/>
          <w:szCs w:val="18"/>
          <w:color w:val="auto"/>
        </w:rPr>
      </w:pPr>
    </w:p>
    <w:p>
      <w:pPr>
        <w:ind w:right="240" w:firstLine="6"/>
        <w:spacing w:after="0" w:line="259" w:lineRule="auto"/>
        <w:tabs>
          <w:tab w:leader="none" w:pos="17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right="20" w:firstLine="524"/>
        <w:spacing w:after="0" w:line="259" w:lineRule="auto"/>
        <w:tabs>
          <w:tab w:leader="none" w:pos="75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right="120" w:firstLine="524"/>
        <w:spacing w:after="0" w:line="259" w:lineRule="auto"/>
        <w:tabs>
          <w:tab w:leader="none" w:pos="76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right="180" w:firstLine="524"/>
        <w:spacing w:after="0" w:line="273" w:lineRule="auto"/>
        <w:tabs>
          <w:tab w:leader="none" w:pos="75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8"/>
          <w:szCs w:val="18"/>
          <w:color w:val="auto"/>
        </w:rPr>
      </w:pPr>
    </w:p>
    <w:p>
      <w:pPr>
        <w:ind w:right="200" w:firstLine="524"/>
        <w:spacing w:after="0" w:line="259" w:lineRule="auto"/>
        <w:tabs>
          <w:tab w:leader="none" w:pos="76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680" w:firstLine="6"/>
        <w:spacing w:after="0" w:line="273" w:lineRule="auto"/>
        <w:tabs>
          <w:tab w:leader="none" w:pos="17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8"/>
          <w:szCs w:val="18"/>
          <w:color w:val="auto"/>
        </w:rPr>
      </w:pPr>
    </w:p>
    <w:p>
      <w:pPr>
        <w:ind w:right="100" w:firstLine="524"/>
        <w:spacing w:after="0" w:line="273" w:lineRule="auto"/>
        <w:tabs>
          <w:tab w:leader="none" w:pos="75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8"/>
          <w:szCs w:val="18"/>
          <w:color w:val="auto"/>
        </w:rPr>
      </w:pPr>
    </w:p>
    <w:p>
      <w:pPr>
        <w:ind w:right="140" w:firstLine="524"/>
        <w:spacing w:after="0" w:line="273" w:lineRule="auto"/>
        <w:tabs>
          <w:tab w:leader="none" w:pos="76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tabs>
          <w:tab w:leader="none" w:pos="6280" w:val="left"/>
        </w:tabs>
        <w:rPr>
          <w:sz w:val="20"/>
          <w:szCs w:val="20"/>
          <w:color w:val="auto"/>
        </w:rPr>
      </w:pPr>
      <w:r>
        <w:rPr>
          <w:rFonts w:ascii="Times New Roman" w:cs="Times New Roman" w:eastAsia="Times New Roman" w:hAnsi="Times New Roman"/>
          <w:sz w:val="18"/>
          <w:szCs w:val="18"/>
          <w:color w:val="auto"/>
        </w:rPr>
        <w:t>Date: February 27, 2019</w:t>
      </w:r>
      <w:r>
        <w:rPr>
          <w:sz w:val="20"/>
          <w:szCs w:val="20"/>
          <w:color w:val="auto"/>
        </w:rPr>
        <w:tab/>
      </w:r>
      <w:r>
        <w:rPr>
          <w:rFonts w:ascii="Times New Roman" w:cs="Times New Roman" w:eastAsia="Times New Roman" w:hAnsi="Times New Roman"/>
          <w:sz w:val="17"/>
          <w:szCs w:val="17"/>
          <w:color w:val="auto"/>
        </w:rPr>
        <w:t>/s/ 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23495</wp:posOffset>
            </wp:positionV>
            <wp:extent cx="325437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5">
                      <a:extLst>
                        <a:ext uri="{28A0092B-C50C-407E-A947-70E740481C1C}"/>
                      </a:extLst>
                    </a:blip>
                    <a:srcRect/>
                    <a:stretch>
                      <a:fillRect/>
                    </a:stretch>
                  </pic:blipFill>
                  <pic:spPr bwMode="auto">
                    <a:xfrm>
                      <a:off x="0" y="0"/>
                      <a:ext cx="3254375" cy="8255"/>
                    </a:xfrm>
                    <a:prstGeom prst="rect">
                      <a:avLst/>
                    </a:prstGeom>
                    <a:noFill/>
                  </pic:spPr>
                </pic:pic>
              </a:graphicData>
            </a:graphic>
          </wp:anchor>
        </w:drawing>
      </w:r>
    </w:p>
    <w:p>
      <w:pPr>
        <w:spacing w:after="0" w:line="2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Thomas B. Neff</w:t>
      </w:r>
    </w:p>
    <w:p>
      <w:pPr>
        <w:spacing w:after="0" w:line="2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9" w:right="2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 Cotroneo, certify that;</w:t>
      </w:r>
    </w:p>
    <w:p>
      <w:pPr>
        <w:spacing w:after="0" w:line="217" w:lineRule="exact"/>
        <w:rPr>
          <w:sz w:val="20"/>
          <w:szCs w:val="20"/>
          <w:color w:val="auto"/>
        </w:rPr>
      </w:pPr>
    </w:p>
    <w:p>
      <w:pPr>
        <w:ind w:left="180" w:hanging="174"/>
        <w:spacing w:after="0"/>
        <w:tabs>
          <w:tab w:leader="none" w:pos="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FibroGen, Inc.;</w:t>
      </w:r>
    </w:p>
    <w:p>
      <w:pPr>
        <w:spacing w:after="0" w:line="216" w:lineRule="exact"/>
        <w:rPr>
          <w:rFonts w:ascii="Times New Roman" w:cs="Times New Roman" w:eastAsia="Times New Roman" w:hAnsi="Times New Roman"/>
          <w:sz w:val="18"/>
          <w:szCs w:val="18"/>
          <w:color w:val="auto"/>
        </w:rPr>
      </w:pPr>
    </w:p>
    <w:p>
      <w:pPr>
        <w:ind w:right="180" w:firstLine="6"/>
        <w:spacing w:after="0" w:line="273" w:lineRule="auto"/>
        <w:tabs>
          <w:tab w:leader="none" w:pos="17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8"/>
          <w:szCs w:val="18"/>
          <w:color w:val="auto"/>
        </w:rPr>
      </w:pPr>
    </w:p>
    <w:p>
      <w:pPr>
        <w:ind w:right="280" w:firstLine="6"/>
        <w:spacing w:after="0" w:line="273" w:lineRule="auto"/>
        <w:tabs>
          <w:tab w:leader="none" w:pos="17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8"/>
          <w:szCs w:val="18"/>
          <w:color w:val="auto"/>
        </w:rPr>
      </w:pPr>
    </w:p>
    <w:p>
      <w:pPr>
        <w:ind w:right="240" w:firstLine="6"/>
        <w:spacing w:after="0" w:line="259" w:lineRule="auto"/>
        <w:tabs>
          <w:tab w:leader="none" w:pos="17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right="20" w:firstLine="524"/>
        <w:spacing w:after="0" w:line="259" w:lineRule="auto"/>
        <w:tabs>
          <w:tab w:leader="none" w:pos="75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right="120" w:firstLine="524"/>
        <w:spacing w:after="0" w:line="259" w:lineRule="auto"/>
        <w:tabs>
          <w:tab w:leader="none" w:pos="76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right="180" w:firstLine="524"/>
        <w:spacing w:after="0" w:line="273" w:lineRule="auto"/>
        <w:tabs>
          <w:tab w:leader="none" w:pos="75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8"/>
          <w:szCs w:val="18"/>
          <w:color w:val="auto"/>
        </w:rPr>
      </w:pPr>
    </w:p>
    <w:p>
      <w:pPr>
        <w:ind w:right="200" w:firstLine="524"/>
        <w:spacing w:after="0" w:line="259" w:lineRule="auto"/>
        <w:tabs>
          <w:tab w:leader="none" w:pos="76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680" w:firstLine="6"/>
        <w:spacing w:after="0" w:line="273" w:lineRule="auto"/>
        <w:tabs>
          <w:tab w:leader="none" w:pos="17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8"/>
          <w:szCs w:val="18"/>
          <w:color w:val="auto"/>
        </w:rPr>
      </w:pPr>
    </w:p>
    <w:p>
      <w:pPr>
        <w:ind w:right="100" w:firstLine="524"/>
        <w:spacing w:after="0" w:line="273" w:lineRule="auto"/>
        <w:tabs>
          <w:tab w:leader="none" w:pos="75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8"/>
          <w:szCs w:val="18"/>
          <w:color w:val="auto"/>
        </w:rPr>
      </w:pPr>
    </w:p>
    <w:p>
      <w:pPr>
        <w:ind w:right="140" w:firstLine="524"/>
        <w:spacing w:after="0" w:line="273" w:lineRule="auto"/>
        <w:tabs>
          <w:tab w:leader="none" w:pos="76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spacing w:after="0"/>
        <w:tabs>
          <w:tab w:leader="none" w:pos="6280" w:val="left"/>
        </w:tabs>
        <w:rPr>
          <w:sz w:val="20"/>
          <w:szCs w:val="20"/>
          <w:color w:val="auto"/>
        </w:rPr>
      </w:pPr>
      <w:r>
        <w:rPr>
          <w:rFonts w:ascii="Times New Roman" w:cs="Times New Roman" w:eastAsia="Times New Roman" w:hAnsi="Times New Roman"/>
          <w:sz w:val="18"/>
          <w:szCs w:val="18"/>
          <w:color w:val="auto"/>
        </w:rPr>
        <w:t>Date: February 27, 2019</w:t>
      </w:r>
      <w:r>
        <w:rPr>
          <w:sz w:val="20"/>
          <w:szCs w:val="20"/>
          <w:color w:val="auto"/>
        </w:rPr>
        <w:tab/>
      </w:r>
      <w:r>
        <w:rPr>
          <w:rFonts w:ascii="Times New Roman" w:cs="Times New Roman" w:eastAsia="Times New Roman" w:hAnsi="Times New Roman"/>
          <w:sz w:val="17"/>
          <w:szCs w:val="17"/>
          <w:color w:val="auto"/>
        </w:rPr>
        <w:t>/s/ 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23495</wp:posOffset>
            </wp:positionV>
            <wp:extent cx="325437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6">
                      <a:extLst>
                        <a:ext uri="{28A0092B-C50C-407E-A947-70E740481C1C}"/>
                      </a:extLst>
                    </a:blip>
                    <a:srcRect/>
                    <a:stretch>
                      <a:fillRect/>
                    </a:stretch>
                  </pic:blipFill>
                  <pic:spPr bwMode="auto">
                    <a:xfrm>
                      <a:off x="0" y="0"/>
                      <a:ext cx="3254375" cy="8255"/>
                    </a:xfrm>
                    <a:prstGeom prst="rect">
                      <a:avLst/>
                    </a:prstGeom>
                    <a:noFill/>
                  </pic:spPr>
                </pic:pic>
              </a:graphicData>
            </a:graphic>
          </wp:anchor>
        </w:drawing>
      </w:r>
    </w:p>
    <w:p>
      <w:pPr>
        <w:spacing w:after="0" w:line="1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Pat Cotroneo</w:t>
      </w:r>
    </w:p>
    <w:p>
      <w:pPr>
        <w:spacing w:after="0" w:line="1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Senior Vice President, Finance and Chief Financial</w:t>
      </w:r>
    </w:p>
    <w:p>
      <w:pPr>
        <w:spacing w:after="0" w:line="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 (Principal Financial Officer)</w:t>
      </w:r>
    </w:p>
    <w:p>
      <w:pPr>
        <w:sectPr>
          <w:pgSz w:w="11900" w:h="16838" w:orient="portrait"/>
          <w:cols w:equalWidth="0" w:num="1">
            <w:col w:w="11420"/>
          </w:cols>
          <w:pgMar w:left="240" w:top="119" w:right="2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72" w:lineRule="exact"/>
        <w:rPr>
          <w:sz w:val="20"/>
          <w:szCs w:val="20"/>
          <w:color w:val="auto"/>
        </w:rPr>
      </w:pPr>
    </w:p>
    <w:p>
      <w:pPr>
        <w:ind w:left="520" w:right="340" w:hanging="514"/>
        <w:spacing w:after="0" w:line="273" w:lineRule="auto"/>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2018 (the “Annual Report”), to which this Certification is attached as Exhibit 32.1, fully complies with the requirements of Section 13(a) or Section 15(d) of the Exchange Act, and</w:t>
      </w:r>
    </w:p>
    <w:p>
      <w:pPr>
        <w:spacing w:after="0" w:line="58" w:lineRule="exact"/>
        <w:rPr>
          <w:rFonts w:ascii="Times New Roman" w:cs="Times New Roman" w:eastAsia="Times New Roman" w:hAnsi="Times New Roman"/>
          <w:sz w:val="18"/>
          <w:szCs w:val="18"/>
          <w:color w:val="auto"/>
        </w:rPr>
      </w:pPr>
    </w:p>
    <w:p>
      <w:pPr>
        <w:ind w:left="520" w:hanging="514"/>
        <w:spacing w:after="0"/>
        <w:tabs>
          <w:tab w:leader="none" w:pos="5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February,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B. Neff</w:t>
            </w: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 Pat Cotroneo</w:t>
            </w:r>
          </w:p>
        </w:tc>
      </w:tr>
      <w:tr>
        <w:trPr>
          <w:trHeight w:val="187"/>
        </w:trPr>
        <w:tc>
          <w:tcPr>
            <w:tcW w:w="56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Thomas B. Neff</w:t>
            </w:r>
          </w:p>
        </w:tc>
        <w:tc>
          <w:tcPr>
            <w:tcW w:w="240" w:type="dxa"/>
            <w:vAlign w:val="bottom"/>
          </w:tcPr>
          <w:p>
            <w:pPr>
              <w:spacing w:after="0"/>
              <w:rPr>
                <w:sz w:val="16"/>
                <w:szCs w:val="16"/>
                <w:color w:val="auto"/>
              </w:rPr>
            </w:pPr>
          </w:p>
        </w:tc>
        <w:tc>
          <w:tcPr>
            <w:tcW w:w="55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Pat Cotroneo</w:t>
            </w:r>
          </w:p>
        </w:tc>
      </w:tr>
      <w:tr>
        <w:trPr>
          <w:trHeight w:val="231"/>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tc>
      </w:tr>
    </w:tbl>
    <w:p>
      <w:pPr>
        <w:spacing w:after="0" w:line="20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1."/>
      <w:numFmt w:val="lowerLetter"/>
      <w:start w:val="1"/>
    </w:lvl>
  </w:abstractNum>
  <w:abstractNum w:abstractNumId="3">
    <w:nsid w:val="61574095"/>
    <w:multiLevelType w:val="hybridMultilevel"/>
    <w:lvl w:ilvl="0">
      <w:lvlJc w:val="left"/>
      <w:lvlText w:val="%1."/>
      <w:numFmt w:val="lowerLetter"/>
      <w:start w:val="1"/>
    </w:lvl>
  </w:abstractNum>
  <w:abstractNum w:abstractNumId="4">
    <w:nsid w:val="7E0C57B1"/>
    <w:multiLevelType w:val="hybridMultilevel"/>
    <w:lvl w:ilvl="0">
      <w:lvlJc w:val="left"/>
      <w:lvlText w:val="%1."/>
      <w:numFmt w:val="lowerLetter"/>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1)"/>
      <w:numFmt w:val="decimal"/>
      <w:start w:val="1"/>
    </w:lvl>
  </w:abstractNum>
  <w:abstractNum w:abstractNumId="7">
    <w:nsid w:val="310C50B3"/>
    <w:multiLevelType w:val="hybridMultilevel"/>
    <w:lvl w:ilvl="0">
      <w:lvlJc w:val="left"/>
      <w:lvlText w:val="1"/>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1)"/>
      <w:numFmt w:val="lowerLetter"/>
      <w:start w:val="1"/>
    </w:lvl>
  </w:abstractNum>
  <w:abstractNum w:abstractNumId="19">
    <w:nsid w:val="5F5E7FD0"/>
    <w:multiLevelType w:val="hybridMultilevel"/>
    <w:lvl w:ilvl="0">
      <w:lvlJc w:val="left"/>
      <w:lvlText w:val="(%1)"/>
      <w:numFmt w:val="decimal"/>
      <w:start w:val="415"/>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1)"/>
      <w:numFmt w:val="decimal"/>
      <w:start w:val="1"/>
    </w:lvl>
  </w:abstractNum>
  <w:abstractNum w:abstractNumId="47">
    <w:nsid w:val="100F59DC"/>
    <w:multiLevelType w:val="hybridMultilevel"/>
    <w:lvl w:ilvl="0">
      <w:lvlJc w:val="left"/>
      <w:lvlText w:val="(%1)"/>
      <w:numFmt w:val="decimal"/>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1)"/>
      <w:numFmt w:val="lowerLetter"/>
      <w:start w:val="1"/>
    </w:lvl>
  </w:abstractNum>
  <w:abstractNum w:abstractNumId="54">
    <w:nsid w:val="4C04A8AF"/>
    <w:multiLevelType w:val="hybridMultilevel"/>
    <w:lvl w:ilvl="0">
      <w:lvlJc w:val="left"/>
      <w:lvlText w:val="%1."/>
      <w:numFmt w:val="decimal"/>
      <w:start w:val="1"/>
    </w:lvl>
  </w:abstractNum>
  <w:abstractNum w:abstractNumId="55">
    <w:nsid w:val="1716703B"/>
    <w:multiLevelType w:val="hybridMultilevel"/>
    <w:lvl w:ilvl="0">
      <w:lvlJc w:val="left"/>
      <w:lvlText w:val="%1."/>
      <w:numFmt w:val="decimal"/>
      <w:start w:val="2"/>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1."/>
      <w:numFmt w:val="decimal"/>
      <w:start w:val="3"/>
    </w:lvl>
  </w:abstractNum>
  <w:abstractNum w:abstractNumId="58">
    <w:nsid w:val="74DE0EE3"/>
    <w:multiLevelType w:val="hybridMultilevel"/>
    <w:lvl w:ilvl="0">
      <w:lvlJc w:val="left"/>
      <w:lvlText w:val="(%1)"/>
      <w:numFmt w:val="decimal"/>
      <w:start w:val="1"/>
    </w:lvl>
  </w:abstractNum>
  <w:abstractNum w:abstractNumId="59">
    <w:nsid w:val="68EBC550"/>
    <w:multiLevelType w:val="hybridMultilevel"/>
    <w:lvl w:ilvl="0">
      <w:lvlJc w:val="left"/>
      <w:lvlText w:val="(%1)"/>
      <w:numFmt w:val="decimal"/>
      <w:start w:val="5"/>
    </w:lvl>
  </w:abstractNum>
  <w:abstractNum w:abstractNumId="60">
    <w:nsid w:val="2DF6D648"/>
    <w:multiLevelType w:val="hybridMultilevel"/>
    <w:lvl w:ilvl="0">
      <w:lvlJc w:val="left"/>
      <w:lvlText w:val="%1."/>
      <w:numFmt w:val="decimal"/>
      <w:start w:val="1"/>
    </w:lvl>
  </w:abstractNum>
  <w:abstractNum w:abstractNumId="61">
    <w:nsid w:val="46B7D447"/>
    <w:multiLevelType w:val="hybridMultilevel"/>
    <w:lvl w:ilvl="0">
      <w:lvlJc w:val="left"/>
      <w:lvlText w:val="(%1)"/>
      <w:numFmt w:val="decimal"/>
      <w:start w:val="1"/>
    </w:lvl>
  </w:abstractNum>
  <w:abstractNum w:abstractNumId="62">
    <w:nsid w:val="4A2AC315"/>
    <w:multiLevelType w:val="hybridMultilevel"/>
    <w:lvl w:ilvl="0">
      <w:lvlJc w:val="left"/>
      <w:lvlText w:val="(%1)"/>
      <w:numFmt w:val="decimal"/>
      <w:start w:val="5"/>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1."/>
      <w:numFmt w:val="decimal"/>
      <w:start w:val="4"/>
    </w:lvl>
  </w:abstractNum>
  <w:abstractNum w:abstractNumId="68">
    <w:nsid w:val="26F324BA"/>
    <w:multiLevelType w:val="hybridMultilevel"/>
    <w:lvl w:ilvl="0">
      <w:lvlJc w:val="left"/>
      <w:lvlText w:val="%1."/>
      <w:numFmt w:val="decimal"/>
      <w:start w:val="5"/>
    </w:lvl>
  </w:abstractNum>
  <w:abstractNum w:abstractNumId="69">
    <w:nsid w:val="7F01579B"/>
    <w:multiLevelType w:val="hybridMultilevel"/>
    <w:lvl w:ilvl="0">
      <w:lvlJc w:val="left"/>
      <w:lvlText w:val="%1."/>
      <w:numFmt w:val="decimal"/>
      <w:start w:val="6"/>
    </w:lvl>
  </w:abstractNum>
  <w:abstractNum w:abstractNumId="70">
    <w:nsid w:val="49DA307D"/>
    <w:multiLevelType w:val="hybridMultilevel"/>
    <w:lvl w:ilvl="0">
      <w:lvlJc w:val="left"/>
      <w:lvlText w:val="%1."/>
      <w:numFmt w:val="decimal"/>
      <w:start w:val="7"/>
    </w:lvl>
  </w:abstractNum>
  <w:abstractNum w:abstractNumId="71">
    <w:nsid w:val="7055A5F5"/>
    <w:multiLevelType w:val="hybridMultilevel"/>
    <w:lvl w:ilvl="0">
      <w:lvlJc w:val="left"/>
      <w:lvlText w:val="(%1)"/>
      <w:numFmt w:val="lowerLetter"/>
      <w:start w:val="1"/>
    </w:lvl>
  </w:abstractNum>
  <w:abstractNum w:abstractNumId="72">
    <w:nsid w:val="5FB8370B"/>
    <w:multiLevelType w:val="hybridMultilevel"/>
    <w:lvl w:ilvl="0">
      <w:lvlJc w:val="left"/>
      <w:lvlText w:val="%1."/>
      <w:numFmt w:val="decimal"/>
      <w:start w:val="8"/>
    </w:lvl>
  </w:abstractNum>
  <w:abstractNum w:abstractNumId="73">
    <w:nsid w:val="50801EE1"/>
    <w:multiLevelType w:val="hybridMultilevel"/>
    <w:lvl w:ilvl="0">
      <w:lvlJc w:val="left"/>
      <w:lvlText w:val="%1."/>
      <w:numFmt w:val="decimal"/>
      <w:start w:val="9"/>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
      <w:numFmt w:val="bullet"/>
      <w:start w:val="1"/>
    </w:lvl>
  </w:abstractNum>
  <w:abstractNum w:abstractNumId="76">
    <w:nsid w:val="6AA78F7F"/>
    <w:multiLevelType w:val="hybridMultilevel"/>
    <w:lvl w:ilvl="0">
      <w:lvlJc w:val="left"/>
      <w:lvlText w:val="(%1)"/>
      <w:numFmt w:val="lowerLetter"/>
      <w:start w:val="1"/>
    </w:lvl>
  </w:abstractNum>
  <w:abstractNum w:abstractNumId="77">
    <w:nsid w:val="7672BD23"/>
    <w:multiLevelType w:val="hybridMultilevel"/>
    <w:lvl w:ilvl="0">
      <w:lvlJc w:val="left"/>
      <w:lvlText w:val="(%1)"/>
      <w:numFmt w:val="lowerLetter"/>
      <w:start w:val="2"/>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1)"/>
      <w:numFmt w:val="decimal"/>
      <w:start w:val="1"/>
    </w:lvl>
  </w:abstractNum>
  <w:abstractNum w:abstractNumId="82">
    <w:nsid w:val="73A1821B"/>
    <w:multiLevelType w:val="hybridMultilevel"/>
    <w:lvl w:ilvl="0">
      <w:lvlJc w:val="left"/>
      <w:lvlText w:val="(%1)"/>
      <w:numFmt w:val="lowerLetter"/>
      <w:start w:val="3"/>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1)"/>
      <w:numFmt w:val="decimal"/>
      <w:start w:val="3"/>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lowerLetter"/>
      <w:start w:val="2"/>
    </w:lvl>
  </w:abstractNum>
  <w:abstractNum w:abstractNumId="89">
    <w:nsid w:val="9DAF632"/>
    <w:multiLevelType w:val="hybridMultilevel"/>
    <w:lvl w:ilvl="0">
      <w:lvlJc w:val="left"/>
      <w:lvlText w:val="%1)"/>
      <w:numFmt w:val="decimal"/>
      <w:start w:val="4"/>
    </w:lvl>
  </w:abstractNum>
  <w:abstractNum w:abstractNumId="90">
    <w:nsid w:val="53299938"/>
    <w:multiLevelType w:val="hybridMultilevel"/>
    <w:lvl w:ilvl="0">
      <w:lvlJc w:val="left"/>
      <w:lvlText w:val="[*]"/>
      <w:numFmt w:val="bullet"/>
      <w:start w:val="1"/>
    </w:lvl>
  </w:abstractNum>
  <w:abstractNum w:abstractNumId="91">
    <w:nsid w:val="1FBFE8E0"/>
    <w:multiLevelType w:val="hybridMultilevel"/>
    <w:lvl w:ilvl="0">
      <w:lvlJc w:val="left"/>
      <w:lvlText w:val="%1)"/>
      <w:numFmt w:val="decimal"/>
      <w:start w:val="5"/>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1)"/>
      <w:numFmt w:val="decimal"/>
      <w:start w:val="10"/>
    </w:lvl>
    <w:lvl w:ilvl="1">
      <w:lvlJc w:val="left"/>
      <w:lvlText w:val="%2)"/>
      <w:numFmt w:val="lowerLetter"/>
      <w:start w:val="1"/>
    </w:lvl>
  </w:abstractNum>
  <w:abstractNum w:abstractNumId="94">
    <w:nsid w:val="59ADEA3D"/>
    <w:multiLevelType w:val="hybridMultilevel"/>
    <w:lvl w:ilvl="0">
      <w:lvlJc w:val="left"/>
      <w:lvlText w:val="[*]"/>
      <w:numFmt w:val="bullet"/>
      <w:start w:val="1"/>
    </w:lvl>
  </w:abstractNum>
  <w:abstractNum w:abstractNumId="95">
    <w:nsid w:val="288F1A34"/>
    <w:multiLevelType w:val="hybridMultilevel"/>
    <w:lvl w:ilvl="0">
      <w:lvlJc w:val="left"/>
      <w:lvlText w:val="%1)"/>
      <w:numFmt w:val="decimal"/>
      <w:start w:val="16"/>
    </w:lvl>
  </w:abstractNum>
  <w:abstractNum w:abstractNumId="96">
    <w:nsid w:val="2A155DBC"/>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abstractNum>
  <w:abstractNum w:abstractNumId="97">
    <w:nsid w:val="1D9F6E5F"/>
    <w:multiLevelType w:val="hybridMultilevel"/>
    <w:lvl w:ilvl="0">
      <w:lvlJc w:val="left"/>
      <w:lvlText w:val="[*]"/>
      <w:numFmt w:val="bullet"/>
      <w:start w:val="1"/>
    </w:lvl>
  </w:abstractNum>
  <w:abstractNum w:abstractNumId="98">
    <w:nsid w:val="97E1B4E"/>
    <w:multiLevelType w:val="hybridMultilevel"/>
    <w:lvl w:ilvl="0">
      <w:lvlJc w:val="left"/>
      <w:lvlText w:val="%1)"/>
      <w:numFmt w:val="lowerLetter"/>
      <w:start w:val="4"/>
    </w:lvl>
  </w:abstractNum>
  <w:abstractNum w:abstractNumId="99">
    <w:nsid w:val="51088277"/>
    <w:multiLevelType w:val="hybridMultilevel"/>
    <w:lvl w:ilvl="0">
      <w:lvlJc w:val="left"/>
      <w:lvlText w:val="%1)"/>
      <w:numFmt w:val="decimal"/>
      <w:start w:val="18"/>
    </w:lvl>
  </w:abstractNum>
  <w:abstractNum w:abstractNumId="100">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1">
    <w:nsid w:val="53584BCB"/>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2">
    <w:nsid w:val="415E286C"/>
    <w:multiLevelType w:val="hybridMultilevel"/>
    <w:lvl w:ilvl="0">
      <w:lvlJc w:val="left"/>
      <w:lvlText w:val="%1"/>
      <w:numFmt w:val="lowerLetter"/>
      <w:start w:val="1"/>
    </w:lvl>
    <w:lvl w:ilvl="1">
      <w:lvlJc w:val="left"/>
      <w:lvlText w:val="%2)"/>
      <w:numFmt w:val="lowerRoman"/>
      <w:start w:val="1"/>
    </w:lvl>
  </w:abstractNum>
  <w:abstractNum w:abstractNumId="103">
    <w:nsid w:val="7C58FD05"/>
    <w:multiLevelType w:val="hybridMultilevel"/>
    <w:lvl w:ilvl="0">
      <w:lvlJc w:val="left"/>
      <w:lvlText w:val="%1)"/>
      <w:numFmt w:val="lowerLetter"/>
      <w:start w:val="3"/>
    </w:lvl>
    <w:lvl w:ilvl="1">
      <w:lvlJc w:val="left"/>
      <w:lvlText w:val="%2"/>
      <w:numFmt w:val="lowerRoman"/>
      <w:start w:val="1"/>
    </w:lvl>
  </w:abstractNum>
  <w:abstractNum w:abstractNumId="104">
    <w:nsid w:val="23D86AAC"/>
    <w:multiLevelType w:val="hybridMultilevel"/>
    <w:lvl w:ilvl="0">
      <w:lvlJc w:val="left"/>
      <w:lvlText w:val="[*]"/>
      <w:numFmt w:val="bullet"/>
      <w:start w:val="1"/>
    </w:lvl>
  </w:abstractNum>
  <w:abstractNum w:abstractNumId="105">
    <w:nsid w:val="45E6D486"/>
    <w:multiLevelType w:val="hybridMultilevel"/>
    <w:lvl w:ilvl="0">
      <w:lvlJc w:val="left"/>
      <w:lvlText w:val="%1"/>
      <w:numFmt w:val="decimal"/>
      <w:start w:val="1"/>
    </w:lvl>
    <w:lvl w:ilvl="1">
      <w:lvlJc w:val="left"/>
      <w:lvlText w:val="%2)"/>
      <w:numFmt w:val="lowerLetter"/>
      <w:start w:val="4"/>
    </w:lvl>
  </w:abstractNum>
  <w:abstractNum w:abstractNumId="106">
    <w:nsid w:val="5C10FE21"/>
    <w:multiLevelType w:val="hybridMultilevel"/>
    <w:lvl w:ilvl="0">
      <w:lvlJc w:val="left"/>
      <w:lvlText w:val="%1)"/>
      <w:numFmt w:val="decimal"/>
      <w:start w:val="20"/>
    </w:lvl>
    <w:lvl w:ilvl="1">
      <w:lvlJc w:val="left"/>
      <w:lvlText w:val="%2"/>
      <w:numFmt w:val="lowerLetter"/>
      <w:start w:val="1"/>
    </w:lvl>
  </w:abstractNum>
  <w:abstractNum w:abstractNumId="107">
    <w:nsid w:val="E7FFA2B"/>
    <w:multiLevelType w:val="hybridMultilevel"/>
    <w:lvl w:ilvl="0">
      <w:lvlJc w:val="left"/>
      <w:lvlText w:val="[*]"/>
      <w:numFmt w:val="bullet"/>
      <w:start w:val="1"/>
    </w:lvl>
  </w:abstractNum>
  <w:abstractNum w:abstractNumId="108">
    <w:nsid w:val="3C5991AA"/>
    <w:multiLevelType w:val="hybridMultilevel"/>
    <w:lvl w:ilvl="0">
      <w:lvlJc w:val="left"/>
      <w:lvlText w:val="%1)"/>
      <w:numFmt w:val="decimal"/>
      <w:start w:val="23"/>
    </w:lvl>
  </w:abstractNum>
  <w:abstractNum w:abstractNumId="109">
    <w:nsid w:val="4BD8591A"/>
    <w:multiLevelType w:val="hybridMultilevel"/>
    <w:lvl w:ilvl="0">
      <w:lvlJc w:val="left"/>
      <w:lvlText w:val="[*]"/>
      <w:numFmt w:val="bullet"/>
      <w:start w:val="1"/>
    </w:lvl>
  </w:abstractNum>
  <w:abstractNum w:abstractNumId="110">
    <w:nsid w:val="78DF6A55"/>
    <w:multiLevelType w:val="hybridMultilevel"/>
    <w:lvl w:ilvl="0">
      <w:lvlJc w:val="left"/>
      <w:lvlText w:val="%1)"/>
      <w:numFmt w:val="decimal"/>
      <w:start w:val="27"/>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
      <w:numFmt w:val="bullet"/>
      <w:start w:val="1"/>
    </w:lvl>
  </w:abstractNum>
  <w:abstractNum w:abstractNumId="113">
    <w:nsid w:val="6C80EC70"/>
    <w:multiLevelType w:val="hybridMultilevel"/>
    <w:lvl w:ilvl="0">
      <w:lvlJc w:val="left"/>
      <w:lvlText w:val="%1."/>
      <w:numFmt w:val="decimal"/>
      <w:start w:val="1"/>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
      <w:numFmt w:val="bullet"/>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lvl w:ilvl="1">
      <w:lvlJc w:val="left"/>
      <w:lvlText w:val="(%2)"/>
      <w:numFmt w:val="lowerLetter"/>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82" Type="http://schemas.openxmlformats.org/officeDocument/2006/relationships/image" Target="media/image264.png"/><Relationship Id="rId293" Type="http://schemas.openxmlformats.org/officeDocument/2006/relationships/image" Target="media/image265.png"/><Relationship Id="rId307" Type="http://schemas.openxmlformats.org/officeDocument/2006/relationships/image" Target="media/image266.png"/><Relationship Id="rId322" Type="http://schemas.openxmlformats.org/officeDocument/2006/relationships/image" Target="media/image267.png"/><Relationship Id="rId335" Type="http://schemas.openxmlformats.org/officeDocument/2006/relationships/image" Target="media/image268.png"/><Relationship Id="rId346" Type="http://schemas.openxmlformats.org/officeDocument/2006/relationships/image" Target="media/image269.png"/><Relationship Id="rId356" Type="http://schemas.openxmlformats.org/officeDocument/2006/relationships/image" Target="media/image270.png"/><Relationship Id="rId357" Type="http://schemas.openxmlformats.org/officeDocument/2006/relationships/image" Target="media/image271.png"/><Relationship Id="rId358" Type="http://schemas.openxmlformats.org/officeDocument/2006/relationships/image" Target="media/image272.png"/><Relationship Id="rId359" Type="http://schemas.openxmlformats.org/officeDocument/2006/relationships/image" Target="media/image273.png"/><Relationship Id="rId360" Type="http://schemas.openxmlformats.org/officeDocument/2006/relationships/image" Target="media/image274.png"/><Relationship Id="rId361" Type="http://schemas.openxmlformats.org/officeDocument/2006/relationships/image" Target="media/image275.png"/><Relationship Id="rId362" Type="http://schemas.openxmlformats.org/officeDocument/2006/relationships/image" Target="media/image276.png"/><Relationship Id="rId363" Type="http://schemas.openxmlformats.org/officeDocument/2006/relationships/image" Target="media/image277.png"/><Relationship Id="rId364" Type="http://schemas.openxmlformats.org/officeDocument/2006/relationships/image" Target="media/image278.png"/><Relationship Id="rId365" Type="http://schemas.openxmlformats.org/officeDocument/2006/relationships/image" Target="media/image279.png"/><Relationship Id="rId366" Type="http://schemas.openxmlformats.org/officeDocument/2006/relationships/image" Target="media/image280.png"/><Relationship Id="rId367" Type="http://schemas.openxmlformats.org/officeDocument/2006/relationships/image" Target="media/image281.png"/><Relationship Id="rId368" Type="http://schemas.openxmlformats.org/officeDocument/2006/relationships/image" Target="media/image282.png"/><Relationship Id="rId369" Type="http://schemas.openxmlformats.org/officeDocument/2006/relationships/image" Target="media/image283.png"/><Relationship Id="rId370" Type="http://schemas.openxmlformats.org/officeDocument/2006/relationships/image" Target="media/image284.png"/><Relationship Id="rId371" Type="http://schemas.openxmlformats.org/officeDocument/2006/relationships/image" Target="media/image285.png"/><Relationship Id="rId372" Type="http://schemas.openxmlformats.org/officeDocument/2006/relationships/image" Target="media/image286.png"/><Relationship Id="rId373" Type="http://schemas.openxmlformats.org/officeDocument/2006/relationships/image" Target="media/image287.png"/><Relationship Id="rId374" Type="http://schemas.openxmlformats.org/officeDocument/2006/relationships/image" Target="media/image288.png"/><Relationship Id="rId375" Type="http://schemas.openxmlformats.org/officeDocument/2006/relationships/image" Target="media/image289.png"/><Relationship Id="rId376" Type="http://schemas.openxmlformats.org/officeDocument/2006/relationships/image" Target="media/image290.png"/><Relationship Id="rId377" Type="http://schemas.openxmlformats.org/officeDocument/2006/relationships/image" Target="media/image291.png"/><Relationship Id="rId378" Type="http://schemas.openxmlformats.org/officeDocument/2006/relationships/image" Target="media/image292.png"/><Relationship Id="rId379" Type="http://schemas.openxmlformats.org/officeDocument/2006/relationships/image" Target="media/image293.png"/><Relationship Id="rId380" Type="http://schemas.openxmlformats.org/officeDocument/2006/relationships/image" Target="media/image294.png"/><Relationship Id="rId381" Type="http://schemas.openxmlformats.org/officeDocument/2006/relationships/image" Target="media/image295.png"/><Relationship Id="rId382" Type="http://schemas.openxmlformats.org/officeDocument/2006/relationships/image" Target="media/image296.png"/><Relationship Id="rId383" Type="http://schemas.openxmlformats.org/officeDocument/2006/relationships/image" Target="media/image297.png"/><Relationship Id="rId384" Type="http://schemas.openxmlformats.org/officeDocument/2006/relationships/image" Target="media/image298.png"/><Relationship Id="rId385" Type="http://schemas.openxmlformats.org/officeDocument/2006/relationships/image" Target="media/image299.png"/><Relationship Id="rId386" Type="http://schemas.openxmlformats.org/officeDocument/2006/relationships/image" Target="media/image300.png"/><Relationship Id="rId271" Type="http://schemas.openxmlformats.org/officeDocument/2006/relationships/hyperlink" Target="http://www.sec.gov/Archives/edgar/data/921299/000119312514420380/d824859dex31.htm" TargetMode="External"/><Relationship Id="rId272" Type="http://schemas.openxmlformats.org/officeDocument/2006/relationships/hyperlink" Target="http://www.sec.gov/Archives/edgar/data/921299/000119312514380087/d720189dex34.htm" TargetMode="External"/><Relationship Id="rId273" Type="http://schemas.openxmlformats.org/officeDocument/2006/relationships/hyperlink" Target="http://www.sec.gov/Archives/edgar/data/921299/000119312514420380/d824859dex41.htm" TargetMode="External"/><Relationship Id="rId274" Type="http://schemas.openxmlformats.org/officeDocument/2006/relationships/hyperlink" Target="http://www.sec.gov/Archives/edgar/data/921299/000119312514359619/d720189dex42.htm" TargetMode="External"/><Relationship Id="rId275" Type="http://schemas.openxmlformats.org/officeDocument/2006/relationships/hyperlink" Target="http://www.sec.gov/Archives/edgar/data/921299/000119312514359619/d720189dex47.htm" TargetMode="External"/><Relationship Id="rId276" Type="http://schemas.openxmlformats.org/officeDocument/2006/relationships/hyperlink" Target="http://www.sec.gov/Archives/edgar/data/921299/000119312514359619/d720189dex412.htm" TargetMode="External"/><Relationship Id="rId277" Type="http://schemas.openxmlformats.org/officeDocument/2006/relationships/hyperlink" Target="http://www.sec.gov/Archives/edgar/data/921299/000156459017022738/fgen-ex46_97.htm" TargetMode="External"/><Relationship Id="rId278" Type="http://schemas.openxmlformats.org/officeDocument/2006/relationships/hyperlink" Target="http://www.sec.gov/Archives/edgar/data/921299/000119312514381669/d720189dex417.htm" TargetMode="External"/><Relationship Id="rId279" Type="http://schemas.openxmlformats.org/officeDocument/2006/relationships/hyperlink" Target="http://www.sec.gov/Archives/edgar/data/921299/000119312514359619/d720189dex103i.htm" TargetMode="External"/><Relationship Id="rId280" Type="http://schemas.openxmlformats.org/officeDocument/2006/relationships/hyperlink" Target="http://www.sec.gov/Archives/edgar/data/921299/000119312514359619/d720189dex103ii.htm" TargetMode="External"/><Relationship Id="rId281" Type="http://schemas.openxmlformats.org/officeDocument/2006/relationships/hyperlink" Target="http://www.sec.gov/Archives/edgar/data/921299/000119312514359619/d720189dex103iii.htm" TargetMode="External"/><Relationship Id="rId283" Type="http://schemas.openxmlformats.org/officeDocument/2006/relationships/hyperlink" Target="http://www.sec.gov/Archives/edgar/data/921299/000119312514359619/d720189dex103iv.htm" TargetMode="External"/><Relationship Id="rId284" Type="http://schemas.openxmlformats.org/officeDocument/2006/relationships/hyperlink" Target="http://www.sec.gov/Archives/edgar/data/921299/000119312514359619/d720189dex103v.htm" TargetMode="External"/><Relationship Id="rId285" Type="http://schemas.openxmlformats.org/officeDocument/2006/relationships/hyperlink" Target="http://www.sec.gov/Archives/edgar/data/921299/000119312514406755/d808943dex104.htm" TargetMode="External"/><Relationship Id="rId286" Type="http://schemas.openxmlformats.org/officeDocument/2006/relationships/hyperlink" Target="http://www.sec.gov/Archives/edgar/data/921299/000119312514406755/d808943dex105.htm" TargetMode="External"/><Relationship Id="rId287" Type="http://schemas.openxmlformats.org/officeDocument/2006/relationships/hyperlink" Target="http://www.sec.gov/Archives/edgar/data/921299/000119312515107197/d896178dex105.htm" TargetMode="External"/><Relationship Id="rId288" Type="http://schemas.openxmlformats.org/officeDocument/2006/relationships/hyperlink" Target="http://www.sec.gov/Archives/edgar/data/921299/000119312518048551/d500266dex105.htm" TargetMode="External"/><Relationship Id="rId289" Type="http://schemas.openxmlformats.org/officeDocument/2006/relationships/hyperlink" Target="http://www.sec.gov/Archives/edgar/data/921299/000119312514359619/d720189dex108.htm" TargetMode="External"/><Relationship Id="rId290" Type="http://schemas.openxmlformats.org/officeDocument/2006/relationships/hyperlink" Target="http://www.sec.gov/Archives/edgar/data/921299/000119312514359619/d720189dex109.htm" TargetMode="External"/><Relationship Id="rId291" Type="http://schemas.openxmlformats.org/officeDocument/2006/relationships/hyperlink" Target="http://www.sec.gov/Archives/edgar/data/921299/000119312514359619/d720189dex1010.htm" TargetMode="External"/><Relationship Id="rId292" Type="http://schemas.openxmlformats.org/officeDocument/2006/relationships/hyperlink" Target="http://www.sec.gov/Archives/edgar/data/921299/000156459017022738/fgen-ex109_208.htm" TargetMode="External"/><Relationship Id="rId294" Type="http://schemas.openxmlformats.org/officeDocument/2006/relationships/hyperlink" Target="http://www.sec.gov/Archives/edgar/data/921299/000119312514359619/d720189dex1012.htm" TargetMode="External"/><Relationship Id="rId295" Type="http://schemas.openxmlformats.org/officeDocument/2006/relationships/hyperlink" Target="http://www.sec.gov/Archives/edgar/data/921299/000119312514359619/d720189dex1013.htm" TargetMode="External"/><Relationship Id="rId296" Type="http://schemas.openxmlformats.org/officeDocument/2006/relationships/hyperlink" Target="http://www.sec.gov/Archives/edgar/data/921299/000119312514359619/d720189dex1014.htm" TargetMode="External"/><Relationship Id="rId297" Type="http://schemas.openxmlformats.org/officeDocument/2006/relationships/hyperlink" Target="http://www.sec.gov/Archives/edgar/data/921299/000119312514359619/d720189dex1015.htm" TargetMode="External"/><Relationship Id="rId298" Type="http://schemas.openxmlformats.org/officeDocument/2006/relationships/hyperlink" Target="http://www.sec.gov/Archives/edgar/data/921299/000119312514359619/d720189dex1016.htm" TargetMode="External"/><Relationship Id="rId299" Type="http://schemas.openxmlformats.org/officeDocument/2006/relationships/hyperlink" Target="http://www.sec.gov/Archives/edgar/data/921299/000119312514380087/d720189dex1017.htm" TargetMode="External"/><Relationship Id="rId300" Type="http://schemas.openxmlformats.org/officeDocument/2006/relationships/hyperlink" Target="http://www.sec.gov/Archives/edgar/data/921299/000119312517369506/d479246dex1016.htm" TargetMode="External"/><Relationship Id="rId301" Type="http://schemas.openxmlformats.org/officeDocument/2006/relationships/hyperlink" Target="http://www.sec.gov/Archives/edgar/data/921299/000119312514359619/d720189dex1019.htm" TargetMode="External"/><Relationship Id="rId302" Type="http://schemas.openxmlformats.org/officeDocument/2006/relationships/hyperlink" Target="http://www.sec.gov/Archives/edgar/data/921299/000119312514359619/d720189dex1020.htm" TargetMode="External"/><Relationship Id="rId303" Type="http://schemas.openxmlformats.org/officeDocument/2006/relationships/hyperlink" Target="http://www.sec.gov/Archives/edgar/data/921299/000119312514359619/d720189dex1021.htm" TargetMode="External"/><Relationship Id="rId304" Type="http://schemas.openxmlformats.org/officeDocument/2006/relationships/hyperlink" Target="http://www.sec.gov/Archives/edgar/data/921299/000119312514359619/d720189dex1022.htm" TargetMode="External"/><Relationship Id="rId305" Type="http://schemas.openxmlformats.org/officeDocument/2006/relationships/hyperlink" Target="http://www.sec.gov/Archives/edgar/data/921299/000119312514359619/d720189dex1023.htm" TargetMode="External"/><Relationship Id="rId306" Type="http://schemas.openxmlformats.org/officeDocument/2006/relationships/hyperlink" Target="http://www.sec.gov/Archives/edgar/data/921299/000119312514359619/d720189dex1024.htm" TargetMode="External"/><Relationship Id="rId308" Type="http://schemas.openxmlformats.org/officeDocument/2006/relationships/hyperlink" Target="http://www.sec.gov/Archives/edgar/data/921299/000119312514359619/d720189dex1025.htm" TargetMode="External"/><Relationship Id="rId309" Type="http://schemas.openxmlformats.org/officeDocument/2006/relationships/hyperlink" Target="http://www.sec.gov/Archives/edgar/data/921299/000119312514359619/d720189dex1026.htm" TargetMode="External"/><Relationship Id="rId310" Type="http://schemas.openxmlformats.org/officeDocument/2006/relationships/hyperlink" Target="http://www.sec.gov/Archives/edgar/data/921299/000119312514380087/d720189dex1027.htm" TargetMode="External"/><Relationship Id="rId311" Type="http://schemas.openxmlformats.org/officeDocument/2006/relationships/hyperlink" Target="http://www.sec.gov/Archives/edgar/data/921299/000119312514359619/d720189dex1028i.htm" TargetMode="External"/><Relationship Id="rId312" Type="http://schemas.openxmlformats.org/officeDocument/2006/relationships/hyperlink" Target="http://www.sec.gov/Archives/edgar/data/921299/000119312514359619/d720189dex1028ii.htm" TargetMode="External"/><Relationship Id="rId313" Type="http://schemas.openxmlformats.org/officeDocument/2006/relationships/hyperlink" Target="http://www.sec.gov/Archives/edgar/data/921299/000119312514359619/d720189dex1028iii.htm" TargetMode="External"/><Relationship Id="rId314" Type="http://schemas.openxmlformats.org/officeDocument/2006/relationships/hyperlink" Target="http://www.sec.gov/Archives/edgar/data/921299/000119312514359619/d720189dex1028iv.htm" TargetMode="External"/><Relationship Id="rId315" Type="http://schemas.openxmlformats.org/officeDocument/2006/relationships/hyperlink" Target="http://www.sec.gov/Archives/edgar/data/921299/000119312514359619/d720189dex1028v.htm" TargetMode="External"/><Relationship Id="rId316" Type="http://schemas.openxmlformats.org/officeDocument/2006/relationships/hyperlink" Target="http://www.sec.gov/Archives/edgar/data/921299/000119312514359619/d720189dex1028vi.htm" TargetMode="External"/><Relationship Id="rId317" Type="http://schemas.openxmlformats.org/officeDocument/2006/relationships/hyperlink" Target="http://www.sec.gov/Archives/edgar/data/921299/000119312514359619/d720189dex1028vii.htm" TargetMode="External"/><Relationship Id="rId318" Type="http://schemas.openxmlformats.org/officeDocument/2006/relationships/hyperlink" Target="http://www.sec.gov/Archives/edgar/data/921299/000119312514359619/d720189dex1028viii.htm" TargetMode="External"/><Relationship Id="rId319" Type="http://schemas.openxmlformats.org/officeDocument/2006/relationships/hyperlink" Target="http://www.sec.gov/Archives/edgar/data/921299/000119312514359619/d720189dex1028ix.htm" TargetMode="External"/><Relationship Id="rId320" Type="http://schemas.openxmlformats.org/officeDocument/2006/relationships/hyperlink" Target="http://www.sec.gov/Archives/edgar/data/921299/000119312514359619/d720189dex1028x.htm" TargetMode="External"/><Relationship Id="rId321" Type="http://schemas.openxmlformats.org/officeDocument/2006/relationships/hyperlink" Target="http://www.sec.gov/Archives/edgar/data/921299/000119312514359619/d720189dex1028xi.htm" TargetMode="External"/><Relationship Id="rId323" Type="http://schemas.openxmlformats.org/officeDocument/2006/relationships/hyperlink" Target="http://www.sec.gov/Archives/edgar/data/921299/000119312514359619/d720189dex1028xii.htm" TargetMode="External"/><Relationship Id="rId324" Type="http://schemas.openxmlformats.org/officeDocument/2006/relationships/hyperlink" Target="http://www.sec.gov/Archives/edgar/data/921299/000119312514359619/d720189dex1028xiii.htm" TargetMode="External"/><Relationship Id="rId325" Type="http://schemas.openxmlformats.org/officeDocument/2006/relationships/hyperlink" Target="http://www.sec.gov/Archives/edgar/data/921299/000119312514359619/d720189dex1028xiv.htm" TargetMode="External"/><Relationship Id="rId326" Type="http://schemas.openxmlformats.org/officeDocument/2006/relationships/hyperlink" Target="http://www.sec.gov/Archives/edgar/data/921299/000119312514359619/d720189dex1028xv.htm" TargetMode="External"/><Relationship Id="rId327" Type="http://schemas.openxmlformats.org/officeDocument/2006/relationships/hyperlink" Target="http://www.sec.gov/Archives/edgar/data/921299/000119312514359619/d720189dex1028xvi.htm" TargetMode="External"/><Relationship Id="rId328" Type="http://schemas.openxmlformats.org/officeDocument/2006/relationships/hyperlink" Target="http://www.sec.gov/Archives/edgar/data/921299/000156459015010594/fgen-ex1028xvii_777.htm" TargetMode="External"/><Relationship Id="rId329" Type="http://schemas.openxmlformats.org/officeDocument/2006/relationships/hyperlink" Target="http://www.sec.gov/Archives/edgar/data/921299/000156459015010594/fgen-ex1028xviii_778.htm" TargetMode="External"/><Relationship Id="rId330" Type="http://schemas.openxmlformats.org/officeDocument/2006/relationships/hyperlink" Target="http://www.sec.gov/Archives/edgar/data/921299/000156459015010594/fgen-ex1028xix_776.htm" TargetMode="External"/><Relationship Id="rId331" Type="http://schemas.openxmlformats.org/officeDocument/2006/relationships/hyperlink" Target="http://www.sec.gov/Archives/edgar/data/921299/000156459015010594/fgen-ex1028xx_779.htm" TargetMode="External"/><Relationship Id="rId332" Type="http://schemas.openxmlformats.org/officeDocument/2006/relationships/hyperlink" Target="http://www.sec.gov/Archives/edgar/data/921299/000156459015010594/fgen-ex1028xxi_780.htm" TargetMode="External"/><Relationship Id="rId333" Type="http://schemas.openxmlformats.org/officeDocument/2006/relationships/hyperlink" Target="http://www.sec.gov/Archives/edgar/data/921299/000156459015010594/fgen-ex1028xxii_775.htm" TargetMode="External"/><Relationship Id="rId334" Type="http://schemas.openxmlformats.org/officeDocument/2006/relationships/hyperlink" Target="http://www.sec.gov/Archives/edgar/data/921299/000156459015010594/fgen-ex1028xxiii_781.htm" TargetMode="External"/><Relationship Id="rId336" Type="http://schemas.openxmlformats.org/officeDocument/2006/relationships/hyperlink" Target="http://www.sec.gov/Archives/edgar/data/921299/000156459015010594/fgen-ex1028xxiv_782.htm" TargetMode="External"/><Relationship Id="rId337" Type="http://schemas.openxmlformats.org/officeDocument/2006/relationships/hyperlink" Target="http://www.sec.gov/Archives/edgar/data/921299/000156459016023280/fgen-ex1026xxv_114.htm" TargetMode="External"/><Relationship Id="rId338" Type="http://schemas.openxmlformats.org/officeDocument/2006/relationships/hyperlink" Target="http://www.sec.gov/Archives/edgar/data/921299/000156459016023280/fgen-ex1026xxvi_113.htm" TargetMode="External"/><Relationship Id="rId339" Type="http://schemas.openxmlformats.org/officeDocument/2006/relationships/hyperlink" Target="http://www.sec.gov/Archives/edgar/data/921299/000156459016023280/fgen-ex1026xxvii_111.htm" TargetMode="External"/><Relationship Id="rId340" Type="http://schemas.openxmlformats.org/officeDocument/2006/relationships/hyperlink" Target="http://www.sec.gov/Archives/edgar/data/921299/000156459016023280/fgen-ex1026xxviii_112.htm" TargetMode="External"/><Relationship Id="rId341" Type="http://schemas.openxmlformats.org/officeDocument/2006/relationships/hyperlink" Target="http://www.sec.gov/Archives/edgar/data/921299/000156459016028331/fgen-ex1026_175.htm" TargetMode="External"/><Relationship Id="rId342" Type="http://schemas.openxmlformats.org/officeDocument/2006/relationships/hyperlink" Target="http://www.sec.gov/Archives/edgar/data/921299/000156459016028331/fgen-ex1026_174.htm" TargetMode="External"/><Relationship Id="rId343" Type="http://schemas.openxmlformats.org/officeDocument/2006/relationships/hyperlink" Target="http://www.sec.gov/Archives/edgar/data/921299/000156459017003095/fgen-ex1026_997.htm" TargetMode="External"/><Relationship Id="rId344" Type="http://schemas.openxmlformats.org/officeDocument/2006/relationships/hyperlink" Target="http://www.sec.gov/Archives/edgar/data/921299/000156459017003095/fgen-ex1026_996.htm" TargetMode="External"/><Relationship Id="rId345" Type="http://schemas.openxmlformats.org/officeDocument/2006/relationships/hyperlink" Target="http://www.sec.gov/Archives/edgar/data/921299/000156459017009854/fgen-ex1026_231.htm" TargetMode="External"/><Relationship Id="rId347" Type="http://schemas.openxmlformats.org/officeDocument/2006/relationships/hyperlink" Target="http://www.sec.gov/Archives/edgar/data/0000921299/000156459018003508/fgen-ex1026xxxiv_389.htm" TargetMode="External"/><Relationship Id="rId348" Type="http://schemas.openxmlformats.org/officeDocument/2006/relationships/hyperlink" Target="http://www.sec.gov/Archives/edgar/data/0000921299/000156459018003508/fgen-ex1026xxxv_390.htm" TargetMode="External"/><Relationship Id="rId349" Type="http://schemas.openxmlformats.org/officeDocument/2006/relationships/hyperlink" Target="http://www.sec.gov/Archives/edgar/data/921299/000156459017009854/fgen-ex1032_233.htm" TargetMode="External"/><Relationship Id="rId350" Type="http://schemas.openxmlformats.org/officeDocument/2006/relationships/hyperlink" Target="http://www.sec.gov/Archives/edgar/data/921299/000119312514359619/d720189dex1029.htm" TargetMode="External"/><Relationship Id="rId351" Type="http://schemas.openxmlformats.org/officeDocument/2006/relationships/hyperlink" Target="http://www.sec.gov/Archives/edgar/data/921299/000119312514359619/d720189dex1030.htm" TargetMode="External"/><Relationship Id="rId352" Type="http://schemas.openxmlformats.org/officeDocument/2006/relationships/hyperlink" Target="http://www.sec.gov/Archives/edgar/data/921299/000119312514359619/d720189dex1031.htm" TargetMode="External"/><Relationship Id="rId353" Type="http://schemas.openxmlformats.org/officeDocument/2006/relationships/hyperlink" Target="http://www.sec.gov/Archives/edgar/data/921299/000119312514381669/d720189dex1032.htm" TargetMode="External"/><Relationship Id="rId354" Type="http://schemas.openxmlformats.org/officeDocument/2006/relationships/hyperlink" Target="http://www.sec.gov/Archives/edgar/data/921299/000156459017009854/fgen-ex1033_232.htm" TargetMode="External"/><Relationship Id="rId355" Type="http://schemas.openxmlformats.org/officeDocument/2006/relationships/hyperlink" Target="http://www.sec.gov/Archives/edgar/data/921299/000119312514381669/d72018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2019-12-28T15:32:42Z</dcterms:created>
  <dcterms:modified xsi:type="dcterms:W3CDTF">2019-12-28T15:32:42Z</dcterms:modified>
</cp:coreProperties>
</file>